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中国高端社群市场研究</w:t>
        <w:br/>
        <w:t>与创业进入评估</w:t>
      </w:r>
    </w:p>
    <w:p>
      <w:pPr>
        <w:pStyle w:val="Subtitle"/>
      </w:pPr>
      <w:r>
        <w:t>合伙人讨论报告</w:t>
      </w:r>
    </w:p>
    <w:p>
      <w:pPr>
        <w:pStyle w:val="Subtitle"/>
      </w:pPr>
      <w:r>
        <w:t>资料复核截至2026年10月21日</w:t>
      </w:r>
    </w:p>
    <w:p>
      <w:bookmarkStart w:id="1" w:name="sec_1"/>
      <w:pPr>
        <w:pStyle w:val="Heading1"/>
      </w:pPr>
      <w:r>
        <w:t>一 决策摘要</w:t>
      </w:r>
      <w:bookmarkEnd w:id="1"/>
    </w:p>
    <w:p>
      <w:r>
        <w:t>建议先建立一个城市的持续会员社群，围绕明确的共同兴趣和参加目的组织稳定见面，再销售旅行、游学及企业参访。婚恋作为单身成员自愿申请的独立服务。首发客群和价格，应由团队已有客户资源与付费试点决定。</w:t>
      </w:r>
    </w:p>
    <w:p>
      <w:r>
        <w:t>六家对标分别解决不同问题：北京马会展示生活方式和家庭会籍；EO提供固定小组；长江展示筛选、共同学习与校友延续；木兰汇展示女性商业活动及分层票价；正和岛展示内容与企业家网络；优家荟展示女性会员、品牌活动和跨城体验。它们共同说明，长期社群需要持续的组织机制，单场豪华活动不足以形成稳定关系。</w:t>
      </w:r>
    </w:p>
    <w:p>
      <w:pPr>
        <w:pStyle w:val="Heading3"/>
      </w:pPr>
      <w:r>
        <w:t>最影响创业判断的发现</w:t>
      </w:r>
    </w:p>
    <w:tbl>
      <w:tblPr>
        <w:tblW w:type="auto" w:w="0"/>
        <w:tblLayout w:type="fixed"/>
        <w:tblLook w:firstColumn="1" w:firstRow="1" w:lastColumn="0" w:lastRow="0" w:noHBand="0" w:noVBand="1" w:val="04A0"/>
      </w:tblPr>
      <w:tblGrid>
        <w:gridCol w:w="2665"/>
        <w:gridCol w:w="6746"/>
      </w:tblGrid>
      <w:tr>
        <w:trPr>
          <w:tblHeader/>
          <w:cantSplit/>
        </w:trPr>
        <w:tc>
          <w:tcPr>
            <w:tcW w:type="dxa" w:w="266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发现</w:t>
            </w:r>
          </w:p>
        </w:tc>
        <w:tc>
          <w:tcPr>
            <w:tcW w:type="dxa" w:w="6746"/>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对公司的含义</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收费对象必须明确</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入会资格、持续服务、课程项目和单次活动分开定价。公司会籍还需写清使用人名额。</w:t>
            </w:r>
          </w:p>
        </w:tc>
      </w:tr>
      <w:tr>
        <w:trPr>
          <w:cantSplit/>
        </w:trPr>
        <w:tc>
          <w:tcPr>
            <w:tcW w:type="dxa" w:w="266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持续参与需要固定安排</w:t>
            </w:r>
          </w:p>
        </w:tc>
        <w:tc>
          <w:tcPr>
            <w:tcW w:type="dxa" w:w="67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EO月度固定组、长江班级与返校、优家荟分会形成不同的重复见面方式。必须给会员下一次参加的理由。</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高端客户也在购买具体服务</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木兰2026普通票8800元，VIP与SVIP增加餐饮、席位、赠票和展示机会。权益应可交付、可核算。</w:t>
            </w:r>
          </w:p>
        </w:tc>
      </w:tr>
      <w:tr>
        <w:trPr>
          <w:cantSplit/>
        </w:trPr>
        <w:tc>
          <w:tcPr>
            <w:tcW w:type="dxa" w:w="266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媒体与会员可以共同提供内容</w:t>
            </w:r>
          </w:p>
        </w:tc>
        <w:tc>
          <w:tcPr>
            <w:tcW w:type="dxa" w:w="67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优家荟借助集团媒体及会员企业，木兰汇借助《中国企业家》与接待企业。资源组织能力直接影响成本。</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当前证据支持试点投入</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六家中EO公布全球续会，其他机构主要披露规模或活动。现有资料不能确定新公司的客单、成交和续费。</w:t>
            </w:r>
          </w:p>
        </w:tc>
      </w:tr>
    </w:tbl>
    <w:p>
      <w:pPr>
        <w:keepNext/>
        <w:spacing w:after="0"/>
      </w:pPr>
    </w:p>
    <w:p>
      <w:pPr>
        <w:spacing w:line="260" w:lineRule="exact" w:after="160"/>
      </w:pPr>
      <w:r>
        <w:rPr>
          <w:sz w:val="18"/>
        </w:rPr>
        <w:t xml:space="preserve">依据  </w:t>
      </w:r>
      <w:hyperlink r:id="rId9">
        <w:r>
          <w:rPr>
            <w:color w:val="295878"/>
          </w:rPr>
          <w:t>R01 北京会所现行个人及公司会籍</w:t>
        </w:r>
      </w:hyperlink>
      <w:r>
        <w:rPr>
          <w:sz w:val="18"/>
        </w:rPr>
        <w:t>；</w:t>
      </w:r>
      <w:hyperlink r:id="rId10">
        <w:r>
          <w:rPr>
            <w:color w:val="295878"/>
          </w:rPr>
          <w:t>R02 木兰2026年会官方报名及票价</w:t>
        </w:r>
      </w:hyperlink>
      <w:r>
        <w:rPr>
          <w:sz w:val="18"/>
        </w:rPr>
        <w:t>；</w:t>
      </w:r>
      <w:hyperlink r:id="rId11">
        <w:r>
          <w:rPr>
            <w:color w:val="295878"/>
          </w:rPr>
          <w:t>K06 EO Forum服务设计</w:t>
        </w:r>
      </w:hyperlink>
      <w:r>
        <w:rPr>
          <w:sz w:val="18"/>
        </w:rPr>
        <w:t>；</w:t>
      </w:r>
      <w:hyperlink r:id="rId12">
        <w:r>
          <w:rPr>
            <w:color w:val="295878"/>
          </w:rPr>
          <w:t>K07 EO 2024至2025年度报告官方发布</w:t>
        </w:r>
      </w:hyperlink>
      <w:r>
        <w:rPr>
          <w:sz w:val="18"/>
        </w:rPr>
        <w:t>；</w:t>
      </w:r>
      <w:hyperlink r:id="rId13">
        <w:r>
          <w:rPr>
            <w:color w:val="295878"/>
          </w:rPr>
          <w:t>R14 长江EMBA参访迈邦回顾</w:t>
        </w:r>
      </w:hyperlink>
      <w:r>
        <w:rPr>
          <w:sz w:val="18"/>
        </w:rPr>
        <w:t>；</w:t>
      </w:r>
      <w:hyperlink r:id="rId14">
        <w:r>
          <w:rPr>
            <w:color w:val="295878"/>
          </w:rPr>
          <w:t>U14 现代传播俱乐部业务介绍</w:t>
        </w:r>
      </w:hyperlink>
      <w:r>
        <w:rPr>
          <w:sz w:val="18"/>
        </w:rPr>
        <w:t>；</w:t>
      </w:r>
      <w:hyperlink r:id="rId15">
        <w:r>
          <w:rPr>
            <w:color w:val="295878"/>
          </w:rPr>
          <w:t>U15 优家荟新加坡十周年会员活动</w:t>
        </w:r>
      </w:hyperlink>
    </w:p>
    <w:p>
      <w:pPr>
        <w:pStyle w:val="Heading3"/>
      </w:pPr>
      <w:r>
        <w:t>合伙人本次会议需要作出的决定</w:t>
      </w:r>
    </w:p>
    <w:p>
      <w:r>
        <w:t>首先确定首发城市与核心客户：由谁能够持续邀请到合适的人，以及这些人愿意为什么活动付费。其次确定持续服务的负责人、供应商和试点预算。最后确定第一期产品的次数、人数、期限和退款规则。年费、跨城扩张和固定场地投资分别在试点形成证据后决定。</w:t>
      </w:r>
    </w:p>
    <w:p>
      <w:pPr>
        <w:pStyle w:val="Heading1"/>
        <w:pageBreakBefore/>
      </w:pPr>
      <w:r>
        <w:t>目录</w:t>
      </w:r>
    </w:p>
    <w:tbl>
      <w:tblPr>
        <w:tblW w:type="auto" w:w="0"/>
        <w:tblLayout w:type="fixed"/>
        <w:tblLook w:firstColumn="1" w:firstRow="1" w:lastColumn="0" w:lastRow="0" w:noHBand="0" w:noVBand="1" w:val="04A0"/>
      </w:tblPr>
      <w:tblGrid>
        <w:gridCol w:w="8504"/>
        <w:gridCol w:w="850"/>
      </w:tblGrid>
      <w:tr>
        <w:tc>
          <w:tcPr>
            <w:tcW w:type="dxa" w:w="8504"/>
          </w:tcPr>
          <w:p>
            <w:pPr>
              <w:spacing w:after="100" w:line="360" w:lineRule="exact"/>
              <w:ind w:left="0"/>
            </w:pPr>
            <w:hyperlink w:anchor="sec_1">
              <w:r>
                <w:rPr>
                  <w:color w:val="295878"/>
                </w:rPr>
                <w:t>一 决策摘要</w:t>
              </w:r>
            </w:hyperlink>
          </w:p>
        </w:tc>
        <w:tc>
          <w:tcPr>
            <w:tcW w:type="dxa" w:w="850"/>
          </w:tcPr>
          <w:p>
            <w:pPr>
              <w:jc w:val="right"/>
            </w:pPr>
            <w:r>
              <w:rPr>
                <w:sz w:val="21"/>
              </w:rPr>
              <w:t>1</w:t>
            </w:r>
          </w:p>
        </w:tc>
      </w:tr>
      <w:tr>
        <w:tc>
          <w:tcPr>
            <w:tcW w:type="dxa" w:w="8504"/>
          </w:tcPr>
          <w:p>
            <w:pPr>
              <w:spacing w:after="100" w:line="360" w:lineRule="exact"/>
              <w:ind w:left="0"/>
            </w:pPr>
            <w:hyperlink w:anchor="sec_2">
              <w:r>
                <w:rPr>
                  <w:color w:val="295878"/>
                </w:rPr>
                <w:t>二 市场与客户需求</w:t>
              </w:r>
            </w:hyperlink>
          </w:p>
        </w:tc>
        <w:tc>
          <w:tcPr>
            <w:tcW w:type="dxa" w:w="850"/>
          </w:tcPr>
          <w:p>
            <w:pPr>
              <w:jc w:val="right"/>
            </w:pPr>
            <w:r>
              <w:rPr>
                <w:sz w:val="21"/>
              </w:rPr>
              <w:t>3</w:t>
            </w:r>
          </w:p>
        </w:tc>
      </w:tr>
      <w:tr>
        <w:tc>
          <w:tcPr>
            <w:tcW w:type="dxa" w:w="8504"/>
          </w:tcPr>
          <w:p>
            <w:pPr>
              <w:spacing w:after="100" w:line="360" w:lineRule="exact"/>
              <w:ind w:left="0"/>
            </w:pPr>
            <w:hyperlink w:anchor="sec_6">
              <w:r>
                <w:rPr>
                  <w:color w:val="295878"/>
                </w:rPr>
                <w:t>三 行业格局与对标选择</w:t>
              </w:r>
            </w:hyperlink>
          </w:p>
        </w:tc>
        <w:tc>
          <w:tcPr>
            <w:tcW w:type="dxa" w:w="850"/>
          </w:tcPr>
          <w:p>
            <w:pPr>
              <w:jc w:val="right"/>
            </w:pPr>
            <w:r>
              <w:rPr>
                <w:sz w:val="21"/>
              </w:rPr>
              <w:t>6</w:t>
            </w:r>
          </w:p>
        </w:tc>
      </w:tr>
      <w:tr>
        <w:tc>
          <w:tcPr>
            <w:tcW w:type="dxa" w:w="8504"/>
          </w:tcPr>
          <w:p>
            <w:pPr>
              <w:spacing w:after="100" w:line="360" w:lineRule="exact"/>
              <w:ind w:left="0"/>
            </w:pPr>
            <w:hyperlink w:anchor="sec_9">
              <w:r>
                <w:rPr>
                  <w:color w:val="295878"/>
                </w:rPr>
                <w:t>四 六家机构深度研究</w:t>
              </w:r>
            </w:hyperlink>
          </w:p>
        </w:tc>
        <w:tc>
          <w:tcPr>
            <w:tcW w:type="dxa" w:w="850"/>
          </w:tcPr>
          <w:p>
            <w:pPr>
              <w:jc w:val="right"/>
            </w:pPr>
            <w:r>
              <w:rPr>
                <w:sz w:val="21"/>
              </w:rPr>
              <w:t>8</w:t>
            </w:r>
          </w:p>
        </w:tc>
      </w:tr>
      <w:tr>
        <w:tc>
          <w:tcPr>
            <w:tcW w:type="dxa" w:w="8504"/>
          </w:tcPr>
          <w:p>
            <w:pPr>
              <w:spacing w:after="100" w:line="360" w:lineRule="exact"/>
              <w:ind w:left="369"/>
            </w:pPr>
            <w:hyperlink w:anchor="sec_10">
              <w:r>
                <w:rPr>
                  <w:color w:val="295878"/>
                </w:rPr>
                <w:t>4.1 北京香港马会会所</w:t>
              </w:r>
            </w:hyperlink>
          </w:p>
        </w:tc>
        <w:tc>
          <w:tcPr>
            <w:tcW w:type="dxa" w:w="850"/>
          </w:tcPr>
          <w:p>
            <w:pPr>
              <w:jc w:val="right"/>
            </w:pPr>
            <w:r>
              <w:rPr>
                <w:sz w:val="21"/>
              </w:rPr>
              <w:t>8</w:t>
            </w:r>
          </w:p>
        </w:tc>
      </w:tr>
      <w:tr>
        <w:tc>
          <w:tcPr>
            <w:tcW w:type="dxa" w:w="8504"/>
          </w:tcPr>
          <w:p>
            <w:pPr>
              <w:spacing w:after="100" w:line="360" w:lineRule="exact"/>
              <w:ind w:left="369"/>
            </w:pPr>
            <w:hyperlink w:anchor="sec_11">
              <w:r>
                <w:rPr>
                  <w:color w:val="295878"/>
                </w:rPr>
                <w:t>4.2 EO中国华东分会</w:t>
              </w:r>
            </w:hyperlink>
          </w:p>
        </w:tc>
        <w:tc>
          <w:tcPr>
            <w:tcW w:type="dxa" w:w="850"/>
          </w:tcPr>
          <w:p>
            <w:pPr>
              <w:jc w:val="right"/>
            </w:pPr>
            <w:r>
              <w:rPr>
                <w:sz w:val="21"/>
              </w:rPr>
              <w:t>10</w:t>
            </w:r>
          </w:p>
        </w:tc>
      </w:tr>
      <w:tr>
        <w:tc>
          <w:tcPr>
            <w:tcW w:type="dxa" w:w="8504"/>
          </w:tcPr>
          <w:p>
            <w:pPr>
              <w:spacing w:after="100" w:line="360" w:lineRule="exact"/>
              <w:ind w:left="369"/>
            </w:pPr>
            <w:hyperlink w:anchor="sec_12">
              <w:r>
                <w:rPr>
                  <w:color w:val="295878"/>
                </w:rPr>
                <w:t>4.3 长江商学院</w:t>
              </w:r>
            </w:hyperlink>
          </w:p>
        </w:tc>
        <w:tc>
          <w:tcPr>
            <w:tcW w:type="dxa" w:w="850"/>
          </w:tcPr>
          <w:p>
            <w:pPr>
              <w:jc w:val="right"/>
            </w:pPr>
            <w:r>
              <w:rPr>
                <w:sz w:val="21"/>
              </w:rPr>
              <w:t>12</w:t>
            </w:r>
          </w:p>
        </w:tc>
      </w:tr>
      <w:tr>
        <w:tc>
          <w:tcPr>
            <w:tcW w:type="dxa" w:w="8504"/>
          </w:tcPr>
          <w:p>
            <w:pPr>
              <w:spacing w:after="100" w:line="360" w:lineRule="exact"/>
              <w:ind w:left="369"/>
            </w:pPr>
            <w:hyperlink w:anchor="sec_13">
              <w:r>
                <w:rPr>
                  <w:color w:val="295878"/>
                </w:rPr>
                <w:t>4.4 木兰汇</w:t>
              </w:r>
            </w:hyperlink>
          </w:p>
        </w:tc>
        <w:tc>
          <w:tcPr>
            <w:tcW w:type="dxa" w:w="850"/>
          </w:tcPr>
          <w:p>
            <w:pPr>
              <w:jc w:val="right"/>
            </w:pPr>
            <w:r>
              <w:rPr>
                <w:sz w:val="21"/>
              </w:rPr>
              <w:t>14</w:t>
            </w:r>
          </w:p>
        </w:tc>
      </w:tr>
      <w:tr>
        <w:tc>
          <w:tcPr>
            <w:tcW w:type="dxa" w:w="8504"/>
          </w:tcPr>
          <w:p>
            <w:pPr>
              <w:spacing w:after="100" w:line="360" w:lineRule="exact"/>
              <w:ind w:left="369"/>
            </w:pPr>
            <w:hyperlink w:anchor="sec_14">
              <w:r>
                <w:rPr>
                  <w:color w:val="295878"/>
                </w:rPr>
                <w:t>4.5 正和岛</w:t>
              </w:r>
            </w:hyperlink>
          </w:p>
        </w:tc>
        <w:tc>
          <w:tcPr>
            <w:tcW w:type="dxa" w:w="850"/>
          </w:tcPr>
          <w:p>
            <w:pPr>
              <w:jc w:val="right"/>
            </w:pPr>
            <w:r>
              <w:rPr>
                <w:sz w:val="21"/>
              </w:rPr>
              <w:t>16</w:t>
            </w:r>
          </w:p>
        </w:tc>
      </w:tr>
      <w:tr>
        <w:tc>
          <w:tcPr>
            <w:tcW w:type="dxa" w:w="8504"/>
          </w:tcPr>
          <w:p>
            <w:pPr>
              <w:spacing w:after="100" w:line="360" w:lineRule="exact"/>
              <w:ind w:left="369"/>
            </w:pPr>
            <w:hyperlink w:anchor="sec_15">
              <w:r>
                <w:rPr>
                  <w:color w:val="295878"/>
                </w:rPr>
                <w:t>4.6 优家荟</w:t>
              </w:r>
            </w:hyperlink>
          </w:p>
        </w:tc>
        <w:tc>
          <w:tcPr>
            <w:tcW w:type="dxa" w:w="850"/>
          </w:tcPr>
          <w:p>
            <w:pPr>
              <w:jc w:val="right"/>
            </w:pPr>
            <w:r>
              <w:rPr>
                <w:sz w:val="21"/>
              </w:rPr>
              <w:t>18</w:t>
            </w:r>
          </w:p>
        </w:tc>
      </w:tr>
      <w:tr>
        <w:tc>
          <w:tcPr>
            <w:tcW w:type="dxa" w:w="8504"/>
          </w:tcPr>
          <w:p>
            <w:pPr>
              <w:spacing w:after="100" w:line="360" w:lineRule="exact"/>
              <w:ind w:left="0"/>
            </w:pPr>
            <w:hyperlink w:anchor="sec_16">
              <w:r>
                <w:rPr>
                  <w:color w:val="295878"/>
                </w:rPr>
                <w:t>五 横向比较与公司机会</w:t>
              </w:r>
            </w:hyperlink>
          </w:p>
        </w:tc>
        <w:tc>
          <w:tcPr>
            <w:tcW w:type="dxa" w:w="850"/>
          </w:tcPr>
          <w:p>
            <w:pPr>
              <w:jc w:val="right"/>
            </w:pPr>
            <w:r>
              <w:rPr>
                <w:sz w:val="21"/>
              </w:rPr>
              <w:t>21</w:t>
            </w:r>
          </w:p>
        </w:tc>
      </w:tr>
      <w:tr>
        <w:tc>
          <w:tcPr>
            <w:tcW w:type="dxa" w:w="8504"/>
          </w:tcPr>
          <w:p>
            <w:pPr>
              <w:spacing w:after="100" w:line="360" w:lineRule="exact"/>
              <w:ind w:left="0"/>
            </w:pPr>
            <w:hyperlink w:anchor="sec_21">
              <w:r>
                <w:rPr>
                  <w:color w:val="295878"/>
                </w:rPr>
                <w:t>六 进入方案与经营验证</w:t>
              </w:r>
            </w:hyperlink>
          </w:p>
        </w:tc>
        <w:tc>
          <w:tcPr>
            <w:tcW w:type="dxa" w:w="850"/>
          </w:tcPr>
          <w:p>
            <w:pPr>
              <w:jc w:val="right"/>
            </w:pPr>
            <w:r>
              <w:rPr>
                <w:sz w:val="21"/>
              </w:rPr>
              <w:t>23</w:t>
            </w:r>
          </w:p>
        </w:tc>
      </w:tr>
      <w:tr>
        <w:tc>
          <w:tcPr>
            <w:tcW w:type="dxa" w:w="8504"/>
          </w:tcPr>
          <w:p>
            <w:pPr>
              <w:spacing w:after="100" w:line="360" w:lineRule="exact"/>
              <w:ind w:left="0"/>
            </w:pPr>
            <w:hyperlink w:anchor="sec_28">
              <w:r>
                <w:rPr>
                  <w:color w:val="295878"/>
                </w:rPr>
                <w:t>附录 证据索引与补证任务</w:t>
              </w:r>
            </w:hyperlink>
          </w:p>
        </w:tc>
        <w:tc>
          <w:tcPr>
            <w:tcW w:type="dxa" w:w="850"/>
          </w:tcPr>
          <w:p>
            <w:pPr>
              <w:jc w:val="right"/>
            </w:pPr>
            <w:r>
              <w:rPr>
                <w:sz w:val="21"/>
              </w:rPr>
              <w:t>26</w:t>
            </w:r>
          </w:p>
        </w:tc>
      </w:tr>
    </w:tbl>
    <w:p>
      <w:pPr>
        <w:spacing w:line="300" w:lineRule="exact"/>
      </w:pPr>
      <w:r>
        <w:rPr>
          <w:sz w:val="19"/>
        </w:rPr>
        <w:t>正文按市场、行业、六家案例、横向比较和进入方案展开。详细价格与活动记录集中在对应案例；来源编号可点击打开原始页面。</w:t>
      </w:r>
    </w:p>
    <w:p>
      <w:bookmarkStart w:id="2" w:name="sec_2"/>
      <w:pPr>
        <w:pStyle w:val="Heading1"/>
        <w:pageBreakBefore/>
      </w:pPr>
      <w:r>
        <w:t>二 市场与客户需求</w:t>
      </w:r>
      <w:bookmarkEnd w:id="2"/>
    </w:p>
    <w:p>
      <w:bookmarkStart w:id="3" w:name="sec_3"/>
      <w:pPr>
        <w:pStyle w:val="Heading2"/>
      </w:pPr>
      <w:r>
        <w:t>2.1 公司所进入的市场</w:t>
      </w:r>
      <w:bookmarkEnd w:id="3"/>
    </w:p>
    <w:p>
      <w:r>
        <w:t>公司拟服务A8及以上客群，覆盖单身、恋爱、伴侣及已婚状态，以社交为长期服务，以私董会、旅行、游学、参访和自愿婚恋为具体产品。竞争发生在客户的时间和信任分配上：同一个人可能同时参加商学院、商会、高尔夫、朋友旅行和私人银行活动。</w:t>
      </w:r>
    </w:p>
    <w:p>
      <w:r>
        <w:t>市场观察保留三层：全国社交婚恋解释需求背景；高净值消费与现有会员组织解释付费环境；同城可触达且愿意参加的客户决定首期可经营规模。创业容量最终要落到具体名单、参加频次和付款。</w:t>
      </w:r>
    </w:p>
    <w:tbl>
      <w:tblPr>
        <w:tblW w:type="auto" w:w="0"/>
        <w:tblLayout w:type="fixed"/>
        <w:tblLook w:firstColumn="1" w:firstRow="1" w:lastColumn="0" w:lastRow="0" w:noHBand="0" w:noVBand="1" w:val="04A0"/>
      </w:tblPr>
      <w:tblGrid>
        <w:gridCol w:w="1984"/>
        <w:gridCol w:w="2948"/>
        <w:gridCol w:w="4479"/>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服务市场</w:t>
            </w:r>
          </w:p>
        </w:tc>
        <w:tc>
          <w:tcPr>
            <w:tcW w:type="dxa" w:w="294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主要付费对象</w:t>
            </w:r>
          </w:p>
        </w:tc>
        <w:tc>
          <w:tcPr>
            <w:tcW w:type="dxa" w:w="447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与公司的关系</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社交婚恋</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匹配、顾问、平台订阅</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婚恋服务及新朋友需求参照</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高端会员社群</w:t>
            </w:r>
          </w:p>
        </w:tc>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长期资格、组织和会员维护</w:t>
            </w:r>
          </w:p>
        </w:tc>
        <w:tc>
          <w:tcPr>
            <w:tcW w:type="dxa" w:w="447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持续服务直接对标</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商学及企业家学习</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课程、共学、小组与参访</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争取相同时间预算的替代选择</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兴趣和生活方式</w:t>
            </w:r>
          </w:p>
        </w:tc>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运动、艺术、美食、旅行体验</w:t>
            </w:r>
          </w:p>
        </w:tc>
        <w:tc>
          <w:tcPr>
            <w:tcW w:type="dxa" w:w="447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共同参与入口及合作场景</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商协会及私人银行活动</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会费或客户关系维护</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替代渠道、合作渠道及潜在供给</w:t>
            </w:r>
          </w:p>
        </w:tc>
      </w:tr>
    </w:tbl>
    <w:p>
      <w:pPr>
        <w:spacing w:after="0"/>
      </w:pPr>
    </w:p>
    <w:p>
      <w:pPr>
        <w:pStyle w:val="Heading3"/>
      </w:pPr>
      <w:r>
        <w:t>近五年社交婚恋背景</w:t>
      </w:r>
    </w:p>
    <w:p>
      <w:pPr>
        <w:keepNext/>
        <w:spacing w:line="240" w:lineRule="auto"/>
      </w:pPr>
      <w:r>
        <w:drawing>
          <wp:inline xmlns:a="http://schemas.openxmlformats.org/drawingml/2006/main" xmlns:pic="http://schemas.openxmlformats.org/drawingml/2006/picture">
            <wp:extent cx="5832000" cy="2147260"/>
            <wp:docPr id="1" name="Picture 1" descr="互联网婚恋估算及结婚登记趋势，单位、年份和来源见图注及正文"/>
            <wp:cNvGraphicFramePr>
              <a:graphicFrameLocks noChangeAspect="1"/>
            </wp:cNvGraphicFramePr>
            <a:graphic>
              <a:graphicData uri="http://schemas.openxmlformats.org/drawingml/2006/picture">
                <pic:pic>
                  <pic:nvPicPr>
                    <pic:cNvPr id="0" name="macro.png"/>
                    <pic:cNvPicPr/>
                  </pic:nvPicPr>
                  <pic:blipFill>
                    <a:blip r:embed="rId16"/>
                    <a:stretch>
                      <a:fillRect/>
                    </a:stretch>
                  </pic:blipFill>
                  <pic:spPr>
                    <a:xfrm>
                      <a:off x="0" y="0"/>
                      <a:ext cx="5832000" cy="2147260"/>
                    </a:xfrm>
                    <a:prstGeom prst="rect"/>
                  </pic:spPr>
                </pic:pic>
              </a:graphicData>
            </a:graphic>
          </wp:inline>
        </w:drawing>
      </w:r>
    </w:p>
    <w:p>
      <w:pPr>
        <w:pStyle w:val="Caption"/>
      </w:pPr>
      <w:r>
        <w:t>图1 互联网婚恋收入估算与全国结婚登记分别观察 2021至2025年</w:t>
      </w:r>
    </w:p>
    <w:p>
      <w:r>
        <w:t>网经社估算互联网婚恋收入由2021年75亿元增至2025年103.5亿元，同系列2025用户估算8450万人。民政年度统计中，结婚登记由2021年764.3万对变为2025年676.5万对，2024年为610.6万对。两个系列说明婚恋服务收入与结婚登记并不同步。</w:t>
      </w:r>
    </w:p>
    <w:p>
      <w:pPr>
        <w:keepNext/>
      </w:pPr>
      <w:r>
        <w:t>对本项目更重要的判断是，婚恋可以成为一个明确的购买理由，但无法覆盖已婚及伴侣成员。综合社群的核心承诺应是认识适合交往的人、获得持续见面机会及良好体验；婚恋另有筛选、匹配和反馈。</w:t>
      </w:r>
    </w:p>
    <w:p>
      <w:pPr>
        <w:spacing w:line="260" w:lineRule="exact" w:after="160"/>
      </w:pPr>
      <w:r>
        <w:rPr>
          <w:sz w:val="18"/>
        </w:rPr>
        <w:t xml:space="preserve">依据  </w:t>
      </w:r>
      <w:hyperlink r:id="rId17">
        <w:r>
          <w:rPr>
            <w:color w:val="295878"/>
          </w:rPr>
          <w:t>S02 2025年度中国数字生活市场数据报告婚恋专题</w:t>
        </w:r>
      </w:hyperlink>
      <w:r>
        <w:rPr>
          <w:sz w:val="18"/>
        </w:rPr>
        <w:t>；</w:t>
      </w:r>
      <w:hyperlink r:id="rId18">
        <w:r>
          <w:rPr>
            <w:color w:val="295878"/>
          </w:rPr>
          <w:t>U12 网经社2025年度数字生活报告专题</w:t>
        </w:r>
      </w:hyperlink>
      <w:r>
        <w:rPr>
          <w:sz w:val="18"/>
        </w:rPr>
        <w:t>；</w:t>
      </w:r>
      <w:hyperlink r:id="rId19">
        <w:r>
          <w:rPr>
            <w:color w:val="295878"/>
          </w:rPr>
          <w:t>S04 2025年结婚登记数据公布</w:t>
        </w:r>
      </w:hyperlink>
      <w:r>
        <w:rPr>
          <w:sz w:val="18"/>
        </w:rPr>
        <w:t>；</w:t>
      </w:r>
      <w:hyperlink r:id="rId20">
        <w:r>
          <w:rPr>
            <w:color w:val="295878"/>
          </w:rPr>
          <w:t>S06 2021年民政事业发展统计公报</w:t>
        </w:r>
      </w:hyperlink>
      <w:r>
        <w:rPr>
          <w:sz w:val="18"/>
        </w:rPr>
        <w:t>；</w:t>
      </w:r>
      <w:hyperlink r:id="rId21">
        <w:r>
          <w:rPr>
            <w:color w:val="295878"/>
          </w:rPr>
          <w:t>S07 2022年民政事业发展统计公报</w:t>
        </w:r>
      </w:hyperlink>
      <w:r>
        <w:rPr>
          <w:sz w:val="18"/>
        </w:rPr>
        <w:t>；</w:t>
      </w:r>
      <w:hyperlink r:id="rId22">
        <w:r>
          <w:rPr>
            <w:color w:val="295878"/>
          </w:rPr>
          <w:t>S08 中国网转引2023民政年度公报</w:t>
        </w:r>
      </w:hyperlink>
    </w:p>
    <w:p>
      <w:bookmarkStart w:id="4" w:name="sec_4"/>
      <w:pPr>
        <w:pStyle w:val="Heading2"/>
      </w:pPr>
      <w:r>
        <w:t>2.2 高净值人群的消费与时间</w:t>
      </w:r>
      <w:bookmarkEnd w:id="4"/>
    </w:p>
    <w:p>
      <w:r>
        <w:t>胡润2026品质生活研究调查470位千万资产人士，其中70位家庭资产过亿元，78%来自一线城市。受访者计划将服务体验支出增加12%，每周工作45小时、每年假期21天。旅行、美食、家庭活动和晚宴适合形成共同体验，但组织时间、同行方式和参加便利性同样影响购买。</w:t>
      </w:r>
    </w:p>
    <w:p>
      <w:pPr>
        <w:keepNext/>
      </w:pPr>
      <w:r>
        <w:t>这项调查也将小红书和抖音列为重要信息入口。公司的内容应展示真实人群、活动方式和参加条件，由咨询和筛选承接；品牌曝光必须进一步落实为合适客户的付费与再参加。</w:t>
      </w:r>
    </w:p>
    <w:p>
      <w:pPr>
        <w:spacing w:line="260" w:lineRule="exact" w:after="160"/>
      </w:pPr>
      <w:r>
        <w:rPr>
          <w:sz w:val="18"/>
        </w:rPr>
        <w:t xml:space="preserve">依据  </w:t>
      </w:r>
      <w:hyperlink r:id="rId23">
        <w:r>
          <w:rPr>
            <w:color w:val="295878"/>
          </w:rPr>
          <w:t>S11 2026胡润至尚优品中国高净值人群品质生活报告</w:t>
        </w:r>
      </w:hyperlink>
    </w:p>
    <w:p>
      <w:pPr>
        <w:pStyle w:val="Heading3"/>
      </w:pPr>
      <w:r>
        <w:t>客户划分应同时记录职业与关系状态</w:t>
      </w:r>
    </w:p>
    <w:tbl>
      <w:tblPr>
        <w:tblW w:type="auto" w:w="0"/>
        <w:tblLayout w:type="fixed"/>
        <w:tblLook w:firstColumn="1" w:firstRow="1" w:lastColumn="0" w:lastRow="0" w:noHBand="0" w:noVBand="1" w:val="04A0"/>
      </w:tblPr>
      <w:tblGrid>
        <w:gridCol w:w="2268"/>
        <w:gridCol w:w="3402"/>
        <w:gridCol w:w="3742"/>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主要参加目的</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最可能关注的问题</w:t>
            </w:r>
          </w:p>
        </w:tc>
        <w:tc>
          <w:tcPr>
            <w:tcW w:type="dxa" w:w="374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应提供的产品信息</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企业经营与同行支持</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同组人的经营阶段、主持和保密</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小组资格、人数、频次、主持人和议题安排</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生活方式与新朋友</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是否融入、体验品质、推销压力</w:t>
            </w:r>
          </w:p>
        </w:tc>
        <w:tc>
          <w:tcPr>
            <w:tcW w:type="dxa" w:w="374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活动对象、共同任务、交流时长、禁止推销规则</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单身交友与婚恋</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真实关系目的、筛选及匹配反馈</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单身专场、双方同意、服务期限与介绍机制</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伴侣及家庭共同参与</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同行名额、双方兴趣、家庭时间</w:t>
            </w:r>
          </w:p>
        </w:tc>
        <w:tc>
          <w:tcPr>
            <w:tcW w:type="dxa" w:w="374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双人价格、可参加活动、子女年龄与照护安排</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女性事业与生活交流</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成员角色、表达与资源、被尊重</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主题、成员贡献机会、品牌合作边界和活动权益</w:t>
            </w:r>
          </w:p>
        </w:tc>
      </w:tr>
    </w:tbl>
    <w:p>
      <w:pPr>
        <w:spacing w:after="0"/>
      </w:pPr>
    </w:p>
    <w:p>
      <w:r>
        <w:t>职业、年龄、资产口径、关系状态、购买目的、可用时间应各自记录。女性企业家可能同时有伴侣和家庭需求，单身客户也可能主要为经营交流而来。招募和分组应依据本次参加目的，避免把同一个人放进互相排斥的标签。</w:t>
      </w:r>
    </w:p>
    <w:p>
      <w:r>
        <w:t>A8门槛需要在公司制度中确定是个人或家庭、总资产或可投资资产。建议先通过职业责任、既有付费行为、兴趣及推荐面谈判断适配，在确有必要时采用清晰的财富核验方式；不凭照片和消费展示判断资产。</w:t>
      </w:r>
    </w:p>
    <w:p>
      <w:bookmarkStart w:id="5" w:name="sec_5"/>
      <w:pPr>
        <w:pStyle w:val="Heading2"/>
      </w:pPr>
      <w:r>
        <w:t>2.3 城市选择和首期市场</w:t>
      </w:r>
      <w:bookmarkEnd w:id="5"/>
    </w:p>
    <w:p>
      <w:r>
        <w:t>北京、上海、深圳均已有高端服务供给。北京可借鉴商务文化会所和企业家组织；上海有较多商学、艺术、品牌场景；深圳与湾区企业参访及生活方式产品容易组合。首城选择应取决于团队同城客户和交付资源。城市选择优先考察客户资源和交付条件。</w:t>
      </w:r>
    </w:p>
    <w:tbl>
      <w:tblPr>
        <w:tblW w:type="auto" w:w="0"/>
        <w:tblLayout w:type="fixed"/>
        <w:tblLook w:firstColumn="1" w:firstRow="1" w:lastColumn="0" w:lastRow="0" w:noHBand="0" w:noVBand="1" w:val="04A0"/>
      </w:tblPr>
      <w:tblGrid>
        <w:gridCol w:w="1757"/>
        <w:gridCol w:w="4819"/>
        <w:gridCol w:w="2835"/>
      </w:tblGrid>
      <w:tr>
        <w:trPr>
          <w:tblHeader/>
          <w:cantSplit/>
        </w:trPr>
        <w:tc>
          <w:tcPr>
            <w:tcW w:type="dxa" w:w="175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进入条件</w:t>
            </w:r>
          </w:p>
        </w:tc>
        <w:tc>
          <w:tcPr>
            <w:tcW w:type="dxa" w:w="481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需要核实的数量或事实</w:t>
            </w:r>
          </w:p>
        </w:tc>
        <w:tc>
          <w:tcPr>
            <w:tcW w:type="dxa" w:w="283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通过后才能决定什么</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客户基础</w:t>
            </w:r>
          </w:p>
        </w:tc>
        <w:tc>
          <w:tcPr>
            <w:tcW w:type="dxa" w:w="481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可直接邀请、符合目标且愿意在指定日期参加的去重客户</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首发城市和核心客群</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服务资源</w:t>
            </w:r>
          </w:p>
        </w:tc>
        <w:tc>
          <w:tcPr>
            <w:tcW w:type="dxa" w:w="481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主持、运营、接待、合作场地及接待企业可用时间</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产品次数与人数</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付款证据</w:t>
            </w:r>
          </w:p>
        </w:tc>
        <w:tc>
          <w:tcPr>
            <w:tcW w:type="dxa" w:w="481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同一产品、日期、权益和价格下的实际付款及拒绝原因</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持续收费结构</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重复需求</w:t>
            </w:r>
          </w:p>
        </w:tc>
        <w:tc>
          <w:tcPr>
            <w:tcW w:type="dxa" w:w="481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体验后再次付款、参加及主动推荐</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年度会籍和扩张</w:t>
            </w:r>
          </w:p>
        </w:tc>
      </w:tr>
    </w:tbl>
    <w:p>
      <w:pPr>
        <w:spacing w:after="0"/>
      </w:pPr>
    </w:p>
    <w:p>
      <w:pPr>
        <w:keepNext/>
      </w:pPr>
      <w:r>
        <w:t>全国财富人数可以描述客群基础，不能替代上述同城验证。招商银行私人财富研究覆盖的客群还包括企业家、专业人士、职业经理人和家庭经营者，公司不宜将高净值市场等同于企业老板市场。</w:t>
      </w:r>
    </w:p>
    <w:p>
      <w:pPr>
        <w:spacing w:line="260" w:lineRule="exact" w:after="160"/>
      </w:pPr>
      <w:r>
        <w:rPr>
          <w:sz w:val="18"/>
        </w:rPr>
        <w:t xml:space="preserve">依据  </w:t>
      </w:r>
      <w:hyperlink r:id="rId24">
        <w:r>
          <w:rPr>
            <w:color w:val="295878"/>
          </w:rPr>
          <w:t>R18 招商银行2023私人财富研究发布</w:t>
        </w:r>
      </w:hyperlink>
    </w:p>
    <w:p>
      <w:bookmarkStart w:id="6" w:name="sec_6"/>
      <w:pPr>
        <w:pStyle w:val="Heading1"/>
        <w:pageBreakBefore/>
      </w:pPr>
      <w:r>
        <w:t>三 行业格局与对标选择</w:t>
      </w:r>
      <w:bookmarkEnd w:id="6"/>
    </w:p>
    <w:p>
      <w:bookmarkStart w:id="7" w:name="sec_7"/>
      <w:pPr>
        <w:pStyle w:val="Heading2"/>
      </w:pPr>
      <w:r>
        <w:t>3.1 统一的机构分类</w:t>
      </w:r>
      <w:bookmarkEnd w:id="7"/>
    </w:p>
    <w:p>
      <w:r>
        <w:t>机构按主要组织方式归类，客户和产品另外标记。同一品牌计一家；个人和公司会籍属于其产品下的持有方式；城市分会保留地区字段。</w:t>
      </w:r>
    </w:p>
    <w:tbl>
      <w:tblPr>
        <w:tblW w:type="auto" w:w="0"/>
        <w:tblLayout w:type="fixed"/>
        <w:tblLook w:firstColumn="1" w:firstRow="1" w:lastColumn="0" w:lastRow="0" w:noHBand="0" w:noVBand="1" w:val="04A0"/>
      </w:tblPr>
      <w:tblGrid>
        <w:gridCol w:w="2551"/>
        <w:gridCol w:w="3515"/>
        <w:gridCol w:w="3345"/>
      </w:tblGrid>
      <w:tr>
        <w:trPr>
          <w:tblHeader/>
          <w:cantSplit/>
        </w:trPr>
        <w:tc>
          <w:tcPr>
            <w:tcW w:type="dxa" w:w="255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机构类型</w:t>
            </w:r>
          </w:p>
        </w:tc>
        <w:tc>
          <w:tcPr>
            <w:tcW w:type="dxa" w:w="351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代表对象</w:t>
            </w:r>
          </w:p>
        </w:tc>
        <w:tc>
          <w:tcPr>
            <w:tcW w:type="dxa" w:w="334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研究重点</w:t>
            </w:r>
          </w:p>
        </w:tc>
      </w:tr>
      <w:tr>
        <w:trPr>
          <w:cantSplit/>
        </w:trPr>
        <w:tc>
          <w:tcPr>
            <w:tcW w:type="dxa" w:w="255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综合生活方式俱乐部</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北京香港马会会所、京城、雍福会、HIGHER</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会籍、场景、家庭、日常使用与消费</w:t>
            </w:r>
          </w:p>
        </w:tc>
      </w:tr>
      <w:tr>
        <w:trPr>
          <w:cantSplit/>
        </w:trPr>
        <w:tc>
          <w:tcPr>
            <w:tcW w:type="dxa" w:w="255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企业家会员组织</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EO、正和岛、YPO、领教工坊、伟事达</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固定小组、资格、成员服务与学习</w:t>
            </w:r>
          </w:p>
        </w:tc>
      </w:tr>
      <w:tr>
        <w:trPr>
          <w:cantSplit/>
        </w:trPr>
        <w:tc>
          <w:tcPr>
            <w:tcW w:type="dxa" w:w="255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商学院及校友组织</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长江、中欧、北大汇丰、清华五道口</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共同学习、同学关系及毕业后参与</w:t>
            </w:r>
          </w:p>
        </w:tc>
      </w:tr>
      <w:tr>
        <w:trPr>
          <w:cantSplit/>
        </w:trPr>
        <w:tc>
          <w:tcPr>
            <w:tcW w:type="dxa" w:w="255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商协会及共同事业组织</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深商联、侨商、SEE、中国企业家俱乐部</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治理、成员贡献、地区及共同目标</w:t>
            </w:r>
          </w:p>
        </w:tc>
      </w:tr>
      <w:tr>
        <w:trPr>
          <w:cantSplit/>
        </w:trPr>
        <w:tc>
          <w:tcPr>
            <w:tcW w:type="dxa" w:w="255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兴趣俱乐部</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观澜湖、黑骑士、雪茄主题机构</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运动艺术主题、重复参与与拓展</w:t>
            </w:r>
          </w:p>
        </w:tc>
      </w:tr>
      <w:tr>
        <w:trPr>
          <w:cantSplit/>
        </w:trPr>
        <w:tc>
          <w:tcPr>
            <w:tcW w:type="dxa" w:w="255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婚恋交友机构</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我主良缘、珍爱、MarryU等</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顾问匹配、单身客户及关系服务</w:t>
            </w:r>
          </w:p>
        </w:tc>
      </w:tr>
    </w:tbl>
    <w:p>
      <w:pPr>
        <w:spacing w:after="0"/>
      </w:pPr>
    </w:p>
    <w:p>
      <w:r>
        <w:t>木兰汇与优家荟分别按企业家组织和生活方式组织理解，“女性”是客户标签。旅行社及供应商另列合作资源；未核实主体和现行经营的账号仅为线索，不进入有效竞争者数量。候选发现清单包含55条记录，分开保留已核实机构、供应商与账号线索。</w:t>
      </w:r>
    </w:p>
    <w:p>
      <w:bookmarkStart w:id="8" w:name="sec_8"/>
      <w:pPr>
        <w:pStyle w:val="Heading2"/>
      </w:pPr>
      <w:r>
        <w:t>3.2 六家为何值得学习</w:t>
      </w:r>
      <w:bookmarkEnd w:id="8"/>
    </w:p>
    <w:tbl>
      <w:tblPr>
        <w:tblW w:type="auto" w:w="0"/>
        <w:tblLayout w:type="fixed"/>
        <w:tblLook w:firstColumn="1" w:firstRow="1" w:lastColumn="0" w:lastRow="0" w:noHBand="0" w:noVBand="1" w:val="04A0"/>
      </w:tblPr>
      <w:tblGrid>
        <w:gridCol w:w="2041"/>
        <w:gridCol w:w="3572"/>
        <w:gridCol w:w="3798"/>
      </w:tblGrid>
      <w:tr>
        <w:trPr>
          <w:tblHeader/>
          <w:cantSplit/>
        </w:trPr>
        <w:tc>
          <w:tcPr>
            <w:tcW w:type="dxa" w:w="204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机构</w:t>
            </w:r>
          </w:p>
        </w:tc>
        <w:tc>
          <w:tcPr>
            <w:tcW w:type="dxa" w:w="357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入选的实质理由</w:t>
            </w:r>
          </w:p>
        </w:tc>
        <w:tc>
          <w:tcPr>
            <w:tcW w:type="dxa" w:w="37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本轮最有价值的经营证据</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北京香港马会会所</w:t>
            </w:r>
          </w:p>
        </w:tc>
        <w:tc>
          <w:tcPr>
            <w:tcW w:type="dxa" w:w="357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可同时服务个人、企业使用人及家庭</w:t>
            </w:r>
          </w:p>
        </w:tc>
        <w:tc>
          <w:tcPr>
            <w:tcW w:type="dxa" w:w="37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现行会籍和月费、实际文化活动会刊</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EO中国华东分会</w:t>
            </w:r>
          </w:p>
        </w:tc>
        <w:tc>
          <w:tcPr>
            <w:tcW w:type="dxa" w:w="357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持续小组与训练规则清楚</w:t>
            </w:r>
          </w:p>
        </w:tc>
        <w:tc>
          <w:tcPr>
            <w:tcW w:type="dxa" w:w="37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109会员快照；全球续会及区域活动回顾</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长江商学院</w:t>
            </w:r>
          </w:p>
        </w:tc>
        <w:tc>
          <w:tcPr>
            <w:tcW w:type="dxa" w:w="357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筛选、固定班级、共同学习及校友延续</w:t>
            </w:r>
          </w:p>
        </w:tc>
        <w:tc>
          <w:tcPr>
            <w:tcW w:type="dxa" w:w="37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现行学费；2026真实参访及十周年返校</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木兰汇</w:t>
            </w:r>
          </w:p>
        </w:tc>
        <w:tc>
          <w:tcPr>
            <w:tcW w:type="dxa" w:w="357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女性企业家、媒体与参访组合</w:t>
            </w:r>
          </w:p>
        </w:tc>
        <w:tc>
          <w:tcPr>
            <w:tcW w:type="dxa" w:w="37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三档2026年会票价；50余人杭州实际参访</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正和岛</w:t>
            </w:r>
          </w:p>
        </w:tc>
        <w:tc>
          <w:tcPr>
            <w:tcW w:type="dxa" w:w="357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内容与多层企业家网络</w:t>
            </w:r>
          </w:p>
        </w:tc>
        <w:tc>
          <w:tcPr>
            <w:tcW w:type="dxa" w:w="37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现行数字产品；2026企业参访和500人年会自述</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优家荟</w:t>
            </w:r>
          </w:p>
        </w:tc>
        <w:tc>
          <w:tcPr>
            <w:tcW w:type="dxa" w:w="357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女性生活方式与会员企业共同交付</w:t>
            </w:r>
          </w:p>
        </w:tc>
        <w:tc>
          <w:tcPr>
            <w:tcW w:type="dxa" w:w="37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分级会籍；跨城项目；深圳十年规模自述</w:t>
            </w:r>
          </w:p>
        </w:tc>
      </w:tr>
    </w:tbl>
    <w:p>
      <w:pPr>
        <w:spacing w:after="0"/>
      </w:pPr>
    </w:p>
    <w:p>
      <w:r>
        <w:t>本轮保留六家以形成连续比较，并不把它们列为全国经营前六或平台流量前六。北京马会和EO优先学习长期服务；长江和木兰优先学习招募与内容；正和岛和优家荟优先学习会员分层、地方组织及合作活动。</w:t>
      </w:r>
    </w:p>
    <w:p>
      <w:pPr>
        <w:pStyle w:val="Heading3"/>
      </w:pPr>
      <w:r>
        <w:t>其他候选的去向</w:t>
      </w:r>
    </w:p>
    <w:p>
      <w:r>
        <w:t>中欧、北大汇丰作为商学和湾区补充；YPO作为企业家与家庭服务的全球参照；领教工坊、伟事达作为私董会专项；观澜湖、黑骑士作为兴趣服务专项。京城、HIGHER及雪茄主题机构需要取得现行会籍与活动证据后再扩大深度研究。它们保留在候选池，资料完整度不是判断机构经营强弱的替代指标。</w:t>
      </w:r>
    </w:p>
    <w:p>
      <w:pPr>
        <w:keepNext/>
      </w:pPr>
      <w:r>
        <w:t>SEE单列经营财务专题，因为有审计和参与数据，适合检验会费与会员活动成本的关系；公益组织的收入结构应与商业公司分别理解。</w:t>
      </w:r>
    </w:p>
    <w:p>
      <w:pPr>
        <w:spacing w:line="260" w:lineRule="exact" w:after="160"/>
      </w:pPr>
      <w:r>
        <w:rPr>
          <w:sz w:val="18"/>
        </w:rPr>
        <w:t xml:space="preserve">依据  </w:t>
      </w:r>
      <w:hyperlink r:id="rId25">
        <w:r>
          <w:rPr>
            <w:color w:val="295878"/>
          </w:rPr>
          <w:t>K01 北京香港马会会所2025年6月会刊</w:t>
        </w:r>
      </w:hyperlink>
      <w:r>
        <w:rPr>
          <w:sz w:val="18"/>
        </w:rPr>
        <w:t>；</w:t>
      </w:r>
      <w:hyperlink r:id="rId26">
        <w:r>
          <w:rPr>
            <w:color w:val="295878"/>
          </w:rPr>
          <w:t>K05 EO China East分会资料</w:t>
        </w:r>
      </w:hyperlink>
      <w:r>
        <w:rPr>
          <w:sz w:val="18"/>
        </w:rPr>
        <w:t>；</w:t>
      </w:r>
      <w:hyperlink r:id="rId12">
        <w:r>
          <w:rPr>
            <w:color w:val="295878"/>
          </w:rPr>
          <w:t>K07 EO 2024至2025年度报告官方发布</w:t>
        </w:r>
      </w:hyperlink>
      <w:r>
        <w:rPr>
          <w:sz w:val="18"/>
        </w:rPr>
        <w:t>；</w:t>
      </w:r>
      <w:hyperlink r:id="rId27">
        <w:r>
          <w:rPr>
            <w:color w:val="295878"/>
          </w:rPr>
          <w:t>K08 2026商界木兰年会及木兰汇介绍</w:t>
        </w:r>
      </w:hyperlink>
      <w:r>
        <w:rPr>
          <w:sz w:val="18"/>
        </w:rPr>
        <w:t>；</w:t>
      </w:r>
      <w:hyperlink r:id="rId28">
        <w:r>
          <w:rPr>
            <w:color w:val="295878"/>
          </w:rPr>
          <w:t>K09 正和岛App开发者介绍与内购价</w:t>
        </w:r>
      </w:hyperlink>
      <w:r>
        <w:rPr>
          <w:sz w:val="18"/>
        </w:rPr>
        <w:t>；</w:t>
      </w:r>
      <w:hyperlink r:id="rId29">
        <w:r>
          <w:rPr>
            <w:color w:val="295878"/>
          </w:rPr>
          <w:t>U04 YPO会员资格</w:t>
        </w:r>
      </w:hyperlink>
      <w:r>
        <w:rPr>
          <w:sz w:val="18"/>
        </w:rPr>
        <w:t>；</w:t>
      </w:r>
      <w:hyperlink r:id="rId30">
        <w:r>
          <w:rPr>
            <w:color w:val="295878"/>
          </w:rPr>
          <w:t>U05 YPO会员体验</w:t>
        </w:r>
      </w:hyperlink>
      <w:r>
        <w:rPr>
          <w:sz w:val="18"/>
        </w:rPr>
        <w:t>；</w:t>
      </w:r>
      <w:hyperlink r:id="rId31">
        <w:r>
          <w:rPr>
            <w:color w:val="295878"/>
          </w:rPr>
          <w:t>U13 SEE生态协会2024年度审计报告</w:t>
        </w:r>
      </w:hyperlink>
      <w:r>
        <w:rPr>
          <w:sz w:val="18"/>
        </w:rPr>
        <w:t>；</w:t>
      </w:r>
      <w:hyperlink r:id="rId9">
        <w:r>
          <w:rPr>
            <w:color w:val="295878"/>
          </w:rPr>
          <w:t>R01 北京会所现行个人及公司会籍</w:t>
        </w:r>
      </w:hyperlink>
      <w:r>
        <w:rPr>
          <w:sz w:val="18"/>
        </w:rPr>
        <w:t>；</w:t>
      </w:r>
      <w:hyperlink r:id="rId10">
        <w:r>
          <w:rPr>
            <w:color w:val="295878"/>
          </w:rPr>
          <w:t>R02 木兰2026年会官方报名及票价</w:t>
        </w:r>
      </w:hyperlink>
      <w:r>
        <w:rPr>
          <w:sz w:val="18"/>
        </w:rPr>
        <w:t>；</w:t>
      </w:r>
      <w:hyperlink r:id="rId32">
        <w:r>
          <w:rPr>
            <w:color w:val="295878"/>
          </w:rPr>
          <w:t>R03 木兰汇杭州参访PingPong回顾</w:t>
        </w:r>
      </w:hyperlink>
      <w:r>
        <w:rPr>
          <w:sz w:val="18"/>
        </w:rPr>
        <w:t>；</w:t>
      </w:r>
      <w:hyperlink r:id="rId33">
        <w:r>
          <w:rPr>
            <w:color w:val="295878"/>
          </w:rPr>
          <w:t>R09 优家荟深圳十周年经营规模自述</w:t>
        </w:r>
      </w:hyperlink>
      <w:r>
        <w:rPr>
          <w:sz w:val="18"/>
        </w:rPr>
        <w:t>；</w:t>
      </w:r>
      <w:hyperlink r:id="rId34">
        <w:r>
          <w:rPr>
            <w:color w:val="295878"/>
          </w:rPr>
          <w:t>R11 安徽正和岛参访元琛科技</w:t>
        </w:r>
      </w:hyperlink>
      <w:r>
        <w:rPr>
          <w:sz w:val="18"/>
        </w:rPr>
        <w:t>；</w:t>
      </w:r>
      <w:hyperlink r:id="rId35">
        <w:r>
          <w:rPr>
            <w:color w:val="295878"/>
          </w:rPr>
          <w:t>R12 正和岛2026宜兴发展年会回顾</w:t>
        </w:r>
      </w:hyperlink>
    </w:p>
    <w:p>
      <w:bookmarkStart w:id="9" w:name="sec_9"/>
      <w:pPr>
        <w:pStyle w:val="Heading1"/>
        <w:pageBreakBefore/>
      </w:pPr>
      <w:r>
        <w:t>四 六家机构深度研究</w:t>
      </w:r>
      <w:bookmarkEnd w:id="9"/>
    </w:p>
    <w:p>
      <w:r>
        <w:t>每家依次说明价格、权益、客户、获客、实际交付及经营判断。正式制度和实际回顾为主要依据，招募安排另标明。平台指标的缺项保留在对应经营表中。</w:t>
      </w:r>
    </w:p>
    <w:p>
      <w:bookmarkStart w:id="10" w:name="sec_10"/>
      <w:pPr>
        <w:pStyle w:val="Heading2"/>
      </w:pPr>
      <w:r>
        <w:t>4.1 北京香港马会会所</w:t>
      </w:r>
      <w:bookmarkEnd w:id="10"/>
    </w:p>
    <w:p>
      <w:pPr>
        <w:pStyle w:val="Heading3"/>
      </w:pPr>
      <w:r>
        <w:t>定位及客户</w:t>
      </w:r>
    </w:p>
    <w:p>
      <w:r>
        <w:t>北京香港马会会所以正式会籍和日常场景组织关系，覆盖商务接待、文化兴趣、运动休闲及家庭同行。个人会籍与公司会籍是同一机构的不同持有方式。公司会籍由公司或组织持有，按登记提名人使用，适合企业安排特定人士参加。</w:t>
      </w:r>
    </w:p>
    <w:p>
      <w:r>
        <w:t>其可确认的客户层次为个人会员、公司提名使用人、配偶及附属卡子女。职业、资产和关系状态的实际分布没有在现行公开会籍页披露。对本公司的参考在于让不同关系阶段成员有各自的参加方式。</w:t>
      </w:r>
    </w:p>
    <w:p>
      <w:pPr>
        <w:pStyle w:val="Heading3"/>
      </w:pPr>
      <w:r>
        <w:t>价格及会籍结构</w:t>
      </w:r>
    </w:p>
    <w:tbl>
      <w:tblPr>
        <w:tblW w:type="auto" w:w="0"/>
        <w:tblLayout w:type="fixed"/>
        <w:tblLook w:firstColumn="1" w:firstRow="1" w:lastColumn="0" w:lastRow="0" w:noHBand="0" w:noVBand="1" w:val="04A0"/>
      </w:tblPr>
      <w:tblGrid>
        <w:gridCol w:w="1984"/>
        <w:gridCol w:w="1814"/>
        <w:gridCol w:w="1814"/>
        <w:gridCol w:w="1701"/>
        <w:gridCol w:w="209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持有方式</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登记人数</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入会费 万元</w:t>
            </w:r>
          </w:p>
        </w:tc>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 元</w:t>
            </w:r>
          </w:p>
        </w:tc>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月费折算全年 元</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个人会员</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2200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公司丙类 C</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2200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公司乙类 B</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2位提名人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130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4400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52800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公司甲类 A</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6600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79200</w:t>
            </w:r>
          </w:p>
        </w:tc>
      </w:tr>
    </w:tbl>
    <w:p>
      <w:pPr>
        <w:spacing w:after="0"/>
      </w:pPr>
    </w:p>
    <w:p>
      <w:r>
        <w:t>上述为2026年1月1日起标准。按完整12个月计算，个人首年入会费加月费为62.64万元；公司丙、乙、甲类分别为72.64万、135.28万、187.92万元。这只是列示会籍费用的合计，餐饮、住宿、购物及收费活动另按消费计。</w:t>
      </w:r>
    </w:p>
    <w:p>
      <w:pPr>
        <w:keepNext/>
      </w:pPr>
      <w:r>
        <w:t>公司三档的月费按登记人数等比例增加，每位提名人折算全年2.64万元。公司档位按登记人数区分，入会费和月费按整份会籍报价。公司会籍采取邀请制，个人申请由北京会所董事会决定。</w:t>
      </w:r>
    </w:p>
    <w:p>
      <w:pPr>
        <w:spacing w:line="260" w:lineRule="exact" w:after="160"/>
      </w:pPr>
      <w:r>
        <w:rPr>
          <w:sz w:val="18"/>
        </w:rPr>
        <w:t xml:space="preserve">依据  </w:t>
      </w:r>
      <w:hyperlink r:id="rId9">
        <w:r>
          <w:rPr>
            <w:color w:val="295878"/>
          </w:rPr>
          <w:t>R01 北京会所现行个人及公司会籍</w:t>
        </w:r>
      </w:hyperlink>
    </w:p>
    <w:p>
      <w:pPr>
        <w:pStyle w:val="Heading3"/>
      </w:pPr>
      <w:r>
        <w:t>会员权益及参加边界</w:t>
      </w:r>
    </w:p>
    <w:p>
      <w:r>
        <w:t>现行会籍页列北京会所、深圳中心使用权，以及香港指定设施互惠：香港会所每自然年36天、每月最多7天，并有特定场所周末及公众假期限制；赛马场在赛季内适用相应使用安排。跨地权益分别限定地区、天数和场所。</w:t>
      </w:r>
    </w:p>
    <w:p>
      <w:pPr>
        <w:keepNext/>
      </w:pPr>
      <w:r>
        <w:t>另有子女附属卡申请表，列8至21岁、每年120元，并区分年龄对应的使用及签账规则。这属于家庭附属产品，不能与主会籍月费混列。家属和来宾能否参加具体活动仍要按该活动及场所规则说明，主会籍不是所有消费的通票。</w:t>
      </w:r>
    </w:p>
    <w:p>
      <w:pPr>
        <w:spacing w:line="260" w:lineRule="exact" w:after="160"/>
      </w:pPr>
      <w:r>
        <w:rPr>
          <w:sz w:val="18"/>
        </w:rPr>
        <w:t xml:space="preserve">依据  </w:t>
      </w:r>
      <w:hyperlink r:id="rId9">
        <w:r>
          <w:rPr>
            <w:color w:val="295878"/>
          </w:rPr>
          <w:t>R01 北京会所现行个人及公司会籍</w:t>
        </w:r>
      </w:hyperlink>
      <w:r>
        <w:rPr>
          <w:sz w:val="18"/>
        </w:rPr>
        <w:t>；</w:t>
      </w:r>
      <w:hyperlink r:id="rId36">
        <w:r>
          <w:rPr>
            <w:color w:val="295878"/>
          </w:rPr>
          <w:t>K02 北京香港马会会所子女附属卡申请表</w:t>
        </w:r>
      </w:hyperlink>
    </w:p>
    <w:p>
      <w:pPr>
        <w:pStyle w:val="Heading3"/>
      </w:pPr>
      <w:r>
        <w:t>获客和会员发展</w:t>
      </w:r>
    </w:p>
    <w:p>
      <w:r>
        <w:t>可见入口是官网会籍咨询、会刊、会员推荐和品牌合作活动。会刊中的成功推荐消费券机制，使现有会员既提供信任背书，也参与招募。公司会籍邀请制则将机构与具体使用人分开管理。公开材料尚未列各渠道带来的申请、录取、付款或奖励成本。</w:t>
      </w:r>
    </w:p>
    <w:p>
      <w:pPr>
        <w:pStyle w:val="Heading3"/>
      </w:pPr>
      <w:r>
        <w:t>实际活动一 茶文化沙龙</w:t>
      </w:r>
    </w:p>
    <w:p>
      <w:r>
        <w:t>2025年6月会刊回顾4月8日NEWBY茶沙龙，交付顺序可复原为文化介绍、制茶视频、两款茶品鉴、西点主厨说明、四款茶包拼配DIY及茶叙。现场由茶品牌专业内容、餐饮团队与共同动手体验组成。</w:t>
      </w:r>
    </w:p>
    <w:tbl>
      <w:tblPr>
        <w:tblW w:type="auto" w:w="0"/>
        <w:tblLayout w:type="fixed"/>
        <w:tblLook w:firstColumn="1" w:firstRow="1" w:lastColumn="0" w:lastRow="0" w:noHBand="0" w:noVBand="1" w:val="04A0"/>
      </w:tblPr>
      <w:tblGrid>
        <w:gridCol w:w="1701"/>
        <w:gridCol w:w="4252"/>
        <w:gridCol w:w="3458"/>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环节</w:t>
            </w:r>
          </w:p>
        </w:tc>
        <w:tc>
          <w:tcPr>
            <w:tcW w:type="dxa" w:w="425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公开记录的交付</w:t>
            </w:r>
          </w:p>
        </w:tc>
        <w:tc>
          <w:tcPr>
            <w:tcW w:type="dxa" w:w="345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对关系组织的作用</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知识导入</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茶文化介绍及制茶视频</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让新人拥有共同话题</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品鉴</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两种茶与西点说明</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专业内容提供体验依据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共同操作</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拼配四款DIY茶包</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成员共同做事，降低陌生交流压力</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交流</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茶叙</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自然延长停留与交谈</w:t>
            </w:r>
          </w:p>
        </w:tc>
      </w:tr>
    </w:tbl>
    <w:p>
      <w:pPr>
        <w:spacing w:after="0"/>
      </w:pPr>
    </w:p>
    <w:p>
      <w:pPr>
        <w:pStyle w:val="Heading3"/>
      </w:pPr>
      <w:r>
        <w:t>实际活动二 悦读会</w:t>
      </w:r>
    </w:p>
    <w:p>
      <w:pPr>
        <w:keepNext/>
      </w:pPr>
      <w:r>
        <w:t>同一会刊记录《洛阳伽蓝记》主题阅读活动，包含主题分享、问答、荐书和礼赠。它以一项文化内容召集成员，由主持与嘉宾启动交流，再给成员表达与延伸阅读的空间。两场的招募人数、收费及分钟表未在回顾披露。</w:t>
      </w:r>
    </w:p>
    <w:p>
      <w:pPr>
        <w:spacing w:line="260" w:lineRule="exact" w:after="160"/>
      </w:pPr>
      <w:r>
        <w:rPr>
          <w:sz w:val="18"/>
        </w:rPr>
        <w:t xml:space="preserve">依据  </w:t>
      </w:r>
      <w:hyperlink r:id="rId25">
        <w:r>
          <w:rPr>
            <w:color w:val="295878"/>
          </w:rPr>
          <w:t>K01 北京香港马会会所2025年6月会刊</w:t>
        </w:r>
      </w:hyperlink>
    </w:p>
    <w:p>
      <w:pPr>
        <w:pStyle w:val="Heading3"/>
      </w:pPr>
      <w:r>
        <w:t>经营表现及学习判断</w:t>
      </w:r>
    </w:p>
    <w:p>
      <w:r>
        <w:t>会籍收费、家庭附属产品和多类活动回顾共同支持其持续服务模式。当前未取得北京有效会员、全年实到、续会及独立利润数据，也未取得可确认主账号的完整平台窗口，因此经营评价集中于产品与组织方式。</w:t>
      </w:r>
    </w:p>
    <w:p>
      <w:r>
        <w:t>最适合迁移的是日常接待、活动目的、家属边界和推荐服务。重场地投入与马会背书是其特有条件。初创可以先使用合作场景，把持续组织能力作为自身资产；不应以60万元入会费推导新公司的价格。</w:t>
      </w:r>
    </w:p>
    <w:p>
      <w:bookmarkStart w:id="11" w:name="sec_11"/>
      <w:pPr>
        <w:pStyle w:val="Heading2"/>
        <w:pageBreakBefore/>
      </w:pPr>
      <w:r>
        <w:t>4.2 EO中国华东分会</w:t>
      </w:r>
      <w:bookmarkEnd w:id="11"/>
    </w:p>
    <w:p>
      <w:pPr>
        <w:pStyle w:val="Heading3"/>
      </w:pPr>
      <w:r>
        <w:t>定位及实际客户</w:t>
      </w:r>
    </w:p>
    <w:p>
      <w:r>
        <w:t>EO面向企业创始人及所有者，核心服务是经过训练的固定同伴小组和持续学习。华东分会Fact Sheet标注截至2026年9月30日109位会员、平均44岁、中位45岁，企业营收中位数1000万美元。</w:t>
      </w:r>
    </w:p>
    <w:p>
      <w:pPr>
        <w:keepNext/>
      </w:pPr>
      <w:r>
        <w:t>华东资格页列创始人、联合创始人、所有者或控股股东，企业年收入超过100万美元、50岁前加入；风投支持企业有融资及员工条件。它筛选的是经营责任和阶段，而不是单靠消费能力。</w:t>
      </w:r>
    </w:p>
    <w:p>
      <w:pPr>
        <w:spacing w:line="260" w:lineRule="exact" w:after="160"/>
      </w:pPr>
      <w:r>
        <w:rPr>
          <w:sz w:val="18"/>
        </w:rPr>
        <w:t xml:space="preserve">依据  </w:t>
      </w:r>
      <w:hyperlink r:id="rId26">
        <w:r>
          <w:rPr>
            <w:color w:val="295878"/>
          </w:rPr>
          <w:t>K05 EO China East分会资料</w:t>
        </w:r>
      </w:hyperlink>
      <w:r>
        <w:rPr>
          <w:sz w:val="18"/>
        </w:rPr>
        <w:t>；</w:t>
      </w:r>
      <w:hyperlink r:id="rId37">
        <w:r>
          <w:rPr>
            <w:color w:val="295878"/>
          </w:rPr>
          <w:t>K15 EO中国华东分会资格</w:t>
        </w:r>
      </w:hyperlink>
    </w:p>
    <w:p>
      <w:pPr>
        <w:pStyle w:val="Heading3"/>
      </w:pPr>
      <w:r>
        <w:t>会费与可比地区收费</w:t>
      </w:r>
    </w:p>
    <w:tbl>
      <w:tblPr>
        <w:tblW w:type="auto" w:w="0"/>
        <w:tblLayout w:type="fixed"/>
        <w:tblLook w:firstColumn="1" w:firstRow="1" w:lastColumn="0" w:lastRow="0" w:noHBand="0" w:noVBand="1" w:val="04A0"/>
      </w:tblPr>
      <w:tblGrid>
        <w:gridCol w:w="1984"/>
        <w:gridCol w:w="3402"/>
        <w:gridCol w:w="4025"/>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费用层</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华东公开页面</w:t>
            </w:r>
          </w:p>
        </w:tc>
        <w:tc>
          <w:tcPr>
            <w:tcW w:type="dxa" w:w="402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适用时间及含义</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全球持续年费</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2630美元／年</w:t>
            </w:r>
          </w:p>
        </w:tc>
        <w:tc>
          <w:tcPr>
            <w:tcW w:type="dxa" w:w="402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按财年缴纳，加入时按适用规则折算</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全球首次入会费</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3500美元／次</w:t>
            </w:r>
          </w:p>
        </w:tc>
        <w:tc>
          <w:tcPr>
            <w:tcW w:type="dxa" w:w="402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新会员首次缴纳</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首年全球费用合计</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6130美元</w:t>
            </w:r>
          </w:p>
        </w:tc>
        <w:tc>
          <w:tcPr>
            <w:tcW w:type="dxa" w:w="402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按完整财年相加，未含地方及另付项目</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华东地方费用</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Fact Sheet显示0元；资格页说明须交地方费</w:t>
            </w:r>
          </w:p>
        </w:tc>
        <w:tc>
          <w:tcPr>
            <w:tcW w:type="dxa" w:w="402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两页不能共同确认完整现价；0值不作为免费结论</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北京地方年费对照</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9200元／年</w:t>
            </w:r>
          </w:p>
        </w:tc>
        <w:tc>
          <w:tcPr>
            <w:tcW w:type="dxa" w:w="402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北京分会2026至2027页明确；不替代华东报价</w:t>
            </w:r>
          </w:p>
        </w:tc>
      </w:tr>
    </w:tbl>
    <w:p>
      <w:pPr>
        <w:spacing w:after="0"/>
      </w:pPr>
    </w:p>
    <w:p>
      <w:pPr>
        <w:keepNext/>
      </w:pPr>
      <w:r>
        <w:t>EO北京对照页将会费拆为全球费和地方费，并明确2026年7月1日至2027年6月30日服务年度。这种报价方式值得新公司采用：总部品牌服务、城市运营及项目活动的收费归属应清楚。华东现价缺的是地方部分，全球费用已有明确公开标准。</w:t>
      </w:r>
    </w:p>
    <w:p>
      <w:pPr>
        <w:spacing w:line="260" w:lineRule="exact" w:after="160"/>
      </w:pPr>
      <w:r>
        <w:rPr>
          <w:sz w:val="18"/>
        </w:rPr>
        <w:t xml:space="preserve">依据  </w:t>
      </w:r>
      <w:hyperlink r:id="rId26">
        <w:r>
          <w:rPr>
            <w:color w:val="295878"/>
          </w:rPr>
          <w:t>K05 EO China East分会资料</w:t>
        </w:r>
      </w:hyperlink>
      <w:r>
        <w:rPr>
          <w:sz w:val="18"/>
        </w:rPr>
        <w:t>；</w:t>
      </w:r>
      <w:hyperlink r:id="rId37">
        <w:r>
          <w:rPr>
            <w:color w:val="295878"/>
          </w:rPr>
          <w:t>K15 EO中国华东分会资格</w:t>
        </w:r>
      </w:hyperlink>
      <w:r>
        <w:rPr>
          <w:sz w:val="18"/>
        </w:rPr>
        <w:t>；</w:t>
      </w:r>
      <w:hyperlink r:id="rId38">
        <w:r>
          <w:rPr>
            <w:color w:val="295878"/>
          </w:rPr>
          <w:t>R05 EO北京分会2026至2027入会及收费</w:t>
        </w:r>
      </w:hyperlink>
    </w:p>
    <w:p>
      <w:pPr>
        <w:pStyle w:val="Heading3"/>
      </w:pPr>
      <w:r>
        <w:t>权益及长期交付</w:t>
      </w:r>
    </w:p>
    <w:p>
      <w:r>
        <w:t>全球Forum产品为6至10位会员每月固定聚会，由受训的同伴主持，强调保密和分享个人经历。新会员培训后进入小组；组织另提供地方活动、全球学习及兴趣网络，并设配偶与生活伴侣Forum。伴侣服务是另一个适用组别，不等于把伴侣放进所有企业家小组。</w:t>
      </w:r>
    </w:p>
    <w:p>
      <w:pPr>
        <w:keepNext/>
      </w:pPr>
      <w:r>
        <w:t>产品价值来自稳定成员、交流规则和重复投入。新增成员能否融入、缺席怎样处理、主持是否持续受训，比单场嘉宾级别更影响长期体验。华东小组的实际出席、会议时长和另付费用未在本轮取得的页面公开。</w:t>
      </w:r>
    </w:p>
    <w:p>
      <w:pPr>
        <w:spacing w:line="260" w:lineRule="exact" w:after="160"/>
      </w:pPr>
      <w:r>
        <w:rPr>
          <w:sz w:val="18"/>
        </w:rPr>
        <w:t xml:space="preserve">依据  </w:t>
      </w:r>
      <w:hyperlink r:id="rId11">
        <w:r>
          <w:rPr>
            <w:color w:val="295878"/>
          </w:rPr>
          <w:t>K06 EO Forum服务设计</w:t>
        </w:r>
      </w:hyperlink>
    </w:p>
    <w:p>
      <w:pPr>
        <w:pStyle w:val="Heading3"/>
      </w:pPr>
      <w:r>
        <w:t>获客和入组流程</w:t>
      </w:r>
    </w:p>
    <w:p>
      <w:r>
        <w:t>华东公开流程为向地方分会申请、资格审查与面谈、接纳后参加培训和活动、前几个月进入Forum，全球员工在首三个月提供引导。新公司可学习把招募、适配、培训和入组分成连续步骤，让付款后的第一段服务有明确负责人。</w:t>
      </w:r>
    </w:p>
    <w:p>
      <w:pPr>
        <w:keepNext/>
      </w:pPr>
      <w:r>
        <w:t>公开的区域活动同时服务会员和潜在会员，提供可体验的加入入口。EO华东活动列表还会展示其他国家及线上活动，因此不能把该列表全部统计为华东举办场次。EO China East与EO Shanghai也是不同分会，人数、社媒账号和地方收费分别记录。</w:t>
      </w:r>
    </w:p>
    <w:p>
      <w:pPr>
        <w:spacing w:line="260" w:lineRule="exact" w:after="160"/>
      </w:pPr>
      <w:r>
        <w:rPr>
          <w:sz w:val="18"/>
        </w:rPr>
        <w:t xml:space="preserve">依据  </w:t>
      </w:r>
      <w:hyperlink r:id="rId37">
        <w:r>
          <w:rPr>
            <w:color w:val="295878"/>
          </w:rPr>
          <w:t>K15 EO中国华东分会资格</w:t>
        </w:r>
      </w:hyperlink>
    </w:p>
    <w:p>
      <w:pPr>
        <w:pStyle w:val="Heading3"/>
      </w:pPr>
      <w:r>
        <w:t>实际活动 北亚北京企业家节</w:t>
      </w:r>
    </w:p>
    <w:p>
      <w:r>
        <w:t>EO官方回顾显示，2026年3月11至13日在北京举行的第二届北亚企业家节有380余位企业家参加，其中约110位潜在会员。活动包含主会场学习、六组专题体验、企业参访及社交晚宴。参访地点列字节跳动、小米和机器人创新中心等。</w:t>
      </w:r>
    </w:p>
    <w:tbl>
      <w:tblPr>
        <w:tblW w:type="auto" w:w="0"/>
        <w:tblLayout w:type="fixed"/>
        <w:tblLook w:firstColumn="1" w:firstRow="1" w:lastColumn="0" w:lastRow="0" w:noHBand="0" w:noVBand="1" w:val="04A0"/>
      </w:tblPr>
      <w:tblGrid>
        <w:gridCol w:w="1701"/>
        <w:gridCol w:w="4309"/>
        <w:gridCol w:w="3402"/>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阶段</w:t>
            </w:r>
          </w:p>
        </w:tc>
        <w:tc>
          <w:tcPr>
            <w:tcW w:type="dxa" w:w="430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已发生的活动内容</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适合学习的组织方式</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共同学习</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主会场内容及AI、风险、出海等六类小场景</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提供共同议题，再按需求深入</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企业现场</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进入创新企业参访</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用企业现场支持讨论和共同体验</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社交晚宴</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3月12日晚领导发言、业务介绍、交流及共同举杯</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让参与者表达自身业务，形成认识入口</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潜在会员参与</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约110位潜在会员与正式成员同场</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在实际服务环境中体验组织</w:t>
            </w:r>
          </w:p>
        </w:tc>
      </w:tr>
    </w:tbl>
    <w:p>
      <w:pPr>
        <w:spacing w:after="0"/>
      </w:pPr>
    </w:p>
    <w:p>
      <w:pPr>
        <w:keepNext/>
      </w:pPr>
      <w:r>
        <w:t>这场北亚区域活动将学习、参访和会员招募放在同一体验中，其中有华东成员参与。对本公司，值得学习的是让潜在会员直接体验组织的内容与交流方式，并明确记录之后的申请和付款结果。</w:t>
      </w:r>
    </w:p>
    <w:p>
      <w:pPr>
        <w:spacing w:line="260" w:lineRule="exact" w:after="160"/>
      </w:pPr>
      <w:r>
        <w:rPr>
          <w:sz w:val="18"/>
        </w:rPr>
        <w:t xml:space="preserve">依据  </w:t>
      </w:r>
      <w:hyperlink r:id="rId39">
        <w:r>
          <w:rPr>
            <w:color w:val="295878"/>
          </w:rPr>
          <w:t>R04 EO北亚2026北京企业家节回顾</w:t>
        </w:r>
      </w:hyperlink>
    </w:p>
    <w:p>
      <w:pPr>
        <w:pStyle w:val="Heading3"/>
      </w:pPr>
      <w:r>
        <w:t>经营表现和判断</w:t>
      </w:r>
    </w:p>
    <w:p>
      <w:r>
        <w:t>EO最新取得的FY2024/25年度发布覆盖2024年7月至2025年6月：全球会员略超2万人，新增2544人，整体续会率91.6%。这是六家中较直接的持续付费证据。其含义是成熟服务与成员组织能够支持续会；全球数据不能直接赋给华东。</w:t>
      </w:r>
    </w:p>
    <w:p>
      <w:pPr>
        <w:keepNext/>
      </w:pPr>
      <w:r>
        <w:t>对本公司，EO应排在固定小组交付学习的首位。要复制的是主持训练、保密文化、入组适配、固定节奏与持续维护。首发若尚无合格主持及持续议题，宜先做连续体验，再决定年度小组产品。</w:t>
      </w:r>
    </w:p>
    <w:p>
      <w:pPr>
        <w:spacing w:line="260" w:lineRule="exact" w:after="160"/>
      </w:pPr>
      <w:r>
        <w:rPr>
          <w:sz w:val="18"/>
        </w:rPr>
        <w:t xml:space="preserve">依据  </w:t>
      </w:r>
      <w:hyperlink r:id="rId12">
        <w:r>
          <w:rPr>
            <w:color w:val="295878"/>
          </w:rPr>
          <w:t>K07 EO 2024至2025年度报告官方发布</w:t>
        </w:r>
      </w:hyperlink>
    </w:p>
    <w:p>
      <w:bookmarkStart w:id="12" w:name="sec_12"/>
      <w:pPr>
        <w:pStyle w:val="Heading2"/>
        <w:pageBreakBefore/>
      </w:pPr>
      <w:r>
        <w:t>4.3 长江商学院</w:t>
      </w:r>
      <w:bookmarkEnd w:id="12"/>
    </w:p>
    <w:p>
      <w:pPr>
        <w:pStyle w:val="Heading3"/>
      </w:pPr>
      <w:r>
        <w:t>定位和客户筛选</w:t>
      </w:r>
    </w:p>
    <w:p>
      <w:r>
        <w:t>长江在本报告中主要研究EMBA及其校友关系。其付费对象是一套教育项目，学位、课程、师资、班级与校友共同构成价值，不能把学费直接称为社群年费。</w:t>
      </w:r>
    </w:p>
    <w:p>
      <w:pPr>
        <w:keepNext/>
      </w:pPr>
      <w:r>
        <w:t>当前申请资格列8年以上工作经历、至少5年高级管理经验，处于企业核心决策层，并有学历等招生要求。官网在线申请入口还列副总裁以上职位及企业年营业额3亿元以上筛选提示；不同招生路径以当届简章为准。客户画像应据这些明确的角色和企业条件建立。</w:t>
      </w:r>
    </w:p>
    <w:p>
      <w:pPr>
        <w:spacing w:line="260" w:lineRule="exact" w:after="160"/>
      </w:pPr>
      <w:r>
        <w:rPr>
          <w:sz w:val="18"/>
        </w:rPr>
        <w:t xml:space="preserve">依据  </w:t>
      </w:r>
      <w:hyperlink r:id="rId40">
        <w:r>
          <w:rPr>
            <w:color w:val="295878"/>
          </w:rPr>
          <w:t>K03 长江商学院EMBA费用与申请</w:t>
        </w:r>
      </w:hyperlink>
      <w:r>
        <w:rPr>
          <w:sz w:val="18"/>
        </w:rPr>
        <w:t>；</w:t>
      </w:r>
      <w:hyperlink r:id="rId41">
        <w:r>
          <w:rPr>
            <w:color w:val="295878"/>
          </w:rPr>
          <w:t>R16 长江EMBA学费信息入口</w:t>
        </w:r>
      </w:hyperlink>
      <w:r>
        <w:rPr>
          <w:sz w:val="18"/>
        </w:rPr>
        <w:t>；</w:t>
      </w:r>
      <w:hyperlink r:id="rId42">
        <w:r>
          <w:rPr>
            <w:color w:val="295878"/>
          </w:rPr>
          <w:t>U01 长江2027年EMBA招生简章</w:t>
        </w:r>
      </w:hyperlink>
    </w:p>
    <w:p>
      <w:pPr>
        <w:pStyle w:val="Heading3"/>
      </w:pPr>
      <w:r>
        <w:t>价格和包含事项</w:t>
      </w:r>
    </w:p>
    <w:tbl>
      <w:tblPr>
        <w:tblW w:type="auto" w:w="0"/>
        <w:tblLayout w:type="fixed"/>
        <w:tblLook w:firstColumn="1" w:firstRow="1" w:lastColumn="0" w:lastRow="0" w:noHBand="0" w:noVBand="1" w:val="04A0"/>
      </w:tblPr>
      <w:tblGrid>
        <w:gridCol w:w="2268"/>
        <w:gridCol w:w="2494"/>
        <w:gridCol w:w="4649"/>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产品与费用</w:t>
            </w:r>
          </w:p>
        </w:tc>
        <w:tc>
          <w:tcPr>
            <w:tcW w:type="dxa" w:w="249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w:t>
            </w:r>
          </w:p>
        </w:tc>
        <w:tc>
          <w:tcPr>
            <w:tcW w:type="dxa" w:w="464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服务范围</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2026级EMBA课程</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998000元／完整项目</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在校课程、教材讲义、课程茶点、图书馆及网络设施</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申请费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2000元／次</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面试当天缴纳，与学费分开</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服务期限</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非脱产两年</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按课程、学分、公益及毕业要求组织</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2027级学费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当届招生简章尚未公布数额</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2026级价格保留为明确历史届次</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旅行及海外等支出</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所取FAQ没有列入全部机酒交通</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按具体课程及项目说明分别核算</w:t>
            </w:r>
          </w:p>
        </w:tc>
      </w:tr>
    </w:tbl>
    <w:p>
      <w:pPr>
        <w:spacing w:after="0"/>
      </w:pPr>
    </w:p>
    <w:p>
      <w:pPr>
        <w:keepNext/>
      </w:pPr>
      <w:r>
        <w:t>学费与申请费相加为100万元，作为2026级已列收费合计。它购买的是两年教育项目，不能简单除以两年后当作普通会员年费。官网另有取消入学的分段退款规则，以报到注册前10个及5个工作日为节点；正式申请还应核对当届缴费通知。</w:t>
      </w:r>
    </w:p>
    <w:p>
      <w:pPr>
        <w:spacing w:line="260" w:lineRule="exact" w:after="160"/>
      </w:pPr>
      <w:r>
        <w:rPr>
          <w:sz w:val="18"/>
        </w:rPr>
        <w:t xml:space="preserve">依据  </w:t>
      </w:r>
      <w:hyperlink r:id="rId40">
        <w:r>
          <w:rPr>
            <w:color w:val="295878"/>
          </w:rPr>
          <w:t>K03 长江商学院EMBA费用与申请</w:t>
        </w:r>
      </w:hyperlink>
      <w:r>
        <w:rPr>
          <w:sz w:val="18"/>
        </w:rPr>
        <w:t>；</w:t>
      </w:r>
      <w:hyperlink r:id="rId42">
        <w:r>
          <w:rPr>
            <w:color w:val="295878"/>
          </w:rPr>
          <w:t>U01 长江2027年EMBA招生简章</w:t>
        </w:r>
      </w:hyperlink>
    </w:p>
    <w:p>
      <w:pPr>
        <w:pStyle w:val="Heading3"/>
      </w:pPr>
      <w:r>
        <w:t>产品权益和持续关系</w:t>
      </w:r>
    </w:p>
    <w:p>
      <w:r>
        <w:t>公开课程安排为每月集中四天，开学有一周住读，结合团队建设和核心课程；学习形式含面授、小组研讨、企业参访及海外交流。在校48小时公益实践也是共同投入。班级和校友活动则把部分联系延伸到项目结束以后。</w:t>
      </w:r>
    </w:p>
    <w:p>
      <w:pPr>
        <w:keepNext/>
      </w:pPr>
      <w:r>
        <w:t>公司可以学习“先建立一批固定成员，再用共同任务和重复见面形成关系”的安排。初创缺少学位、师资和校友品牌时，应明确自身卖的是组织与体验，而不是承诺同等的学校资源。</w:t>
      </w:r>
    </w:p>
    <w:p>
      <w:pPr>
        <w:spacing w:line="260" w:lineRule="exact" w:after="160"/>
      </w:pPr>
      <w:r>
        <w:rPr>
          <w:sz w:val="18"/>
        </w:rPr>
        <w:t xml:space="preserve">依据  </w:t>
      </w:r>
      <w:hyperlink r:id="rId40">
        <w:r>
          <w:rPr>
            <w:color w:val="295878"/>
          </w:rPr>
          <w:t>K03 长江商学院EMBA费用与申请</w:t>
        </w:r>
      </w:hyperlink>
    </w:p>
    <w:p>
      <w:pPr>
        <w:pStyle w:val="Heading3"/>
      </w:pPr>
      <w:r>
        <w:t>获客路径和筛选执行</w:t>
      </w:r>
    </w:p>
    <w:p>
      <w:r>
        <w:t>教授观点、校友经营故事、城市公开课和官方账号提供内容入口；官网预报名及一对一咨询承接。FAQ列资料审核、招生人员企业拜访、笔面试及录取，其中推荐信也是申请材料。内容负责建立信任，后续人工接触负责判断是否适合。</w:t>
      </w:r>
    </w:p>
    <w:p>
      <w:r>
        <w:t>其对本公司的启发是将公开内容和会员审核衔接起来。咨询时需要了解职业责任、参加目的和时间投入；面谈不仅审资产，也观察表达、倾听和共同参加能力。</w:t>
      </w:r>
    </w:p>
    <w:p>
      <w:pPr>
        <w:pStyle w:val="Heading3"/>
      </w:pPr>
      <w:r>
        <w:t>实际活动一 迈邦生物产业参访</w:t>
      </w:r>
    </w:p>
    <w:p>
      <w:r>
        <w:t>2026年5月6日，EMBA46期2班师生走进上海迈邦生物。学院账号发布的回顾具体记录了班主任开场、创始人主题分享、实验室体验、生产及质量环节参观。</w:t>
      </w:r>
    </w:p>
    <w:tbl>
      <w:tblPr>
        <w:tblW w:type="auto" w:w="0"/>
        <w:tblLayout w:type="fixed"/>
        <w:tblLook w:firstColumn="1" w:firstRow="1" w:lastColumn="0" w:lastRow="0" w:noHBand="0" w:noVBand="1" w:val="04A0"/>
      </w:tblPr>
      <w:tblGrid>
        <w:gridCol w:w="1361"/>
        <w:gridCol w:w="5443"/>
        <w:gridCol w:w="2608"/>
      </w:tblGrid>
      <w:tr>
        <w:trPr>
          <w:tblHeader/>
          <w:cantSplit/>
        </w:trPr>
        <w:tc>
          <w:tcPr>
            <w:tcW w:type="dxa" w:w="136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443"/>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具体交付</w:t>
            </w:r>
          </w:p>
        </w:tc>
        <w:tc>
          <w:tcPr>
            <w:tcW w:type="dxa" w:w="260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承担角色</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开场</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班主任说明研学目的并致谢接待</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经营案例</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创始人讲行业供应链、智能化和企业实践</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创始人兼CEO</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实验体验</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细胞知识、显微观察、细胞计数仪操作</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研发团队指导</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运营现场</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生产和质量部门流程、标准与记录</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企业运营团队陪同</w:t>
            </w:r>
          </w:p>
        </w:tc>
      </w:tr>
    </w:tbl>
    <w:p>
      <w:pPr>
        <w:spacing w:after="0"/>
      </w:pPr>
    </w:p>
    <w:p>
      <w:pPr>
        <w:keepNext/>
      </w:pPr>
      <w:r>
        <w:t>活动让参加者听到经营者经验，也能亲手操作及观察企业流程。值得学习的是围绕一个企业问题形成多种参与方式；本轮回顾没有列实际人数、时段分钟数、单场收费及活动后回访。</w:t>
      </w:r>
    </w:p>
    <w:p>
      <w:pPr>
        <w:spacing w:line="260" w:lineRule="exact" w:after="160"/>
      </w:pPr>
      <w:r>
        <w:rPr>
          <w:sz w:val="18"/>
        </w:rPr>
        <w:t xml:space="preserve">依据  </w:t>
      </w:r>
      <w:hyperlink r:id="rId13">
        <w:r>
          <w:rPr>
            <w:color w:val="295878"/>
          </w:rPr>
          <w:t>R14 长江EMBA参访迈邦回顾</w:t>
        </w:r>
      </w:hyperlink>
    </w:p>
    <w:p>
      <w:pPr>
        <w:pStyle w:val="Heading3"/>
      </w:pPr>
      <w:r>
        <w:t>实际活动二 十周年返校及校友延续</w:t>
      </w:r>
    </w:p>
    <w:p>
      <w:pPr>
        <w:keepNext/>
      </w:pPr>
      <w:r>
        <w:t>基金会官网目录确认，EMBA28期于2026年6月27日回到北京新校园，7月2日发布十周年活动信息。目录可以证明毕业后仍有组织召集，不能复原全文未取得的签到、课程和晚宴步骤。它与在读参访形成两种明确场景：班级日常共同学习，毕业后以里程碑再次聚集。</w:t>
      </w:r>
    </w:p>
    <w:p>
      <w:pPr>
        <w:spacing w:line="260" w:lineRule="exact" w:after="160"/>
      </w:pPr>
      <w:r>
        <w:rPr>
          <w:sz w:val="18"/>
        </w:rPr>
        <w:t xml:space="preserve">依据  </w:t>
      </w:r>
      <w:hyperlink r:id="rId43">
        <w:r>
          <w:rPr>
            <w:color w:val="295878"/>
          </w:rPr>
          <w:t>R15 长江教育基金会近期校友活动目录</w:t>
        </w:r>
      </w:hyperlink>
    </w:p>
    <w:p>
      <w:pPr>
        <w:pStyle w:val="Heading3"/>
      </w:pPr>
      <w:r>
        <w:t>经营表现及学习判断</w:t>
      </w:r>
    </w:p>
    <w:p>
      <w:r>
        <w:t>项目官网自述累计培养13000余位EMBA学员，品牌和招生项目持续存在。小红书认证EMBA账号本项目10月21日快照3304粉丝，近90天已取得23篇样本。累计学员说明长期教育规模，具体内容样本说明传播方式；当前在读、校友年度参加、复购和项目利润没有可比公开披露。</w:t>
      </w:r>
    </w:p>
    <w:p>
      <w:pPr>
        <w:keepNext/>
      </w:pPr>
      <w:r>
        <w:t>长江最值得学习的是筛选、共同投入与班级延续。对客户而言，固定同伴和时间承诺使关系积累有机会发生。对新公司而言，可以先设计连续三次的共同主题或项目，验证成员是否愿意再次见到彼此，再出售更长期承诺。</w:t>
      </w:r>
    </w:p>
    <w:p>
      <w:pPr>
        <w:spacing w:line="260" w:lineRule="exact" w:after="160"/>
      </w:pPr>
      <w:r>
        <w:rPr>
          <w:sz w:val="18"/>
        </w:rPr>
        <w:t xml:space="preserve">依据  </w:t>
      </w:r>
      <w:hyperlink r:id="rId44">
        <w:r>
          <w:rPr>
            <w:color w:val="295878"/>
          </w:rPr>
          <w:t>K04 长江商学院EMBA项目</w:t>
        </w:r>
      </w:hyperlink>
      <w:r>
        <w:rPr>
          <w:sz w:val="18"/>
        </w:rPr>
        <w:t>；</w:t>
      </w:r>
      <w:hyperlink r:id="rId45">
        <w:r>
          <w:rPr>
            <w:color w:val="295878"/>
          </w:rPr>
          <w:t>U11 小红书平台研究快照</w:t>
        </w:r>
      </w:hyperlink>
    </w:p>
    <w:p>
      <w:bookmarkStart w:id="13" w:name="sec_13"/>
      <w:pPr>
        <w:pStyle w:val="Heading2"/>
        <w:pageBreakBefore/>
      </w:pPr>
      <w:r>
        <w:t>4.4 木兰汇</w:t>
      </w:r>
      <w:bookmarkEnd w:id="13"/>
    </w:p>
    <w:p>
      <w:pPr>
        <w:pStyle w:val="Heading3"/>
      </w:pPr>
      <w:r>
        <w:t>定位和成员画像</w:t>
      </w:r>
    </w:p>
    <w:p>
      <w:r>
        <w:t>木兰汇由《中国企业家》杂志社于2009年发起，面向商业女性。2026官方专题自述近1000位成员、来自29省市，其中企业市值或估值20亿元以上的核心成员112位。这支持其企业家层级及全国覆盖，实际财富、付费会籍和各城市活跃仍需分别统计。</w:t>
      </w:r>
    </w:p>
    <w:p>
      <w:pPr>
        <w:keepNext/>
      </w:pPr>
      <w:r>
        <w:t>本轮新增的PingPong企业回顾显示，参加杭州参访的是科技、文娱、智能制造和新消费等行业的女性创始人及高管。相较泛化“高端女性”，这提供了可用于招募及设计议题的实际职业场景：企业出海与经营实践。</w:t>
      </w:r>
    </w:p>
    <w:p>
      <w:pPr>
        <w:spacing w:line="260" w:lineRule="exact" w:after="160"/>
      </w:pPr>
      <w:r>
        <w:rPr>
          <w:sz w:val="18"/>
        </w:rPr>
        <w:t xml:space="preserve">依据  </w:t>
      </w:r>
      <w:hyperlink r:id="rId27">
        <w:r>
          <w:rPr>
            <w:color w:val="295878"/>
          </w:rPr>
          <w:t>K08 2026商界木兰年会及木兰汇介绍</w:t>
        </w:r>
      </w:hyperlink>
      <w:r>
        <w:rPr>
          <w:sz w:val="18"/>
        </w:rPr>
        <w:t>；</w:t>
      </w:r>
      <w:hyperlink r:id="rId32">
        <w:r>
          <w:rPr>
            <w:color w:val="295878"/>
          </w:rPr>
          <w:t>R03 木兰汇杭州参访PingPong回顾</w:t>
        </w:r>
      </w:hyperlink>
    </w:p>
    <w:p>
      <w:pPr>
        <w:pStyle w:val="Heading3"/>
      </w:pPr>
      <w:r>
        <w:t>2026年会分层票价及权益</w:t>
      </w:r>
    </w:p>
    <w:tbl>
      <w:tblPr>
        <w:tblW w:type="auto" w:w="0"/>
        <w:tblLayout w:type="fixed"/>
        <w:tblLook w:firstColumn="1" w:firstRow="1" w:lastColumn="0" w:lastRow="0" w:noHBand="0" w:noVBand="1" w:val="04A0"/>
      </w:tblPr>
      <w:tblGrid>
        <w:gridCol w:w="1247"/>
        <w:gridCol w:w="1871"/>
        <w:gridCol w:w="2381"/>
        <w:gridCol w:w="3912"/>
      </w:tblGrid>
      <w:tr>
        <w:trPr>
          <w:tblHeader/>
          <w:cantSplit/>
        </w:trPr>
        <w:tc>
          <w:tcPr>
            <w:tcW w:type="dxa" w:w="124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票种</w:t>
            </w:r>
          </w:p>
        </w:tc>
        <w:tc>
          <w:tcPr>
            <w:tcW w:type="dxa" w:w="187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标准价 元／人</w:t>
            </w:r>
          </w:p>
        </w:tc>
        <w:tc>
          <w:tcPr>
            <w:tcW w:type="dxa" w:w="238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早鸟价</w:t>
            </w:r>
          </w:p>
        </w:tc>
        <w:tc>
          <w:tcPr>
            <w:tcW w:type="dxa" w:w="391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可确认的差异权益</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普通</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8800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3月31日前5800元</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会议简餐，无姓名桌卡</w:t>
            </w:r>
          </w:p>
        </w:tc>
      </w:tr>
      <w:tr>
        <w:trPr>
          <w:cantSplit/>
        </w:trPr>
        <w:tc>
          <w:tcPr>
            <w:tcW w:type="dxa" w:w="124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VIP</w:t>
            </w:r>
          </w:p>
        </w:tc>
        <w:tc>
          <w:tcPr>
            <w:tcW w:type="dxa" w:w="187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17800</w:t>
            </w:r>
          </w:p>
        </w:tc>
        <w:tc>
          <w:tcPr>
            <w:tcW w:type="dxa" w:w="238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3月31日前14800元</w:t>
            </w:r>
          </w:p>
        </w:tc>
        <w:tc>
          <w:tcPr>
            <w:tcW w:type="dxa" w:w="391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3次酒店自助餐、前排课桌及姓名卡、赠普通票1张、感言视频和合影</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SVIP</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37800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本轮页面未列早鸟</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1次嘉宾桌餐加2次自助餐、前排沙发、赠普通票2张、正装照、感言视频和合影</w:t>
            </w:r>
          </w:p>
        </w:tc>
      </w:tr>
    </w:tbl>
    <w:p>
      <w:pPr>
        <w:spacing w:after="0"/>
      </w:pPr>
    </w:p>
    <w:p>
      <w:r>
        <w:t>以上来自2026年会主办方注册页。普通票是会议入场产品；VIP和SVIP把餐饮、席位、带客和展示组合销售。这是活动票价，不是木兰汇年度会籍费。赠票是否实际使用会改变客户的组合价值，不能只看主票金额。</w:t>
      </w:r>
    </w:p>
    <w:p>
      <w:pPr>
        <w:keepNext/>
      </w:pPr>
      <w:r>
        <w:t>现行年度会员或理事会籍费没有出现在本轮取得的官方专题及报名页。网上流传2014年3万元与10万元标准，出处为旧报道中的网传资料，本报告不将其列为现行价格或有效历史报价。年会票价已查清，年度会员合约仍需正式会籍材料。</w:t>
      </w:r>
    </w:p>
    <w:p>
      <w:pPr>
        <w:spacing w:line="260" w:lineRule="exact" w:after="160"/>
      </w:pPr>
      <w:r>
        <w:rPr>
          <w:sz w:val="18"/>
        </w:rPr>
        <w:t xml:space="preserve">依据  </w:t>
      </w:r>
      <w:hyperlink r:id="rId10">
        <w:r>
          <w:rPr>
            <w:color w:val="295878"/>
          </w:rPr>
          <w:t>R02 木兰2026年会官方报名及票价</w:t>
        </w:r>
      </w:hyperlink>
    </w:p>
    <w:p>
      <w:pPr>
        <w:pStyle w:val="Heading3"/>
      </w:pPr>
      <w:r>
        <w:t>权益和获客方式</w:t>
      </w:r>
    </w:p>
    <w:p>
      <w:r>
        <w:t>公开可见产品包括年会、路演、论坛、晚宴及企业调研参访。品牌媒体提供人物和议题曝光，官方专题与注册页承接个人、公司、职务、手机和参会时段，考察线路单独选择；商务合作与参会报名有不同入口。</w:t>
      </w:r>
    </w:p>
    <w:p>
      <w:pPr>
        <w:keepNext/>
      </w:pPr>
      <w:r>
        <w:t>这条路径把内容影响力转为明确活动报名，再通过线下同场接触建立关系。本公司的参考是先选定目标行业和共同问题，再组合论坛、圆桌、晚宴与参访。媒体合作所能提供的曝光应单独写明，不能与会员资格混在一个承诺里。</w:t>
      </w:r>
    </w:p>
    <w:p>
      <w:pPr>
        <w:spacing w:line="260" w:lineRule="exact" w:after="160"/>
      </w:pPr>
      <w:r>
        <w:rPr>
          <w:sz w:val="18"/>
        </w:rPr>
        <w:t xml:space="preserve">依据  </w:t>
      </w:r>
      <w:hyperlink r:id="rId27">
        <w:r>
          <w:rPr>
            <w:color w:val="295878"/>
          </w:rPr>
          <w:t>K08 2026商界木兰年会及木兰汇介绍</w:t>
        </w:r>
      </w:hyperlink>
      <w:r>
        <w:rPr>
          <w:sz w:val="18"/>
        </w:rPr>
        <w:t>；</w:t>
      </w:r>
      <w:hyperlink r:id="rId10">
        <w:r>
          <w:rPr>
            <w:color w:val="295878"/>
          </w:rPr>
          <w:t>R02 木兰2026年会官方报名及票价</w:t>
        </w:r>
      </w:hyperlink>
    </w:p>
    <w:p>
      <w:pPr>
        <w:pStyle w:val="Heading3"/>
      </w:pPr>
      <w:r>
        <w:t>实际活动一 杭州PingPong参访</w:t>
      </w:r>
    </w:p>
    <w:p>
      <w:r>
        <w:t>接待企业官网确认，2026年7月30日木兰调研见学杭州站第二站有50余位女性企业家到访PingPong。内容围绕女性领导力、全球化创业与跨境经营，接待者包括合伙人及大中华区副总裁。</w:t>
      </w:r>
    </w:p>
    <w:tbl>
      <w:tblPr>
        <w:tblW w:type="auto" w:w="0"/>
        <w:tblLayout w:type="fixed"/>
        <w:tblLook w:firstColumn="1" w:firstRow="1" w:lastColumn="0" w:lastRow="0" w:noHBand="0" w:noVBand="1" w:val="04A0"/>
      </w:tblPr>
      <w:tblGrid>
        <w:gridCol w:w="1417"/>
        <w:gridCol w:w="5102"/>
        <w:gridCol w:w="2891"/>
      </w:tblGrid>
      <w:tr>
        <w:trPr>
          <w:tblHeader/>
          <w:cantSplit/>
        </w:trPr>
        <w:tc>
          <w:tcPr>
            <w:tcW w:type="dxa" w:w="141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1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已确认内容</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组织意义</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主题分享</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合伙人讲企业全球化与支付服务</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接待负责人直接提供企业经营视角</w:t>
            </w:r>
          </w:p>
        </w:tc>
      </w:tr>
      <w:tr>
        <w:trPr>
          <w:cantSplit/>
        </w:trPr>
        <w:tc>
          <w:tcPr>
            <w:tcW w:type="dxa" w:w="141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业务案例</w:t>
            </w:r>
          </w:p>
        </w:tc>
        <w:tc>
          <w:tcPr>
            <w:tcW w:type="dxa" w:w="51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大中华区副总裁讲跨境解决方案</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从宏观话题进入可讨论的业务场景</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自由交流</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出海实操及女性品牌全球化讨论</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成员带着自身问题交流</w:t>
            </w:r>
          </w:p>
        </w:tc>
      </w:tr>
    </w:tbl>
    <w:p>
      <w:pPr>
        <w:spacing w:after="0"/>
      </w:pPr>
    </w:p>
    <w:p>
      <w:pPr>
        <w:keepNext/>
      </w:pPr>
      <w:r>
        <w:t>与单纯参观场地相比，这场活动把成员经营问题、接待层级及现场交流对齐。没有公开的分钟表和收费，不补写为全套执行SOP。</w:t>
      </w:r>
    </w:p>
    <w:p>
      <w:pPr>
        <w:spacing w:line="260" w:lineRule="exact" w:after="160"/>
      </w:pPr>
      <w:r>
        <w:rPr>
          <w:sz w:val="18"/>
        </w:rPr>
        <w:t xml:space="preserve">依据  </w:t>
      </w:r>
      <w:hyperlink r:id="rId32">
        <w:r>
          <w:rPr>
            <w:color w:val="295878"/>
          </w:rPr>
          <w:t>R03 木兰汇杭州参访PingPong回顾</w:t>
        </w:r>
      </w:hyperlink>
    </w:p>
    <w:p>
      <w:pPr>
        <w:pStyle w:val="Heading3"/>
      </w:pPr>
      <w:r>
        <w:t>实际活动二 安吉年会与公布的执行安排</w:t>
      </w:r>
    </w:p>
    <w:p>
      <w:r>
        <w:t>2026年4月17至18日年会已在安吉召开，活动后报道记录当地女企业家协会40余位代表参加，部分企业参与分享。官方专题与注册页还公布4月19日考察选择。因此本报告将17至18日会议的举办事实，与19日考察的公布安排分开。</w:t>
      </w:r>
      <w:r>
        <w:t xml:space="preserve"> [R19]</w:t>
      </w:r>
    </w:p>
    <w:p>
      <w:pPr>
        <w:keepNext/>
      </w:pPr>
      <w:r>
        <w:t>注册页安排17日上午注册、下午路演和大课，18日演讲、对话、消费及健康主题，19日08:45至11:45考察三选一。专题页和注册页对17日晚及部分时段有不同版本，不拼成一份声称已经执行的分钟表。实际可学的是多日活动把内容、成员表达和现场体验组合起来。</w:t>
      </w:r>
    </w:p>
    <w:p>
      <w:pPr>
        <w:spacing w:line="260" w:lineRule="exact" w:after="160"/>
      </w:pPr>
      <w:r>
        <w:rPr>
          <w:sz w:val="18"/>
        </w:rPr>
        <w:t xml:space="preserve">依据  </w:t>
      </w:r>
      <w:hyperlink r:id="rId10">
        <w:r>
          <w:rPr>
            <w:color w:val="295878"/>
          </w:rPr>
          <w:t>R02 木兰2026年会官方报名及票价</w:t>
        </w:r>
      </w:hyperlink>
      <w:r>
        <w:rPr>
          <w:sz w:val="18"/>
        </w:rPr>
        <w:t>；</w:t>
      </w:r>
      <w:hyperlink r:id="rId27">
        <w:r>
          <w:rPr>
            <w:color w:val="295878"/>
          </w:rPr>
          <w:t>K08 2026商界木兰年会及木兰汇介绍</w:t>
        </w:r>
      </w:hyperlink>
    </w:p>
    <w:p>
      <w:pPr>
        <w:pStyle w:val="Heading3"/>
      </w:pPr>
      <w:r>
        <w:t>经营表现及学习判断</w:t>
      </w:r>
    </w:p>
    <w:p>
      <w:r>
        <w:t>木兰汇有近千成员、18届年会及2026持续参访，显示品牌延续和头部女性经营者召集能力。票价和不同权益说明其已提供分层交易。真实销售票数、会员续费、年会损益及全年有效参加人数未公开取得，尚不能据此判断利润。</w:t>
      </w:r>
    </w:p>
    <w:p>
      <w:r>
        <w:t>本公司应优先学习它如何把成员从听众变为路演、分享及接待者，以及如何用明确差异支撑票价。若做女性方向，核心承诺应由成员真实事业与生活问题形成；精美晚宴只能承载其中一部分。</w:t>
      </w:r>
    </w:p>
    <w:p>
      <w:bookmarkStart w:id="14" w:name="sec_14"/>
      <w:pPr>
        <w:pStyle w:val="Heading2"/>
        <w:pageBreakBefore/>
      </w:pPr>
      <w:r>
        <w:t>4.5 正和岛</w:t>
      </w:r>
      <w:bookmarkEnd w:id="14"/>
    </w:p>
    <w:p>
      <w:pPr>
        <w:pStyle w:val="Heading3"/>
      </w:pPr>
      <w:r>
        <w:t>定位与产品层级</w:t>
      </w:r>
    </w:p>
    <w:p>
      <w:r>
        <w:t>正和岛同时经营公开内容、数字付费、核心企业家会籍和线下学习。App开发者介绍自述深度服务年营收亿元以上企业9000余家、App用户100余万、新媒体矩阵1100余万。三项分别是客户企业、应用受众与媒体受众，不能相加。</w:t>
      </w:r>
    </w:p>
    <w:p>
      <w:pPr>
        <w:keepNext/>
      </w:pPr>
      <w:r>
        <w:t>本公司的学习重点是从内容建立信任，再把适配客户转入审核后的持续服务。正和岛的企业家客户和数字内容读者也不能当成同一付费层。</w:t>
      </w:r>
    </w:p>
    <w:p>
      <w:pPr>
        <w:spacing w:line="260" w:lineRule="exact" w:after="160"/>
      </w:pPr>
      <w:r>
        <w:rPr>
          <w:sz w:val="18"/>
        </w:rPr>
        <w:t xml:space="preserve">依据  </w:t>
      </w:r>
      <w:hyperlink r:id="rId28">
        <w:r>
          <w:rPr>
            <w:color w:val="295878"/>
          </w:rPr>
          <w:t>K09 正和岛App开发者介绍与内购价</w:t>
        </w:r>
      </w:hyperlink>
    </w:p>
    <w:p>
      <w:pPr>
        <w:pStyle w:val="Heading3"/>
      </w:pPr>
      <w:r>
        <w:t>收费及历史制度</w:t>
      </w:r>
    </w:p>
    <w:tbl>
      <w:tblPr>
        <w:tblW w:type="auto" w:w="0"/>
        <w:tblLayout w:type="fixed"/>
        <w:tblLook w:firstColumn="1" w:firstRow="1" w:lastColumn="0" w:lastRow="0" w:noHBand="0" w:noVBand="1" w:val="04A0"/>
      </w:tblPr>
      <w:tblGrid>
        <w:gridCol w:w="2098"/>
        <w:gridCol w:w="3005"/>
        <w:gridCol w:w="4309"/>
      </w:tblGrid>
      <w:tr>
        <w:trPr>
          <w:tblHeader/>
          <w:cantSplit/>
        </w:trPr>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w:t>
            </w:r>
          </w:p>
        </w:tc>
        <w:tc>
          <w:tcPr>
            <w:tcW w:type="dxa" w:w="300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取得的价格</w:t>
            </w:r>
          </w:p>
        </w:tc>
        <w:tc>
          <w:tcPr>
            <w:tcW w:type="dxa" w:w="430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时间与使用方式</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数字学习卡</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1598元／年</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当前App内购列示，数字产品</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金卡海邻</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3998元／年</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当前App内购列示，与核心线下会籍分开</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直播产品</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198元／场</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当前App内购列示</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核心绿色岛邻</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3万元／年</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2015官网历史制度，用于理解原收费方式</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较新历史区域说明</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入会10万元；2020服务费2万元／年，第二年起另付</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2021区域宣传说明，分别对应2019及2020标准</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2026核心线下会籍</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未取得正式公开报价</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官网与当前App均未提供完整可确认价格</w:t>
            </w:r>
          </w:p>
        </w:tc>
      </w:tr>
    </w:tbl>
    <w:p>
      <w:pPr>
        <w:spacing w:after="0"/>
      </w:pPr>
    </w:p>
    <w:p>
      <w:pPr>
        <w:keepNext/>
      </w:pPr>
      <w:r>
        <w:t>网上同时出现1.98万、3万、3.6万等现价说法，有的来自同一发布者批量评测，却没有会员合同或费用原文。本版剔除这些数字，保留能说明收费演变的有日期记录。核心会籍价格不由数字卡或旧价替代。</w:t>
      </w:r>
    </w:p>
    <w:p>
      <w:pPr>
        <w:spacing w:line="260" w:lineRule="exact" w:after="160"/>
      </w:pPr>
      <w:r>
        <w:rPr>
          <w:sz w:val="18"/>
        </w:rPr>
        <w:t xml:space="preserve">依据  </w:t>
      </w:r>
      <w:hyperlink r:id="rId28">
        <w:r>
          <w:rPr>
            <w:color w:val="295878"/>
          </w:rPr>
          <w:t>K09 正和岛App开发者介绍与内购价</w:t>
        </w:r>
      </w:hyperlink>
      <w:r>
        <w:rPr>
          <w:sz w:val="18"/>
        </w:rPr>
        <w:t>；</w:t>
      </w:r>
      <w:hyperlink r:id="rId46">
        <w:r>
          <w:rPr>
            <w:color w:val="295878"/>
          </w:rPr>
          <w:t>K10 正和岛2015广西活动入会说明</w:t>
        </w:r>
      </w:hyperlink>
      <w:r>
        <w:rPr>
          <w:sz w:val="18"/>
        </w:rPr>
        <w:t>；</w:t>
      </w:r>
      <w:hyperlink r:id="rId47">
        <w:r>
          <w:rPr>
            <w:color w:val="295878"/>
          </w:rPr>
          <w:t>R13 正和岛较新历史会籍与产品说明</w:t>
        </w:r>
      </w:hyperlink>
    </w:p>
    <w:p>
      <w:pPr>
        <w:pStyle w:val="Heading3"/>
      </w:pPr>
      <w:r>
        <w:t>会员权益与客户画像</w:t>
      </w:r>
    </w:p>
    <w:p>
      <w:r>
        <w:t>2015官方制度列企业家人脉、标准服务、发起及参加活动、组建部落、地方组织任职和商业互助等权利，准入围绕企业创始人、董事长或CEO及企业规模。当前App还保留内容和学习类付费产品。历史权益可以解释组织模式，2026实际含额、次数与另付规则仍需当前合同。</w:t>
      </w:r>
    </w:p>
    <w:p>
      <w:pPr>
        <w:keepNext/>
      </w:pPr>
      <w:r>
        <w:t>从2026区域参访可见，客户仍包含实体产业创始人及经营者，讨论AI与制造、战略和转型。对本公司而言，经营需求和生活社交需求可同时存在，但应在每场活动中说清目的，避免会员把文化交流理解成招商场。</w:t>
      </w:r>
    </w:p>
    <w:p>
      <w:pPr>
        <w:spacing w:line="260" w:lineRule="exact" w:after="160"/>
      </w:pPr>
      <w:r>
        <w:rPr>
          <w:sz w:val="18"/>
        </w:rPr>
        <w:t xml:space="preserve">依据  </w:t>
      </w:r>
      <w:hyperlink r:id="rId46">
        <w:r>
          <w:rPr>
            <w:color w:val="295878"/>
          </w:rPr>
          <w:t>K10 正和岛2015广西活动入会说明</w:t>
        </w:r>
      </w:hyperlink>
      <w:r>
        <w:rPr>
          <w:sz w:val="18"/>
        </w:rPr>
        <w:t>；</w:t>
      </w:r>
      <w:hyperlink r:id="rId34">
        <w:r>
          <w:rPr>
            <w:color w:val="295878"/>
          </w:rPr>
          <w:t>R11 安徽正和岛参访元琛科技</w:t>
        </w:r>
      </w:hyperlink>
      <w:r>
        <w:rPr>
          <w:sz w:val="18"/>
        </w:rPr>
        <w:t>；</w:t>
      </w:r>
      <w:hyperlink r:id="rId35">
        <w:r>
          <w:rPr>
            <w:color w:val="295878"/>
          </w:rPr>
          <w:t>R12 正和岛2026宜兴发展年会回顾</w:t>
        </w:r>
      </w:hyperlink>
    </w:p>
    <w:p>
      <w:pPr>
        <w:pStyle w:val="Heading3"/>
      </w:pPr>
      <w:r>
        <w:t>获客与服务路径</w:t>
      </w:r>
    </w:p>
    <w:p>
      <w:r>
        <w:t>公开内容和商业人物传播提供大范围入口；App学习、直播和咨询成为不同深度的购买入口。历史官网流程明确个人与企业材料、推荐人、审核、书面通知、缴费及确认。地方机构和成员发起活动进一步组织见面。</w:t>
      </w:r>
    </w:p>
    <w:p>
      <w:r>
        <w:t>这种分层意味着不同产品承担不同任务：内容用于触达，低额交易用于体验，核心会籍用于持续服务。实际升级率与渠道成交未披露，本公司若采用此方式，应从第一天分开记录各层付费客户和会员。</w:t>
      </w:r>
    </w:p>
    <w:p>
      <w:pPr>
        <w:pStyle w:val="Heading3"/>
      </w:pPr>
      <w:r>
        <w:t>实际活动一 安徽元琛科技参访</w:t>
      </w:r>
    </w:p>
    <w:p>
      <w:r>
        <w:t>元琛科技官网记录2026年1月3日安徽正和岛企业家到访。企业创始人兼CEO梁燕接待，带领参观文化展厅，介绍企业发展、技术积累及产业布局，再围绕AI与实体产业、政策和转型交流。</w:t>
      </w:r>
    </w:p>
    <w:tbl>
      <w:tblPr>
        <w:tblW w:type="auto" w:w="0"/>
        <w:tblLayout w:type="fixed"/>
        <w:tblLook w:firstColumn="1" w:firstRow="1" w:lastColumn="0" w:lastRow="0" w:noHBand="0" w:noVBand="1" w:val="04A0"/>
      </w:tblPr>
      <w:tblGrid>
        <w:gridCol w:w="1531"/>
        <w:gridCol w:w="5046"/>
        <w:gridCol w:w="2835"/>
      </w:tblGrid>
      <w:tr>
        <w:trPr>
          <w:tblHeader/>
          <w:cantSplit/>
        </w:trPr>
        <w:tc>
          <w:tcPr>
            <w:tcW w:type="dxa" w:w="153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046"/>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w:t>
            </w:r>
          </w:p>
        </w:tc>
        <w:tc>
          <w:tcPr>
            <w:tcW w:type="dxa" w:w="283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交付作用</w:t>
            </w:r>
          </w:p>
        </w:tc>
      </w:tr>
      <w:tr>
        <w:trPr>
          <w:cantSplit/>
        </w:trPr>
        <w:tc>
          <w:tcPr>
            <w:tcW w:type="dxa" w:w="15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接待与参观</w:t>
            </w:r>
          </w:p>
        </w:tc>
        <w:tc>
          <w:tcPr>
            <w:tcW w:type="dxa" w:w="50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创始人陪同文化展厅</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介绍企业背景及共同观察对象</w:t>
            </w:r>
          </w:p>
        </w:tc>
      </w:tr>
      <w:tr>
        <w:trPr>
          <w:cantSplit/>
        </w:trPr>
        <w:tc>
          <w:tcPr>
            <w:tcW w:type="dxa" w:w="15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企业案例</w:t>
            </w:r>
          </w:p>
        </w:tc>
        <w:tc>
          <w:tcPr>
            <w:tcW w:type="dxa" w:w="50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发展、技术、产业布局与智能升级</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用真实企业经历支持讨论</w:t>
            </w:r>
          </w:p>
        </w:tc>
      </w:tr>
      <w:tr>
        <w:trPr>
          <w:cantSplit/>
        </w:trPr>
        <w:tc>
          <w:tcPr>
            <w:tcW w:type="dxa" w:w="15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互动交流</w:t>
            </w:r>
          </w:p>
        </w:tc>
        <w:tc>
          <w:tcPr>
            <w:tcW w:type="dxa" w:w="50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AI应用、实体产业及转型问题</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把参访转成成员问题交流</w:t>
            </w:r>
          </w:p>
        </w:tc>
      </w:tr>
    </w:tbl>
    <w:p>
      <w:pPr>
        <w:spacing w:after="0"/>
      </w:pPr>
    </w:p>
    <w:p>
      <w:pPr>
        <w:keepNext/>
      </w:pPr>
      <w:r>
        <w:t>接待方作为独立企业发布，是对实际举办的补充证据。该页未给人数、单场费用、交流分钟数或后续合作金额，企业网站阅读数也不作为社群活跃人数。</w:t>
      </w:r>
    </w:p>
    <w:p>
      <w:pPr>
        <w:spacing w:line="260" w:lineRule="exact" w:after="160"/>
      </w:pPr>
      <w:r>
        <w:rPr>
          <w:sz w:val="18"/>
        </w:rPr>
        <w:t xml:space="preserve">依据  </w:t>
      </w:r>
      <w:hyperlink r:id="rId34">
        <w:r>
          <w:rPr>
            <w:color w:val="295878"/>
          </w:rPr>
          <w:t>R11 安徽正和岛参访元琛科技</w:t>
        </w:r>
      </w:hyperlink>
    </w:p>
    <w:p>
      <w:pPr>
        <w:pStyle w:val="Heading3"/>
      </w:pPr>
      <w:r>
        <w:t>实际活动二 宜兴发展年会</w:t>
      </w:r>
    </w:p>
    <w:p>
      <w:r>
        <w:t>正和岛2026年7月发布的回顾称，6月27至28日宜兴发展年会有500位企业家参加，围绕AI时代的经营和自我重塑，安排企业家及学者分享。地方报道对会议延伸到29日有不同表述，本报告以机构回顾中的核心会议日期为准。</w:t>
      </w:r>
    </w:p>
    <w:p>
      <w:pPr>
        <w:keepNext/>
      </w:pPr>
      <w:r>
        <w:t>与区域企业参访相比，全国大会承担集中表达和成员聚集的任务。值得研究的是地方小活动与年度大会如何衔接；500人到场自述证明一次召集规模，不能替代全年会员活跃。</w:t>
      </w:r>
    </w:p>
    <w:p>
      <w:pPr>
        <w:spacing w:line="260" w:lineRule="exact" w:after="160"/>
      </w:pPr>
      <w:r>
        <w:rPr>
          <w:sz w:val="18"/>
        </w:rPr>
        <w:t xml:space="preserve">依据  </w:t>
      </w:r>
      <w:hyperlink r:id="rId35">
        <w:r>
          <w:rPr>
            <w:color w:val="295878"/>
          </w:rPr>
          <w:t>R12 正和岛2026宜兴发展年会回顾</w:t>
        </w:r>
      </w:hyperlink>
    </w:p>
    <w:p>
      <w:pPr>
        <w:pStyle w:val="Heading3"/>
      </w:pPr>
      <w:r>
        <w:t>经营表现和判断</w:t>
      </w:r>
    </w:p>
    <w:p>
      <w:r>
        <w:t>可确认其持续发布商业内容、提供数字交易产品、组织2026地方参访与大会，品牌有实际经营活动。当前有效付费岛邻、核心续费、活动全年频次、获客成本和利润未在所取公开材料列示。</w:t>
      </w:r>
    </w:p>
    <w:p>
      <w:pPr>
        <w:keepNext/>
      </w:pPr>
      <w:r>
        <w:t>小红书同名账号本项目10月21日快照66299粉丝、近90天9篇样本，但运营主体仍未建立充分核验链；它只放在平台线索表中，不代表官方总声量。正和岛值得学习的优先事项是内容与会员服务分层，初创不宜一开始复制复杂的全国地方网络。</w:t>
      </w:r>
    </w:p>
    <w:p>
      <w:pPr>
        <w:spacing w:line="260" w:lineRule="exact" w:after="160"/>
      </w:pPr>
      <w:r>
        <w:rPr>
          <w:sz w:val="18"/>
        </w:rPr>
        <w:t xml:space="preserve">依据  </w:t>
      </w:r>
      <w:hyperlink r:id="rId45">
        <w:r>
          <w:rPr>
            <w:color w:val="295878"/>
          </w:rPr>
          <w:t>U11 小红书平台研究快照</w:t>
        </w:r>
      </w:hyperlink>
    </w:p>
    <w:p>
      <w:bookmarkStart w:id="15" w:name="sec_15"/>
      <w:pPr>
        <w:pStyle w:val="Heading2"/>
        <w:pageBreakBefore/>
      </w:pPr>
      <w:r>
        <w:t>4.6 优家荟</w:t>
      </w:r>
      <w:bookmarkEnd w:id="15"/>
    </w:p>
    <w:p>
      <w:pPr>
        <w:pStyle w:val="Heading3"/>
      </w:pPr>
      <w:r>
        <w:t>定位和实际经营基础</w:t>
      </w:r>
    </w:p>
    <w:p>
      <w:r>
        <w:t>现代传播集团官网确认，优家荟于2010年发起，以《InStyle优家画报》为母平台，服务跨界精英女性，结合媒体、交流互助与生活方式。其活动可以包含艺术旅行、会员企业参访、品牌体验及分会庆典，接近拟设公司的生活社交组合。</w:t>
      </w:r>
    </w:p>
    <w:p>
      <w:pPr>
        <w:keepNext/>
      </w:pPr>
      <w:r>
        <w:t>2026年9月新浪深圳引述深圳分会会长：自2016年成立以来吸纳三千余名女性、举办一千多场主题活动、直接参与者超过一万人。这些是十年累计自述，能够支持该分会有一定组织体量；没有给出当前有效付费人数及去重方法。预告10月23日庆典，在本报告截止日尚未发生。</w:t>
      </w:r>
    </w:p>
    <w:p>
      <w:pPr>
        <w:spacing w:line="260" w:lineRule="exact" w:after="160"/>
      </w:pPr>
      <w:r>
        <w:rPr>
          <w:sz w:val="18"/>
        </w:rPr>
        <w:t xml:space="preserve">依据  </w:t>
      </w:r>
      <w:hyperlink r:id="rId14">
        <w:r>
          <w:rPr>
            <w:color w:val="295878"/>
          </w:rPr>
          <w:t>U14 现代传播俱乐部业务介绍</w:t>
        </w:r>
      </w:hyperlink>
      <w:r>
        <w:rPr>
          <w:sz w:val="18"/>
        </w:rPr>
        <w:t>；</w:t>
      </w:r>
      <w:hyperlink r:id="rId33">
        <w:r>
          <w:rPr>
            <w:color w:val="295878"/>
          </w:rPr>
          <w:t>R09 优家荟深圳十周年经营规模自述</w:t>
        </w:r>
      </w:hyperlink>
    </w:p>
    <w:p>
      <w:pPr>
        <w:pStyle w:val="Heading3"/>
      </w:pPr>
      <w:r>
        <w:t>会籍价格与项目价格分别列示</w:t>
      </w:r>
    </w:p>
    <w:tbl>
      <w:tblPr>
        <w:tblW w:type="auto" w:w="0"/>
        <w:tblLayout w:type="fixed"/>
        <w:tblLook w:firstColumn="1" w:firstRow="1" w:lastColumn="0" w:lastRow="0" w:noHBand="0" w:noVBand="1" w:val="04A0"/>
      </w:tblPr>
      <w:tblGrid>
        <w:gridCol w:w="2438"/>
        <w:gridCol w:w="2891"/>
        <w:gridCol w:w="4082"/>
      </w:tblGrid>
      <w:tr>
        <w:trPr>
          <w:tblHeader/>
          <w:cantSplit/>
        </w:trPr>
        <w:tc>
          <w:tcPr>
            <w:tcW w:type="dxa" w:w="243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收费对象</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金额及期限</w:t>
            </w:r>
          </w:p>
        </w:tc>
        <w:tc>
          <w:tcPr>
            <w:tcW w:type="dxa" w:w="408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证据年份与用途</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白金卡会籍</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2800元／年；新加坡650新币／年</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2017品牌发布，历史资格及分层参照</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黑金卡会籍</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18000元／年；新加坡3980新币／年</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2017品牌发布，历史高阶权益参照</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新加坡两日周年项目</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250新币／人</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2025官方活动页；黑金及白金，计划50席</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新加坡分会京沪六天行程</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500新币／人报名费</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2023招募页；餐费等另计，历史跨城项目</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现行年度会籍</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公开入口未列价格</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官方引导公众号申请；网页入会入口须短信验证</w:t>
            </w:r>
          </w:p>
        </w:tc>
      </w:tr>
    </w:tbl>
    <w:p>
      <w:pPr>
        <w:spacing w:after="0"/>
      </w:pPr>
    </w:p>
    <w:p>
      <w:pPr>
        <w:keepNext/>
      </w:pPr>
      <w:r>
        <w:t>本轮已打开集团介绍、活动报名页、品牌发布的历史会籍页及现行入会入口。后者停在短信验证，没有在未登录页面展示现价，因而本报告保留历史价并注明年份。2025项目明确不含住宿、机票及交通，不能把250新币当作含全部旅行服务的价格。</w:t>
      </w:r>
    </w:p>
    <w:p>
      <w:pPr>
        <w:spacing w:line="260" w:lineRule="exact" w:after="160"/>
      </w:pPr>
      <w:r>
        <w:rPr>
          <w:sz w:val="18"/>
        </w:rPr>
        <w:t xml:space="preserve">依据  </w:t>
      </w:r>
      <w:hyperlink r:id="rId48">
        <w:r>
          <w:rPr>
            <w:color w:val="295878"/>
          </w:rPr>
          <w:t>R06 优家荟白金卡制度历史记录</w:t>
        </w:r>
      </w:hyperlink>
      <w:r>
        <w:rPr>
          <w:sz w:val="18"/>
        </w:rPr>
        <w:t>；</w:t>
      </w:r>
      <w:hyperlink r:id="rId49">
        <w:r>
          <w:rPr>
            <w:color w:val="295878"/>
          </w:rPr>
          <w:t>R07 优家荟黑金卡制度历史记录</w:t>
        </w:r>
      </w:hyperlink>
      <w:r>
        <w:rPr>
          <w:sz w:val="18"/>
        </w:rPr>
        <w:t>；</w:t>
      </w:r>
      <w:hyperlink r:id="rId15">
        <w:r>
          <w:rPr>
            <w:color w:val="295878"/>
          </w:rPr>
          <w:t>U15 优家荟新加坡十周年会员活动</w:t>
        </w:r>
      </w:hyperlink>
      <w:r>
        <w:rPr>
          <w:sz w:val="18"/>
        </w:rPr>
        <w:t>；</w:t>
      </w:r>
      <w:hyperlink r:id="rId50">
        <w:r>
          <w:rPr>
            <w:color w:val="295878"/>
          </w:rPr>
          <w:t>R08 优家荟新加坡会员访京沪及活动规范</w:t>
        </w:r>
      </w:hyperlink>
      <w:r>
        <w:rPr>
          <w:sz w:val="18"/>
        </w:rPr>
        <w:t>；</w:t>
      </w:r>
      <w:hyperlink r:id="rId51">
        <w:r>
          <w:rPr>
            <w:color w:val="295878"/>
          </w:rPr>
          <w:t>R10 优家荟现行入会入口</w:t>
        </w:r>
      </w:hyperlink>
    </w:p>
    <w:p>
      <w:pPr>
        <w:pStyle w:val="Heading3"/>
      </w:pPr>
      <w:r>
        <w:t>会员权益和客户画像</w:t>
      </w:r>
    </w:p>
    <w:p>
      <w:r>
        <w:t>2017白金卡制度面向有十年以上工作经历、具有一定影响力的高级经理人或中小企业主；黑金卡主要邀请企业家、企业家伴侣、文化艺术及社会活动人士，并仅接受推荐。历史高阶权益组合包含专属活动、盛事名额、媒体呈现和会员品牌活动。</w:t>
      </w:r>
    </w:p>
    <w:p>
      <w:r>
        <w:t>其中品牌专场写明策划、场地、执行及20至30位嘉宾等服务，并限制指定场地的额外费用。它说明高阶会籍可以增加成员作为内容与品牌主人的机会。现行活动页仍有金、白金、黑金入口，但历史含额不能直接视作2026合约。</w:t>
      </w:r>
    </w:p>
    <w:p>
      <w:pPr>
        <w:keepNext/>
      </w:pPr>
      <w:r>
        <w:t>2025项目的接待企业来自会员，参与者不只是到场顾客，也可能是主持、分享者、接待者和礼品提供者。因此较合适的客户假设是有事业或文化身份、愿意投入参与的女性，而不是只有资产标签的泛人群。</w:t>
      </w:r>
    </w:p>
    <w:p>
      <w:pPr>
        <w:spacing w:line="260" w:lineRule="exact" w:after="160"/>
      </w:pPr>
      <w:r>
        <w:rPr>
          <w:sz w:val="18"/>
        </w:rPr>
        <w:t xml:space="preserve">依据  </w:t>
      </w:r>
      <w:hyperlink r:id="rId48">
        <w:r>
          <w:rPr>
            <w:color w:val="295878"/>
          </w:rPr>
          <w:t>R06 优家荟白金卡制度历史记录</w:t>
        </w:r>
      </w:hyperlink>
      <w:r>
        <w:rPr>
          <w:sz w:val="18"/>
        </w:rPr>
        <w:t>；</w:t>
      </w:r>
      <w:hyperlink r:id="rId49">
        <w:r>
          <w:rPr>
            <w:color w:val="295878"/>
          </w:rPr>
          <w:t>R07 优家荟黑金卡制度历史记录</w:t>
        </w:r>
      </w:hyperlink>
      <w:r>
        <w:rPr>
          <w:sz w:val="18"/>
        </w:rPr>
        <w:t>；</w:t>
      </w:r>
      <w:hyperlink r:id="rId15">
        <w:r>
          <w:rPr>
            <w:color w:val="295878"/>
          </w:rPr>
          <w:t>U15 优家荟新加坡十周年会员活动</w:t>
        </w:r>
      </w:hyperlink>
    </w:p>
    <w:p>
      <w:pPr>
        <w:pStyle w:val="Heading3"/>
      </w:pPr>
      <w:r>
        <w:t>获客及活动规则</w:t>
      </w:r>
    </w:p>
    <w:p>
      <w:r>
        <w:t>集团媒体、公众号、微博和品牌活动构成可见入口。官方项目页让现有会员进入快速报名，非会员先关注公众号申请入会。2023发布的线下规范另列全国分会报名、实名邀请、确认席位、非会员一次审核后付费体验，以及缺席和推销处罚。</w:t>
      </w:r>
    </w:p>
    <w:p>
      <w:pPr>
        <w:keepNext/>
      </w:pPr>
      <w:r>
        <w:t>这套路径值得学习：体验机会有限且有审核，参加后可转为长期会员；同时用明确规则维护活动环境。有关处罚是当时发布规则，本公司可以参考其解决的问题，但应形成自己的合同及合理执行方式。</w:t>
      </w:r>
    </w:p>
    <w:p>
      <w:pPr>
        <w:spacing w:line="260" w:lineRule="exact" w:after="160"/>
      </w:pPr>
      <w:r>
        <w:rPr>
          <w:sz w:val="18"/>
        </w:rPr>
        <w:t xml:space="preserve">依据  </w:t>
      </w:r>
      <w:hyperlink r:id="rId50">
        <w:r>
          <w:rPr>
            <w:color w:val="295878"/>
          </w:rPr>
          <w:t>R08 优家荟新加坡会员访京沪及活动规范</w:t>
        </w:r>
      </w:hyperlink>
      <w:r>
        <w:rPr>
          <w:sz w:val="18"/>
        </w:rPr>
        <w:t>；</w:t>
      </w:r>
      <w:hyperlink r:id="rId15">
        <w:r>
          <w:rPr>
            <w:color w:val="295878"/>
          </w:rPr>
          <w:t>U15 优家荟新加坡十周年会员活动</w:t>
        </w:r>
      </w:hyperlink>
    </w:p>
    <w:p>
      <w:pPr>
        <w:pStyle w:val="Heading3"/>
      </w:pPr>
      <w:r>
        <w:t>实际活动一 香港艺术之旅</w:t>
      </w:r>
    </w:p>
    <w:p>
      <w:pPr>
        <w:keepNext/>
      </w:pPr>
      <w:r>
        <w:t>官方微博回顾确认，2025年3月27日全球会员在香港开启Women in Art Basel HONG KONG艺术之旅，首日从浅水湾文化场景开始。随后发布的艺术之旅视频在公开索引中显示1537赞、283评论和352转发。它提供了实际共同出行及传播实例；可见正文不足以复原全部三日环节及每场交流时长。</w:t>
      </w:r>
    </w:p>
    <w:p>
      <w:pPr>
        <w:spacing w:line="260" w:lineRule="exact" w:after="160"/>
      </w:pPr>
      <w:r>
        <w:rPr>
          <w:sz w:val="18"/>
        </w:rPr>
        <w:t xml:space="preserve">依据  </w:t>
      </w:r>
      <w:hyperlink r:id="rId52">
        <w:r>
          <w:rPr>
            <w:color w:val="295878"/>
          </w:rPr>
          <w:t>R17 优家荟官方微博活动回顾</w:t>
        </w:r>
      </w:hyperlink>
    </w:p>
    <w:p>
      <w:pPr>
        <w:pStyle w:val="Heading3"/>
      </w:pPr>
      <w:r>
        <w:t>项目执行方案 新加坡十周年两日活动</w:t>
      </w:r>
    </w:p>
    <w:p>
      <w:r>
        <w:t>2025年11月14至15日官方报名页给出完整安排，属于已发布执行方案。本轮未取得足以确认实到及全部执行的回顾，因此保留为方案案例。其细节适合研究旅行与会员企业参访如何组合。</w:t>
      </w:r>
    </w:p>
    <w:tbl>
      <w:tblPr>
        <w:tblW w:type="auto" w:w="0"/>
        <w:tblLayout w:type="fixed"/>
        <w:tblLook w:firstColumn="1" w:firstRow="1" w:lastColumn="0" w:lastRow="0" w:noHBand="0" w:noVBand="1" w:val="04A0"/>
      </w:tblPr>
      <w:tblGrid>
        <w:gridCol w:w="2098"/>
        <w:gridCol w:w="3969"/>
        <w:gridCol w:w="3345"/>
      </w:tblGrid>
      <w:tr>
        <w:trPr>
          <w:tblHeader/>
          <w:cantSplit/>
        </w:trPr>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时间</w:t>
            </w:r>
          </w:p>
        </w:tc>
        <w:tc>
          <w:tcPr>
            <w:tcW w:type="dxa" w:w="396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安排</w:t>
            </w:r>
          </w:p>
        </w:tc>
        <w:tc>
          <w:tcPr>
            <w:tcW w:type="dxa" w:w="334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成员与供应方的角色</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11月14日上午及下午</w:t>
            </w:r>
          </w:p>
        </w:tc>
        <w:tc>
          <w:tcPr>
            <w:tcW w:type="dxa" w:w="396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TAG咖啡、Hair+Lab、大健康中心会员企业参访</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会员企业负责人提供接待和内容</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11月15日14时起</w:t>
            </w:r>
          </w:p>
        </w:tc>
        <w:tc>
          <w:tcPr>
            <w:tcW w:type="dxa" w:w="396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主席团授牌、会员论坛、下午茶</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成员获得表达、认可和交流位置</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11月15日18时起</w:t>
            </w:r>
          </w:p>
        </w:tc>
        <w:tc>
          <w:tcPr>
            <w:tcW w:type="dxa" w:w="396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周年晚宴、蛋糕、抽奖及用餐交流</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会员企业提供礼品，场地品牌提供环境</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报名及费用</w:t>
            </w:r>
          </w:p>
        </w:tc>
        <w:tc>
          <w:tcPr>
            <w:tcW w:type="dxa" w:w="396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白金黑金，50席，250新币；机酒交通另计</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会籍资格、项目报名和旅行支出分开</w:t>
            </w:r>
          </w:p>
        </w:tc>
      </w:tr>
    </w:tbl>
    <w:p>
      <w:pPr>
        <w:spacing w:after="0"/>
      </w:pPr>
    </w:p>
    <w:p>
      <w:pPr>
        <w:keepNext/>
      </w:pPr>
      <w:r>
        <w:t>网页显示6人报名，属于页面可见报名记录，不代表最终出席或所有报名渠道。对初创最有参考的是将会员资源转成共同内容，并把参访、论坛和晚宴安排在同一主题下；会员礼品不应被包装为已经实现的赞助收入。</w:t>
      </w:r>
    </w:p>
    <w:p>
      <w:pPr>
        <w:spacing w:line="260" w:lineRule="exact" w:after="160"/>
      </w:pPr>
      <w:r>
        <w:rPr>
          <w:sz w:val="18"/>
        </w:rPr>
        <w:t xml:space="preserve">依据  </w:t>
      </w:r>
      <w:hyperlink r:id="rId15">
        <w:r>
          <w:rPr>
            <w:color w:val="295878"/>
          </w:rPr>
          <w:t>U15 优家荟新加坡十周年会员活动</w:t>
        </w:r>
      </w:hyperlink>
    </w:p>
    <w:p>
      <w:pPr>
        <w:pStyle w:val="Heading3"/>
      </w:pPr>
      <w:r>
        <w:t>经营表现及学习判断</w:t>
      </w:r>
    </w:p>
    <w:p>
      <w:r>
        <w:t>集团官网确认品牌身份，深圳分会十年累计活动自述、官方旅行回顾和收费项目共同支持其持续社群运营。微博公开索引快照为15086粉丝、1588篇内容；同一主页上普通帖也有1条评论、1赞等低互动记录，高互动视频并非所有内容的典型水平。</w:t>
      </w:r>
    </w:p>
    <w:p>
      <w:pPr>
        <w:keepNext/>
      </w:pPr>
      <w:r>
        <w:t>优家荟最值得学习的是会员分层、地方分会、品牌场景和成员共同交付。经营上需要进一步分清会费、单场付费、品牌合作各承担多少成本。初创若缺少媒体母平台，应先验证能否稳定组织成员参与，不能按历史媒体标价估算自身资源收入。</w:t>
      </w:r>
    </w:p>
    <w:p>
      <w:pPr>
        <w:spacing w:line="260" w:lineRule="exact" w:after="160"/>
      </w:pPr>
      <w:r>
        <w:rPr>
          <w:sz w:val="18"/>
        </w:rPr>
        <w:t xml:space="preserve">依据  </w:t>
      </w:r>
      <w:hyperlink r:id="rId52">
        <w:r>
          <w:rPr>
            <w:color w:val="295878"/>
          </w:rPr>
          <w:t>R17 优家荟官方微博活动回顾</w:t>
        </w:r>
      </w:hyperlink>
      <w:r>
        <w:rPr>
          <w:sz w:val="18"/>
        </w:rPr>
        <w:t>；</w:t>
      </w:r>
      <w:hyperlink r:id="rId14">
        <w:r>
          <w:rPr>
            <w:color w:val="295878"/>
          </w:rPr>
          <w:t>U14 现代传播俱乐部业务介绍</w:t>
        </w:r>
      </w:hyperlink>
      <w:r>
        <w:rPr>
          <w:sz w:val="18"/>
        </w:rPr>
        <w:t>；</w:t>
      </w:r>
      <w:hyperlink r:id="rId33">
        <w:r>
          <w:rPr>
            <w:color w:val="295878"/>
          </w:rPr>
          <w:t>R09 优家荟深圳十周年经营规模自述</w:t>
        </w:r>
      </w:hyperlink>
    </w:p>
    <w:p>
      <w:bookmarkStart w:id="16" w:name="sec_16"/>
      <w:pPr>
        <w:pStyle w:val="Heading1"/>
        <w:pageBreakBefore/>
      </w:pPr>
      <w:r>
        <w:t>五 横向比较与公司机会</w:t>
      </w:r>
      <w:bookmarkEnd w:id="16"/>
    </w:p>
    <w:p>
      <w:bookmarkStart w:id="17" w:name="sec_17"/>
      <w:pPr>
        <w:pStyle w:val="Heading2"/>
      </w:pPr>
      <w:r>
        <w:t>5.1 价格和权益应该如何比较</w:t>
      </w:r>
      <w:bookmarkEnd w:id="17"/>
    </w:p>
    <w:p>
      <w:r>
        <w:t>六家没有一项完全相同的产品可直接排序。比较应围绕客户付款取得什么：资格、持续组织、系统课程、单场体验或传播服务。详细金额已集中在案例，本节只提收费结构与经营含义。</w:t>
      </w:r>
    </w:p>
    <w:tbl>
      <w:tblPr>
        <w:tblW w:type="auto" w:w="0"/>
        <w:tblLayout w:type="fixed"/>
        <w:tblLook w:firstColumn="1" w:firstRow="1" w:lastColumn="0" w:lastRow="0" w:noHBand="0" w:noVBand="1" w:val="04A0"/>
      </w:tblPr>
      <w:tblGrid>
        <w:gridCol w:w="2438"/>
        <w:gridCol w:w="1814"/>
        <w:gridCol w:w="5159"/>
      </w:tblGrid>
      <w:tr>
        <w:trPr>
          <w:tblHeader/>
          <w:cantSplit/>
        </w:trPr>
        <w:tc>
          <w:tcPr>
            <w:tcW w:type="dxa" w:w="243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收费结构</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对应案例</w:t>
            </w:r>
          </w:p>
        </w:tc>
        <w:tc>
          <w:tcPr>
            <w:tcW w:type="dxa" w:w="515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新公司需要明确的内容</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入会加持续费加消费</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北京马会</w:t>
            </w:r>
          </w:p>
        </w:tc>
        <w:tc>
          <w:tcPr>
            <w:tcW w:type="dxa" w:w="515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资格与年度交付分开；公司提名人数；家属和消费规则</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全球加地方的年度费</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EO</w:t>
            </w:r>
          </w:p>
        </w:tc>
        <w:tc>
          <w:tcPr>
            <w:tcW w:type="dxa" w:w="515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品牌资源、城市服务和项目活动成本归属</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完整期限的课程费</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长江</w:t>
            </w:r>
          </w:p>
        </w:tc>
        <w:tc>
          <w:tcPr>
            <w:tcW w:type="dxa" w:w="515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固定节奏、共同学习和参与承诺</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活动票档及带客组合</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木兰汇</w:t>
            </w:r>
          </w:p>
        </w:tc>
        <w:tc>
          <w:tcPr>
            <w:tcW w:type="dxa" w:w="515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席位、餐饮、赠票、展示权益及额外履约成本</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数字产品到核心会籍</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正和岛</w:t>
            </w:r>
          </w:p>
        </w:tc>
        <w:tc>
          <w:tcPr>
            <w:tcW w:type="dxa" w:w="515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不同购买层独立统计，明确升级服务</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分级会籍加主题项目</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优家荟</w:t>
            </w:r>
          </w:p>
        </w:tc>
        <w:tc>
          <w:tcPr>
            <w:tcW w:type="dxa" w:w="515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常态权益、特定级别名额及旅行附加支出</w:t>
            </w:r>
          </w:p>
        </w:tc>
      </w:tr>
    </w:tbl>
    <w:p>
      <w:pPr>
        <w:spacing w:after="0"/>
      </w:pPr>
    </w:p>
    <w:p>
      <w:r>
        <w:t>公司的第一张价目表应先写权益，再填写价格：年度含几次、每次几席、能否带伴侣、哪些主题另收费、未用名额如何处理。高阶会籍应增加可交付的服务或角色，不能只更换称谓。</w:t>
      </w:r>
    </w:p>
    <w:p>
      <w:bookmarkStart w:id="18" w:name="sec_18"/>
      <w:pPr>
        <w:pStyle w:val="Heading2"/>
      </w:pPr>
      <w:r>
        <w:t>5.2 会员持续参与靠什么</w:t>
      </w:r>
      <w:bookmarkEnd w:id="18"/>
    </w:p>
    <w:tbl>
      <w:tblPr>
        <w:tblW w:type="auto" w:w="0"/>
        <w:tblLayout w:type="fixed"/>
        <w:tblLook w:firstColumn="1" w:firstRow="1" w:lastColumn="0" w:lastRow="0" w:noHBand="0" w:noVBand="1" w:val="04A0"/>
      </w:tblPr>
      <w:tblGrid>
        <w:gridCol w:w="2324"/>
        <w:gridCol w:w="3458"/>
        <w:gridCol w:w="3628"/>
      </w:tblGrid>
      <w:tr>
        <w:trPr>
          <w:tblHeader/>
          <w:cantSplit/>
        </w:trPr>
        <w:tc>
          <w:tcPr>
            <w:tcW w:type="dxa" w:w="232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组织机制</w:t>
            </w:r>
          </w:p>
        </w:tc>
        <w:tc>
          <w:tcPr>
            <w:tcW w:type="dxa" w:w="345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六家中的证据</w:t>
            </w:r>
          </w:p>
        </w:tc>
        <w:tc>
          <w:tcPr>
            <w:tcW w:type="dxa" w:w="362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公司可执行的做法</w:t>
            </w:r>
          </w:p>
        </w:tc>
      </w:tr>
      <w:tr>
        <w:trPr>
          <w:cantSplit/>
        </w:trPr>
        <w:tc>
          <w:tcPr>
            <w:tcW w:type="dxa" w:w="232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稳定成员与固定时间</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EO月度组、长江班级</w:t>
            </w:r>
          </w:p>
        </w:tc>
        <w:tc>
          <w:tcPr>
            <w:tcW w:type="dxa" w:w="362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固定日期、同组适配及缺席回访</w:t>
            </w:r>
          </w:p>
        </w:tc>
      </w:tr>
      <w:tr>
        <w:trPr>
          <w:cantSplit/>
        </w:trPr>
        <w:tc>
          <w:tcPr>
            <w:tcW w:type="dxa" w:w="232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共同做事</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马会茶DIY、长江实验体验</w:t>
            </w:r>
          </w:p>
        </w:tc>
        <w:tc>
          <w:tcPr>
            <w:tcW w:type="dxa" w:w="362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安排共同任务，减少全场自由寒暄</w:t>
            </w:r>
          </w:p>
        </w:tc>
      </w:tr>
      <w:tr>
        <w:trPr>
          <w:cantSplit/>
        </w:trPr>
        <w:tc>
          <w:tcPr>
            <w:tcW w:type="dxa" w:w="232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成员表达与贡献</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木兰路演、优家荟会员企业接待</w:t>
            </w:r>
          </w:p>
        </w:tc>
        <w:tc>
          <w:tcPr>
            <w:tcW w:type="dxa" w:w="362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给成员分享、接待和共同策划的位置</w:t>
            </w:r>
          </w:p>
        </w:tc>
      </w:tr>
      <w:tr>
        <w:trPr>
          <w:cantSplit/>
        </w:trPr>
        <w:tc>
          <w:tcPr>
            <w:tcW w:type="dxa" w:w="232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不同关系状态的入口</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马会家庭、EO伴侣Forum</w:t>
            </w:r>
          </w:p>
        </w:tc>
        <w:tc>
          <w:tcPr>
            <w:tcW w:type="dxa" w:w="362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明确单人、伴侣及家庭适用活动</w:t>
            </w:r>
          </w:p>
        </w:tc>
      </w:tr>
      <w:tr>
        <w:trPr>
          <w:cantSplit/>
        </w:trPr>
        <w:tc>
          <w:tcPr>
            <w:tcW w:type="dxa" w:w="232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大活动与小组分工</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正和岛地方参访与全国大会</w:t>
            </w:r>
          </w:p>
        </w:tc>
        <w:tc>
          <w:tcPr>
            <w:tcW w:type="dxa" w:w="362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小活动经营关系，大活动集中内容和展示</w:t>
            </w:r>
          </w:p>
        </w:tc>
      </w:tr>
    </w:tbl>
    <w:p>
      <w:pPr>
        <w:spacing w:after="0"/>
      </w:pPr>
    </w:p>
    <w:p>
      <w:r>
        <w:t>六项拟设业务能共享会员维护，但未必共享同一场活动。私董会要求稳定与保密；旅行要求连续时间和同行舒适；婚恋要求双方明确同意；家庭活动要求适龄和便利。产品组合的关键在于同一会员是否愿意购买第二类服务，而不是菜单上是否拥有六个名称。</w:t>
      </w:r>
    </w:p>
    <w:p>
      <w:bookmarkStart w:id="19" w:name="sec_19"/>
      <w:pPr>
        <w:pStyle w:val="Heading2"/>
      </w:pPr>
      <w:r>
        <w:t>5.3 平台声量与真实经营表现</w:t>
      </w:r>
      <w:bookmarkEnd w:id="19"/>
    </w:p>
    <w:tbl>
      <w:tblPr>
        <w:tblW w:type="auto" w:w="0"/>
        <w:tblLayout w:type="fixed"/>
        <w:tblLook w:firstColumn="1" w:firstRow="1" w:lastColumn="0" w:lastRow="0" w:noHBand="0" w:noVBand="1" w:val="04A0"/>
      </w:tblPr>
      <w:tblGrid>
        <w:gridCol w:w="1814"/>
        <w:gridCol w:w="3515"/>
        <w:gridCol w:w="4082"/>
      </w:tblGrid>
      <w:tr>
        <w:trPr>
          <w:tblHeader/>
          <w:cantSplit/>
        </w:trPr>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机构</w:t>
            </w:r>
          </w:p>
        </w:tc>
        <w:tc>
          <w:tcPr>
            <w:tcW w:type="dxa" w:w="351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粉丝或互动取得情况</w:t>
            </w:r>
          </w:p>
        </w:tc>
        <w:tc>
          <w:tcPr>
            <w:tcW w:type="dxa" w:w="408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已确认经营证据及范围</w:t>
            </w:r>
          </w:p>
        </w:tc>
      </w:tr>
      <w:tr>
        <w:trPr>
          <w:cantSplit/>
        </w:trPr>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北京马会</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未取得机构主号的可比平台窗口</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会籍制度与会刊活动；会员及留存未公开取得</w:t>
            </w:r>
          </w:p>
        </w:tc>
      </w:tr>
      <w:tr>
        <w:trPr>
          <w:cantSplit/>
        </w:trPr>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EO华东</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未取得华东主号可比窗口</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109人截至9月30日；91.6%为全球FY24/25续会</w:t>
            </w:r>
          </w:p>
        </w:tc>
      </w:tr>
      <w:tr>
        <w:trPr>
          <w:cantSplit/>
        </w:trPr>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长江EMBA</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小红书认证号3304粉丝；23篇近期样本</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累计13000余EMBA；2026参访、校友返校</w:t>
            </w:r>
          </w:p>
        </w:tc>
      </w:tr>
      <w:tr>
        <w:trPr>
          <w:cantSplit/>
        </w:trPr>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木兰汇</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未取得独立主号可比窗口</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近1000成员自述；50余人参访；年会交易产品</w:t>
            </w:r>
          </w:p>
        </w:tc>
      </w:tr>
      <w:tr>
        <w:trPr>
          <w:cantSplit/>
        </w:trPr>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正和岛</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同名小红书66299粉丝，主体未充分核验</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App规模自述；2026实际参访和500人大会自述</w:t>
            </w:r>
          </w:p>
        </w:tc>
      </w:tr>
      <w:tr>
        <w:trPr>
          <w:cantSplit/>
        </w:trPr>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优家荟</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微博索引15086粉丝；历史视频283评论352转发</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深圳十年3000余成员及1000余活动自述；会员项目</w:t>
            </w:r>
          </w:p>
        </w:tc>
      </w:tr>
    </w:tbl>
    <w:p>
      <w:pPr>
        <w:spacing w:after="0"/>
      </w:pPr>
    </w:p>
    <w:p>
      <w:r>
        <w:t>可见会员经营数据中，EO的续会率最直接对应持续付费；马会的当前制度对权益设计最有用；木兰及优家荟的新活动证据对产品交付最有用。它们分别回答不同问题，不做一个混合总分。</w:t>
      </w:r>
    </w:p>
    <w:p>
      <w:r>
        <w:t>本项目小红书长江23篇样本中，评论字段可见4篇合计5条，分享字段可见8篇合计33次；正和岛9篇样本分别为1篇合计2条、3篇合计5次。字段缺失未当零计，故不计算全样本互动率。代表帖评论及分享分别为长江2026年9月14日2及10，正和岛10月20日2及1。</w:t>
      </w:r>
    </w:p>
    <w:p>
      <w:pPr>
        <w:keepNext/>
      </w:pPr>
      <w:r>
        <w:t>这些数值支持内容案例观察，尚不能判断哪个品牌获客最好。对新公司，真正需要管理的是合格咨询、体验付款、再次付款及转介绍成交；平台关注和单篇互动作为前端指标另记。</w:t>
      </w:r>
    </w:p>
    <w:p>
      <w:pPr>
        <w:spacing w:line="260" w:lineRule="exact" w:after="160"/>
      </w:pPr>
      <w:r>
        <w:rPr>
          <w:sz w:val="18"/>
        </w:rPr>
        <w:t xml:space="preserve">依据  </w:t>
      </w:r>
      <w:hyperlink r:id="rId45">
        <w:r>
          <w:rPr>
            <w:color w:val="295878"/>
          </w:rPr>
          <w:t>U11 小红书平台研究快照</w:t>
        </w:r>
      </w:hyperlink>
      <w:r>
        <w:rPr>
          <w:sz w:val="18"/>
        </w:rPr>
        <w:t>；</w:t>
      </w:r>
      <w:hyperlink r:id="rId26">
        <w:r>
          <w:rPr>
            <w:color w:val="295878"/>
          </w:rPr>
          <w:t>K05 EO China East分会资料</w:t>
        </w:r>
      </w:hyperlink>
      <w:r>
        <w:rPr>
          <w:sz w:val="18"/>
        </w:rPr>
        <w:t>；</w:t>
      </w:r>
      <w:hyperlink r:id="rId12">
        <w:r>
          <w:rPr>
            <w:color w:val="295878"/>
          </w:rPr>
          <w:t>K07 EO 2024至2025年度报告官方发布</w:t>
        </w:r>
      </w:hyperlink>
      <w:r>
        <w:rPr>
          <w:sz w:val="18"/>
        </w:rPr>
        <w:t>；</w:t>
      </w:r>
      <w:hyperlink r:id="rId44">
        <w:r>
          <w:rPr>
            <w:color w:val="295878"/>
          </w:rPr>
          <w:t>K04 长江商学院EMBA项目</w:t>
        </w:r>
      </w:hyperlink>
      <w:r>
        <w:rPr>
          <w:sz w:val="18"/>
        </w:rPr>
        <w:t>；</w:t>
      </w:r>
      <w:hyperlink r:id="rId27">
        <w:r>
          <w:rPr>
            <w:color w:val="295878"/>
          </w:rPr>
          <w:t>K08 2026商界木兰年会及木兰汇介绍</w:t>
        </w:r>
      </w:hyperlink>
      <w:r>
        <w:rPr>
          <w:sz w:val="18"/>
        </w:rPr>
        <w:t>；</w:t>
      </w:r>
      <w:hyperlink r:id="rId28">
        <w:r>
          <w:rPr>
            <w:color w:val="295878"/>
          </w:rPr>
          <w:t>K09 正和岛App开发者介绍与内购价</w:t>
        </w:r>
      </w:hyperlink>
      <w:r>
        <w:rPr>
          <w:sz w:val="18"/>
        </w:rPr>
        <w:t>；</w:t>
      </w:r>
      <w:hyperlink r:id="rId32">
        <w:r>
          <w:rPr>
            <w:color w:val="295878"/>
          </w:rPr>
          <w:t>R03 木兰汇杭州参访PingPong回顾</w:t>
        </w:r>
      </w:hyperlink>
      <w:r>
        <w:rPr>
          <w:sz w:val="18"/>
        </w:rPr>
        <w:t>；</w:t>
      </w:r>
      <w:hyperlink r:id="rId33">
        <w:r>
          <w:rPr>
            <w:color w:val="295878"/>
          </w:rPr>
          <w:t>R09 优家荟深圳十周年经营规模自述</w:t>
        </w:r>
      </w:hyperlink>
      <w:r>
        <w:rPr>
          <w:sz w:val="18"/>
        </w:rPr>
        <w:t>；</w:t>
      </w:r>
      <w:hyperlink r:id="rId35">
        <w:r>
          <w:rPr>
            <w:color w:val="295878"/>
          </w:rPr>
          <w:t>R12 正和岛2026宜兴发展年会回顾</w:t>
        </w:r>
      </w:hyperlink>
      <w:r>
        <w:rPr>
          <w:sz w:val="18"/>
        </w:rPr>
        <w:t>；</w:t>
      </w:r>
      <w:hyperlink r:id="rId52">
        <w:r>
          <w:rPr>
            <w:color w:val="295878"/>
          </w:rPr>
          <w:t>R17 优家荟官方微博活动回顾</w:t>
        </w:r>
      </w:hyperlink>
    </w:p>
    <w:p>
      <w:bookmarkStart w:id="20" w:name="sec_20"/>
      <w:pPr>
        <w:pStyle w:val="Heading2"/>
      </w:pPr>
      <w:r>
        <w:t>5.4 SEE提供的经营财务提醒</w:t>
      </w:r>
      <w:bookmarkEnd w:id="20"/>
    </w:p>
    <w:p>
      <w:r>
        <w:t>SEE公开资料具有较好的参与及审计证据：2024上半年166场会员活动、338位会员参加、2412参与人次；2025年10月报告列有效会员475位、续费70%。这些分别属于不同观察期，本报告不将它们拼成同一年度活跃率。</w:t>
      </w:r>
    </w:p>
    <w:p>
      <w:pPr>
        <w:keepNext/>
      </w:pPr>
      <w:r>
        <w:t>2024审计报表会费收入1113万元、会员活动成本1462.91万元，收入中另有捐赠支持，包括关联基金会捐赠788.8万元。它提示组织活动很多并不等于会费足以覆盖服务成本。初创需要分别核算会员服务和每个项目贡献，确认赞助与合作收入的来源和持续性。</w:t>
      </w:r>
    </w:p>
    <w:p>
      <w:pPr>
        <w:spacing w:line="260" w:lineRule="exact" w:after="160"/>
      </w:pPr>
      <w:r>
        <w:rPr>
          <w:sz w:val="18"/>
        </w:rPr>
        <w:t xml:space="preserve">依据  </w:t>
      </w:r>
      <w:hyperlink r:id="rId53">
        <w:r>
          <w:rPr>
            <w:color w:val="295878"/>
          </w:rPr>
          <w:t>K11 阿拉善SEE 2025会员大会履职报告</w:t>
        </w:r>
      </w:hyperlink>
      <w:r>
        <w:rPr>
          <w:sz w:val="18"/>
        </w:rPr>
        <w:t>；</w:t>
      </w:r>
      <w:hyperlink r:id="rId54">
        <w:r>
          <w:rPr>
            <w:color w:val="295878"/>
          </w:rPr>
          <w:t>K12 阿拉善SEE 2024年中理事会公报</w:t>
        </w:r>
      </w:hyperlink>
      <w:r>
        <w:rPr>
          <w:sz w:val="18"/>
        </w:rPr>
        <w:t>；</w:t>
      </w:r>
      <w:hyperlink r:id="rId31">
        <w:r>
          <w:rPr>
            <w:color w:val="295878"/>
          </w:rPr>
          <w:t>U13 SEE生态协会2024年度审计报告</w:t>
        </w:r>
      </w:hyperlink>
    </w:p>
    <w:p>
      <w:bookmarkStart w:id="21" w:name="sec_21"/>
      <w:pPr>
        <w:pStyle w:val="Heading1"/>
        <w:pageBreakBefore/>
      </w:pPr>
      <w:r>
        <w:t>六 进入方案与经营验证</w:t>
      </w:r>
      <w:bookmarkEnd w:id="21"/>
    </w:p>
    <w:p>
      <w:bookmarkStart w:id="22" w:name="sec_22"/>
      <w:pPr>
        <w:pStyle w:val="Heading2"/>
      </w:pPr>
      <w:r>
        <w:t>6.1 方向选择及推荐条件</w:t>
      </w:r>
      <w:bookmarkEnd w:id="22"/>
    </w:p>
    <w:p>
      <w:r>
        <w:t>建议把“高端生活社交”作为品牌范围，首期只选择一个核心客户场景。如果团队已有企业家信任关系和主持能力，可先做经营者固定组；若主要资源为生活方式、艺术和旅行客户，则先做连续主题社交。女性方向适合独立经营，但需要自身客户基础与内容负责人。</w:t>
      </w:r>
    </w:p>
    <w:tbl>
      <w:tblPr>
        <w:tblW w:type="auto" w:w="0"/>
        <w:tblLayout w:type="fixed"/>
        <w:tblLook w:firstColumn="1" w:firstRow="1" w:lastColumn="0" w:lastRow="0" w:noHBand="0" w:noVBand="1" w:val="04A0"/>
      </w:tblPr>
      <w:tblGrid>
        <w:gridCol w:w="1871"/>
        <w:gridCol w:w="2154"/>
        <w:gridCol w:w="2665"/>
        <w:gridCol w:w="2721"/>
      </w:tblGrid>
      <w:tr>
        <w:trPr>
          <w:tblHeader/>
          <w:cantSplit/>
        </w:trPr>
        <w:tc>
          <w:tcPr>
            <w:tcW w:type="dxa" w:w="187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方向</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首发产品</w:t>
            </w:r>
          </w:p>
        </w:tc>
        <w:tc>
          <w:tcPr>
            <w:tcW w:type="dxa" w:w="266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成立条件</w:t>
            </w:r>
          </w:p>
        </w:tc>
        <w:tc>
          <w:tcPr>
            <w:tcW w:type="dxa" w:w="272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应当改变方向的证据</w:t>
            </w:r>
          </w:p>
        </w:tc>
      </w:tr>
      <w:tr>
        <w:trPr>
          <w:cantSplit/>
        </w:trPr>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经营者同行社群</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固定小组加企业参访</w:t>
            </w:r>
          </w:p>
        </w:tc>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同城经营者、主持、真实经营议题</w:t>
            </w:r>
          </w:p>
        </w:tc>
        <w:tc>
          <w:tcPr>
            <w:tcW w:type="dxa" w:w="272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客户主要为找业务而来，保密和出席难以形成</w:t>
            </w:r>
          </w:p>
        </w:tc>
      </w:tr>
      <w:tr>
        <w:trPr>
          <w:cantSplit/>
        </w:trPr>
        <w:tc>
          <w:tcPr>
            <w:tcW w:type="dxa" w:w="187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生活方式社群</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连续主题活动加会员旅行</w:t>
            </w:r>
          </w:p>
        </w:tc>
        <w:tc>
          <w:tcPr>
            <w:tcW w:type="dxa" w:w="266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策划接待、场景与适配客户</w:t>
            </w:r>
          </w:p>
        </w:tc>
        <w:tc>
          <w:tcPr>
            <w:tcW w:type="dxa" w:w="272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客户只购买单次目的地，不愿再次同群参加</w:t>
            </w:r>
          </w:p>
        </w:tc>
      </w:tr>
      <w:tr>
        <w:trPr>
          <w:cantSplit/>
        </w:trPr>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女性主题社群</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事业生活议题加成员企业互访</w:t>
            </w:r>
          </w:p>
        </w:tc>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女性客户网络、内容和接待资源</w:t>
            </w:r>
          </w:p>
        </w:tc>
        <w:tc>
          <w:tcPr>
            <w:tcW w:type="dxa" w:w="272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需要依靠大量赠票，付费和连续参与不足</w:t>
            </w:r>
          </w:p>
        </w:tc>
      </w:tr>
    </w:tbl>
    <w:p>
      <w:pPr>
        <w:spacing w:after="0"/>
      </w:pPr>
    </w:p>
    <w:p>
      <w:r>
        <w:t>六项业务分阶段推出：先用主题活动确认适配和再次见面，再形成固定组或连续服务；旅行、游学、参访根据成员共同需求销售；婚恋独立报名和交付。不宜在尚未验证的年费中同时承诺六项无限服务。</w:t>
      </w:r>
    </w:p>
    <w:p>
      <w:bookmarkStart w:id="23" w:name="sec_23"/>
      <w:pPr>
        <w:pStyle w:val="Heading2"/>
      </w:pPr>
      <w:r>
        <w:t>6.2 产品及交付如何落到合同</w:t>
      </w:r>
      <w:bookmarkEnd w:id="23"/>
    </w:p>
    <w:tbl>
      <w:tblPr>
        <w:tblW w:type="auto" w:w="0"/>
        <w:tblLayout w:type="fixed"/>
        <w:tblLook w:firstColumn="1" w:firstRow="1" w:lastColumn="0" w:lastRow="0" w:noHBand="0" w:noVBand="1" w:val="04A0"/>
      </w:tblPr>
      <w:tblGrid>
        <w:gridCol w:w="1984"/>
        <w:gridCol w:w="4139"/>
        <w:gridCol w:w="328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产品层</w:t>
            </w:r>
          </w:p>
        </w:tc>
        <w:tc>
          <w:tcPr>
            <w:tcW w:type="dxa" w:w="413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需要写入的服务</w:t>
            </w:r>
          </w:p>
        </w:tc>
        <w:tc>
          <w:tcPr>
            <w:tcW w:type="dxa" w:w="328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收费与名额规则</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付费体验</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日期、主题、对象、人数、主持、环节与时长</w:t>
            </w:r>
          </w:p>
        </w:tc>
        <w:tc>
          <w:tcPr>
            <w:tcW w:type="dxa" w:w="328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每场价格、退款截止、是否抵扣后续费用</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连续会员服务</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周期、固定组次数、开放活动名额、会员维护</w:t>
            </w:r>
          </w:p>
        </w:tc>
        <w:tc>
          <w:tcPr>
            <w:tcW w:type="dxa" w:w="328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按人、伴侣或公司提名分别定义；候补及未用名额</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主题旅行游学参访</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天数、接待层级、学习内容、住宿交通及负责人</w:t>
            </w:r>
          </w:p>
        </w:tc>
        <w:tc>
          <w:tcPr>
            <w:tcW w:type="dxa" w:w="328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项目独立报价；成团、取消、替换与退款</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自愿婚恋服务</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资料范围、介绍次数、服务期、双方同意及反馈</w:t>
            </w:r>
          </w:p>
        </w:tc>
        <w:tc>
          <w:tcPr>
            <w:tcW w:type="dxa" w:w="328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独立合同和人员，不以普通社交结果充当交付</w:t>
            </w:r>
          </w:p>
        </w:tc>
      </w:tr>
    </w:tbl>
    <w:p>
      <w:pPr>
        <w:spacing w:after="0"/>
      </w:pPr>
    </w:p>
    <w:p>
      <w:r>
        <w:t>实际执行分为招募确认、行前准备、现场交付和后续维护。现场应有主持、会员关系与接待运营的责任分工；活动后分别记录内容评价、人群适配、问题处理及第二次付费。现场分工与活动后的维护需要同时进入成本和绩效管理。</w:t>
      </w:r>
    </w:p>
    <w:p>
      <w:bookmarkStart w:id="24" w:name="sec_24"/>
      <w:pPr>
        <w:pStyle w:val="Heading2"/>
      </w:pPr>
      <w:r>
        <w:t>6.3 经济性先算每位会员贡献和实际工时</w:t>
      </w:r>
      <w:bookmarkEnd w:id="24"/>
    </w:p>
    <w:p>
      <w:r>
        <w:t>年度经营结果＝已履约会员服务收入＋各项目贡献－会员直接交付成本－获客成本－固定成本。先将收费和权益写清，再取得主持、场地、餐饮、供应商与人员报价。固定成本由实际团队配置确定，下面比较不同成本与贡献条件。</w:t>
      </w:r>
    </w:p>
    <w:tbl>
      <w:tblPr>
        <w:tblW w:type="auto" w:w="0"/>
        <w:tblLayout w:type="fixed"/>
        <w:tblLook w:firstColumn="1" w:firstRow="1" w:lastColumn="0" w:lastRow="0" w:noHBand="0" w:noVBand="1" w:val="04A0"/>
      </w:tblPr>
      <w:tblGrid>
        <w:gridCol w:w="2948"/>
        <w:gridCol w:w="2154"/>
        <w:gridCol w:w="2154"/>
        <w:gridCol w:w="2154"/>
      </w:tblGrid>
      <w:tr>
        <w:trPr>
          <w:tblHeader/>
          <w:cantSplit/>
        </w:trPr>
        <w:tc>
          <w:tcPr>
            <w:tcW w:type="dxa" w:w="294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年度固定成本假设 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每位贡献1万元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每位贡献2万元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每位贡献3万元</w:t>
            </w:r>
          </w:p>
        </w:tc>
      </w:tr>
      <w:tr>
        <w:trPr>
          <w:cantSplit/>
        </w:trPr>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120</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120人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40人</w:t>
            </w:r>
          </w:p>
        </w:tc>
      </w:tr>
      <w:tr>
        <w:trPr>
          <w:cantSplit/>
        </w:trPr>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180人</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90人</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60人</w:t>
            </w:r>
          </w:p>
        </w:tc>
      </w:tr>
      <w:tr>
        <w:trPr>
          <w:cantSplit/>
        </w:trPr>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240</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240人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120人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80人</w:t>
            </w:r>
          </w:p>
        </w:tc>
      </w:tr>
    </w:tbl>
    <w:p>
      <w:pPr>
        <w:spacing w:after="0"/>
      </w:pPr>
    </w:p>
    <w:p>
      <w:pPr>
        <w:spacing w:line="300" w:lineRule="exact"/>
      </w:pPr>
      <w:r>
        <w:rPr>
          <w:sz w:val="19"/>
        </w:rPr>
        <w:t>表为条件测算：盈亏平衡人数＝固定成本÷每位全年贡献，向上取整。贡献已扣除该会员直接交付及归因获客费用；不含额外项目收益、税费及资本开支。不是推荐价格或销售预测。</w:t>
      </w:r>
    </w:p>
    <w:p>
      <w:r>
        <w:t>测算须同时接受产能约束。假设60位会员、每组10人、每年10次，则固定组交付60场。若每人另含6次、每场20席，按全部权益使用计算需要18场开放活动，共78场。它只是权益容量演示，运营工时和同时段需求仍要逐场排期。</w:t>
      </w:r>
    </w:p>
    <w:p>
      <w:r>
        <w:t>还要分清三项成本：会员本来参加就产生的成本；为了同一场活动固定发生的成本；年度团队与管理成本。一次活动的剩余座位不等于全年闲置能力，热门日期和稀缺接待资源可能成为真正瓶颈。</w:t>
      </w:r>
    </w:p>
    <w:p>
      <w:r>
        <w:t>预收年费按未履行服务形成后续交付义务。管理时分别看现金收款、已履约收入、未交付权益、供应商预付及退款，不把收款当利润。品牌赞助或会员企业支持，仅在合作明确后进入经营模型。</w:t>
      </w:r>
    </w:p>
    <w:p>
      <w:bookmarkStart w:id="25" w:name="sec_25"/>
      <w:pPr>
        <w:pStyle w:val="Heading2"/>
      </w:pPr>
      <w:r>
        <w:t>6.4 九十天内取得可以决定投入的证据</w:t>
      </w:r>
      <w:bookmarkEnd w:id="25"/>
    </w:p>
    <w:tbl>
      <w:tblPr>
        <w:tblW w:type="auto" w:w="0"/>
        <w:tblLayout w:type="fixed"/>
        <w:tblLook w:firstColumn="1" w:firstRow="1" w:lastColumn="0" w:lastRow="0" w:noHBand="0" w:noVBand="1" w:val="04A0"/>
      </w:tblPr>
      <w:tblGrid>
        <w:gridCol w:w="1701"/>
        <w:gridCol w:w="4309"/>
        <w:gridCol w:w="3402"/>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阶段</w:t>
            </w:r>
          </w:p>
        </w:tc>
        <w:tc>
          <w:tcPr>
            <w:tcW w:type="dxa" w:w="430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具体工作</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进入下一步的证据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第1至2周</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访谈24位有同类消费的目标客户；核对同城资源和既有替代服务</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知道最近真实付款、参加目的、时间和不满意原因</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第3至4周</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组织3场收费体验，每场明确主题和12至20席；记录来源及拒绝</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实付、实到、适配及单场贡献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第5至8周</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将愿意继续者组织为2个连续小组或主题系列</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重复付款、出席、主持和会员维护工时</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第9至12周</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向适配者提出明确期限和权益的持续方案</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付款或拒绝理由、预计交付成本、客户再次邀请能力</w:t>
            </w:r>
          </w:p>
        </w:tc>
      </w:tr>
    </w:tbl>
    <w:p>
      <w:pPr>
        <w:spacing w:after="0"/>
      </w:pPr>
    </w:p>
    <w:p>
      <w:r>
        <w:t>试点结果按客户批次观察：首次参加后30天内第二次付费人数，分母只包括已满30天观察期的首次付费客户。90天重复参加同理，只对观察期成熟的批次计算；12周试点结束时，后入客户尚未成熟，不能填入90天留存分母。</w:t>
      </w:r>
    </w:p>
    <w:p>
      <w:r>
        <w:t>阶段通过条件应在开跑前由合伙人确定。可以先以实到80%、30天第二次付费30%、单场贡献为正作为讨论参数，但需要同时看人数分母、拒绝原因、成员适配和实际工时，不能用小样本百分比掩盖问题。年度续会要等到会员真正到期。</w:t>
      </w:r>
    </w:p>
    <w:p>
      <w:bookmarkStart w:id="26" w:name="sec_26"/>
      <w:pPr>
        <w:pStyle w:val="Heading2"/>
      </w:pPr>
      <w:r>
        <w:t>6.5 合伙人分工与绩效</w:t>
      </w:r>
      <w:bookmarkEnd w:id="26"/>
    </w:p>
    <w:tbl>
      <w:tblPr>
        <w:tblW w:type="auto" w:w="0"/>
        <w:tblLayout w:type="fixed"/>
        <w:tblLook w:firstColumn="1" w:firstRow="1" w:lastColumn="0" w:lastRow="0" w:noHBand="0" w:noVBand="1" w:val="04A0"/>
      </w:tblPr>
      <w:tblGrid>
        <w:gridCol w:w="2041"/>
        <w:gridCol w:w="4139"/>
        <w:gridCol w:w="3231"/>
      </w:tblGrid>
      <w:tr>
        <w:trPr>
          <w:tblHeader/>
          <w:cantSplit/>
        </w:trPr>
        <w:tc>
          <w:tcPr>
            <w:tcW w:type="dxa" w:w="204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责任</w:t>
            </w:r>
          </w:p>
        </w:tc>
        <w:tc>
          <w:tcPr>
            <w:tcW w:type="dxa" w:w="413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主要工作</w:t>
            </w:r>
          </w:p>
        </w:tc>
        <w:tc>
          <w:tcPr>
            <w:tcW w:type="dxa" w:w="323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经营指标</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客户及会员负责人</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渠道、筛选、入会与回访</w:t>
            </w:r>
          </w:p>
        </w:tc>
        <w:tc>
          <w:tcPr>
            <w:tcW w:type="dxa" w:w="32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合格咨询、付费、重复付费及推荐成交</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产品及主持负责人</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主题、小组、嘉宾和内容质量</w:t>
            </w:r>
          </w:p>
        </w:tc>
        <w:tc>
          <w:tcPr>
            <w:tcW w:type="dxa" w:w="32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出席、融入、问题处理、交付工时</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活动运营负责人</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场地、供应商、排期与现场</w:t>
            </w:r>
          </w:p>
        </w:tc>
        <w:tc>
          <w:tcPr>
            <w:tcW w:type="dxa" w:w="32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成本、准时交付、异常解决及履约记录</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经营与绩效负责人</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合同、现金、预算及同批客户追踪</w:t>
            </w:r>
          </w:p>
        </w:tc>
        <w:tc>
          <w:tcPr>
            <w:tcW w:type="dxa" w:w="32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贡献、退款、现金余额和未交付义务</w:t>
            </w:r>
          </w:p>
        </w:tc>
      </w:tr>
    </w:tbl>
    <w:p>
      <w:pPr>
        <w:spacing w:after="0"/>
      </w:pPr>
    </w:p>
    <w:p>
      <w:r>
        <w:t>绩效不能只考核拉群人数和销售收款。新客进入后的体验和再次付费要有共同责任，同时避免为了成交承诺超过团队产能。合伙人每月看同一份数据：新客、有效付费会员、参加、重复付款、投诉退款、项目贡献和服务工时。</w:t>
      </w:r>
    </w:p>
    <w:p>
      <w:bookmarkStart w:id="27" w:name="sec_27"/>
      <w:pPr>
        <w:pStyle w:val="Heading2"/>
      </w:pPr>
      <w:r>
        <w:t>6.6 经营前应落实的事项</w:t>
      </w:r>
      <w:bookmarkEnd w:id="27"/>
    </w:p>
    <w:p>
      <w:r>
        <w:t>旅行游学涉及实际旅游经营时，应明确具有相应资格的承接方和合同责任；会员信息和婚恋资料按用途及必要性管理；预付服务写明期限、次数、退改和履约记录；参访对外明确真实接待人、交流方式及替代安排。各项直接随实际产品落实。</w:t>
      </w:r>
    </w:p>
    <w:p>
      <w:pPr>
        <w:keepNext/>
      </w:pPr>
      <w:r>
        <w:t>本阶段建议批准同城客户验证、收费体验及连续产品测试。首发城市、年度价格、固定场地和跨城服务分别根据对应证据决定。公司值得进入的机会，是在现有组织之外，为一批愿意持续参加的人提供可靠的关系与共同体验；能否把这项服务经营好，需要用同批客户的真实付款和交付成本回答。</w:t>
      </w:r>
    </w:p>
    <w:p>
      <w:pPr>
        <w:spacing w:line="260" w:lineRule="exact" w:after="160"/>
      </w:pPr>
      <w:r>
        <w:rPr>
          <w:sz w:val="18"/>
        </w:rPr>
        <w:t xml:space="preserve">依据  </w:t>
      </w:r>
      <w:hyperlink r:id="rId55">
        <w:r>
          <w:rPr>
            <w:color w:val="295878"/>
          </w:rPr>
          <w:t>U09 中华人民共和国旅游法</w:t>
        </w:r>
      </w:hyperlink>
      <w:r>
        <w:rPr>
          <w:sz w:val="18"/>
        </w:rPr>
        <w:t>；</w:t>
      </w:r>
      <w:hyperlink r:id="rId56">
        <w:r>
          <w:rPr>
            <w:color w:val="295878"/>
          </w:rPr>
          <w:t>U10 预付式消费司法解释发布说明</w:t>
        </w:r>
      </w:hyperlink>
      <w:r>
        <w:rPr>
          <w:sz w:val="18"/>
        </w:rPr>
        <w:t>；</w:t>
      </w:r>
      <w:hyperlink r:id="rId57">
        <w:r>
          <w:rPr>
            <w:color w:val="295878"/>
          </w:rPr>
          <w:t>S75 个人信息保护法</w:t>
        </w:r>
      </w:hyperlink>
    </w:p>
    <w:p>
      <w:bookmarkStart w:id="28" w:name="sec_28"/>
      <w:pPr>
        <w:pStyle w:val="Heading1"/>
        <w:pageBreakBefore/>
      </w:pPr>
      <w:r>
        <w:t>附录 证据索引与补证任务</w:t>
      </w:r>
      <w:bookmarkEnd w:id="28"/>
    </w:p>
    <w:p>
      <w:bookmarkStart w:id="29" w:name="sec_29"/>
      <w:pPr>
        <w:pStyle w:val="Heading2"/>
      </w:pPr>
      <w:r>
        <w:t>A 仍需取得的具体经营证据</w:t>
      </w:r>
      <w:bookmarkEnd w:id="29"/>
    </w:p>
    <w:tbl>
      <w:tblPr>
        <w:tblW w:type="auto" w:w="0"/>
        <w:tblLayout w:type="fixed"/>
        <w:tblLook w:firstColumn="1" w:firstRow="1" w:lastColumn="0" w:lastRow="0" w:noHBand="0" w:noVBand="1" w:val="04A0"/>
      </w:tblPr>
      <w:tblGrid>
        <w:gridCol w:w="1757"/>
        <w:gridCol w:w="3798"/>
        <w:gridCol w:w="3855"/>
      </w:tblGrid>
      <w:tr>
        <w:trPr>
          <w:tblHeader/>
          <w:cantSplit/>
        </w:trPr>
        <w:tc>
          <w:tcPr>
            <w:tcW w:type="dxa" w:w="175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对象</w:t>
            </w:r>
          </w:p>
        </w:tc>
        <w:tc>
          <w:tcPr>
            <w:tcW w:type="dxa" w:w="37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本轮已查到哪里</w:t>
            </w:r>
          </w:p>
        </w:tc>
        <w:tc>
          <w:tcPr>
            <w:tcW w:type="dxa" w:w="385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仍缺什么及用途</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北京马会</w:t>
            </w:r>
          </w:p>
        </w:tc>
        <w:tc>
          <w:tcPr>
            <w:tcW w:type="dxa" w:w="37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现行会籍页、家庭卡、活动会刊</w:t>
            </w:r>
          </w:p>
        </w:tc>
        <w:tc>
          <w:tcPr>
            <w:tcW w:type="dxa" w:w="385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北京有效会员、年度实到与续会，用于留存评价</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EO华东</w:t>
            </w:r>
          </w:p>
        </w:tc>
        <w:tc>
          <w:tcPr>
            <w:tcW w:type="dxa" w:w="37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Fact Sheet、资格、全球规则和年度发布</w:t>
            </w:r>
          </w:p>
        </w:tc>
        <w:tc>
          <w:tcPr>
            <w:tcW w:type="dxa" w:w="385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地方现行会费确认、小组出席及本地续会</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长江EMBA</w:t>
            </w:r>
          </w:p>
        </w:tc>
        <w:tc>
          <w:tcPr>
            <w:tcW w:type="dxa" w:w="37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FAQ、招生及项目主页、真实参访及校友目录</w:t>
            </w:r>
          </w:p>
        </w:tc>
        <w:tc>
          <w:tcPr>
            <w:tcW w:type="dxa" w:w="385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当届招生规模、校友活跃与后续付费</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木兰汇</w:t>
            </w:r>
          </w:p>
        </w:tc>
        <w:tc>
          <w:tcPr>
            <w:tcW w:type="dxa" w:w="37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2026专题、官方注册票价、接待企业回顾</w:t>
            </w:r>
          </w:p>
        </w:tc>
        <w:tc>
          <w:tcPr>
            <w:tcW w:type="dxa" w:w="385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现行年度会籍合同、销售票数及单场损益</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正和岛</w:t>
            </w:r>
          </w:p>
        </w:tc>
        <w:tc>
          <w:tcPr>
            <w:tcW w:type="dxa" w:w="37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当前App、官网历史制度、2026活动回顾</w:t>
            </w:r>
          </w:p>
        </w:tc>
        <w:tc>
          <w:tcPr>
            <w:tcW w:type="dxa" w:w="385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核心会籍现价及权益、有效会员与续费</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优家荟</w:t>
            </w:r>
          </w:p>
        </w:tc>
        <w:tc>
          <w:tcPr>
            <w:tcW w:type="dxa" w:w="37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集团、官方项目、历史制度及入会验证入口</w:t>
            </w:r>
          </w:p>
        </w:tc>
        <w:tc>
          <w:tcPr>
            <w:tcW w:type="dxa" w:w="385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现行会籍价和权益、分会有效付费及品牌合作收入</w:t>
            </w:r>
          </w:p>
        </w:tc>
      </w:tr>
    </w:tbl>
    <w:p>
      <w:pPr>
        <w:spacing w:after="0"/>
      </w:pPr>
    </w:p>
    <w:p>
      <w:r>
        <w:t>后续需要真实报价时，应索取现行完整权益及收费表；客户访谈验证最近购买和退出；活动体验验证主持、交流和现场组织；机构访谈验证会员、留存及经济性。以上外联工作尚未开展。</w:t>
      </w:r>
    </w:p>
    <w:p>
      <w:bookmarkStart w:id="30" w:name="sec_30"/>
      <w:pPr>
        <w:pStyle w:val="Heading2"/>
      </w:pPr>
      <w:r>
        <w:t>B 来源及统计使用说明</w:t>
      </w:r>
      <w:bookmarkEnd w:id="30"/>
    </w:p>
    <w:p>
      <w:r>
        <w:t>资料复核截止2026年10月21日。收费保留币种、期限、地区与届次；按月折算、合计及情景测算均在相邻文字注明。企业或组织自述与审计分开，单帖和索引保留原采集范围。相同来源在多个结论使用时只在本索引列一条。</w:t>
      </w:r>
    </w:p>
    <w:p>
      <w:pPr>
        <w:spacing w:line="280" w:lineRule="exact" w:after="100"/>
      </w:pPr>
      <w:r>
        <w:rPr>
          <w:b/>
          <w:sz w:val="19"/>
        </w:rPr>
        <w:t xml:space="preserve">R01 </w:t>
      </w:r>
      <w:hyperlink r:id="rId9">
        <w:r>
          <w:rPr>
            <w:color w:val="295878"/>
          </w:rPr>
          <w:t>北京会所现行个人及公司会籍</w:t>
        </w:r>
      </w:hyperlink>
      <w:r>
        <w:rPr>
          <w:sz w:val="19"/>
        </w:rPr>
        <w:br/>
        <w:t>马会官网 Mainland Member 部分；2026年1月1日起；人民币；本轮复核</w:t>
      </w:r>
    </w:p>
    <w:p>
      <w:pPr>
        <w:spacing w:line="280" w:lineRule="exact" w:after="100"/>
      </w:pPr>
      <w:r>
        <w:rPr>
          <w:b/>
          <w:sz w:val="19"/>
        </w:rPr>
        <w:t xml:space="preserve">R02 </w:t>
      </w:r>
      <w:hyperlink r:id="rId10">
        <w:r>
          <w:rPr>
            <w:color w:val="295878"/>
          </w:rPr>
          <w:t>木兰2026年会官方报名及票价</w:t>
        </w:r>
      </w:hyperlink>
      <w:r>
        <w:rPr>
          <w:sz w:val="19"/>
        </w:rPr>
        <w:br/>
        <w:t>主办方；2026安吉；普通 VIP SVIP、早鸟、赠票与餐饮；本轮取得</w:t>
      </w:r>
    </w:p>
    <w:p>
      <w:pPr>
        <w:spacing w:line="280" w:lineRule="exact" w:after="100"/>
      </w:pPr>
      <w:r>
        <w:rPr>
          <w:b/>
          <w:sz w:val="19"/>
        </w:rPr>
        <w:t xml:space="preserve">K06 </w:t>
      </w:r>
      <w:hyperlink r:id="rId11">
        <w:r>
          <w:rPr>
            <w:color w:val="295878"/>
          </w:rPr>
          <w:t>EO Forum服务设计</w:t>
        </w:r>
      </w:hyperlink>
      <w:r>
        <w:rPr>
          <w:sz w:val="19"/>
        </w:rPr>
        <w:br/>
        <w:t>6—10人、月度聚会、培训与伴侣小组</w:t>
      </w:r>
    </w:p>
    <w:p>
      <w:pPr>
        <w:spacing w:line="280" w:lineRule="exact" w:after="100"/>
      </w:pPr>
      <w:r>
        <w:rPr>
          <w:b/>
          <w:sz w:val="19"/>
        </w:rPr>
        <w:t xml:space="preserve">K07 </w:t>
      </w:r>
      <w:hyperlink r:id="rId12">
        <w:r>
          <w:rPr>
            <w:color w:val="295878"/>
          </w:rPr>
          <w:t>EO 2024至2025年度报告官方发布</w:t>
        </w:r>
      </w:hyperlink>
      <w:r>
        <w:rPr>
          <w:sz w:val="19"/>
        </w:rPr>
        <w:br/>
        <w:t>2024-07至2025-06；全球续会91.6%；本轮已读完整发布正文</w:t>
      </w:r>
    </w:p>
    <w:p>
      <w:pPr>
        <w:spacing w:line="280" w:lineRule="exact" w:after="100"/>
      </w:pPr>
      <w:r>
        <w:rPr>
          <w:b/>
          <w:sz w:val="19"/>
        </w:rPr>
        <w:t xml:space="preserve">R14 </w:t>
      </w:r>
      <w:hyperlink r:id="rId13">
        <w:r>
          <w:rPr>
            <w:color w:val="295878"/>
          </w:rPr>
          <w:t>长江EMBA参访迈邦回顾</w:t>
        </w:r>
      </w:hyperlink>
      <w:r>
        <w:rPr>
          <w:sz w:val="19"/>
        </w:rPr>
        <w:br/>
        <w:t>长江商学院EMBA发布；2026年5月6日46期2班活动；5月11日回顾</w:t>
      </w:r>
    </w:p>
    <w:p>
      <w:pPr>
        <w:spacing w:line="280" w:lineRule="exact" w:after="100"/>
      </w:pPr>
      <w:r>
        <w:rPr>
          <w:b/>
          <w:sz w:val="19"/>
        </w:rPr>
        <w:t xml:space="preserve">U14 </w:t>
      </w:r>
      <w:hyperlink r:id="rId14">
        <w:r>
          <w:rPr>
            <w:color w:val="295878"/>
          </w:rPr>
          <w:t>现代传播俱乐部业务介绍</w:t>
        </w:r>
      </w:hyperlink>
      <w:r>
        <w:rPr>
          <w:sz w:val="19"/>
        </w:rPr>
        <w:br/>
        <w:t>当前集团官网；确认优家荟品牌与女性会员定位</w:t>
      </w:r>
    </w:p>
    <w:p>
      <w:pPr>
        <w:spacing w:line="280" w:lineRule="exact" w:after="100"/>
      </w:pPr>
      <w:r>
        <w:rPr>
          <w:b/>
          <w:sz w:val="19"/>
        </w:rPr>
        <w:t xml:space="preserve">U15 </w:t>
      </w:r>
      <w:hyperlink r:id="rId15">
        <w:r>
          <w:rPr>
            <w:color w:val="295878"/>
          </w:rPr>
          <w:t>优家荟新加坡十周年会员活动</w:t>
        </w:r>
      </w:hyperlink>
      <w:r>
        <w:rPr>
          <w:sz w:val="19"/>
        </w:rPr>
        <w:br/>
        <w:t>2025-11-14至15计划；黑金及白金，50席，250新币；非会员入会入口</w:t>
      </w:r>
    </w:p>
    <w:p>
      <w:pPr>
        <w:spacing w:line="280" w:lineRule="exact" w:after="100"/>
      </w:pPr>
      <w:r>
        <w:rPr>
          <w:b/>
          <w:sz w:val="19"/>
        </w:rPr>
        <w:t xml:space="preserve">S02 </w:t>
      </w:r>
      <w:hyperlink r:id="rId17">
        <w:r>
          <w:rPr>
            <w:color w:val="295878"/>
          </w:rPr>
          <w:t>2025年度中国数字生活市场数据报告婚恋专题</w:t>
        </w:r>
      </w:hyperlink>
      <w:r>
        <w:rPr>
          <w:sz w:val="19"/>
        </w:rPr>
        <w:br/>
        <w:t>网经社；2021—2025；第三方估算</w:t>
      </w:r>
    </w:p>
    <w:p>
      <w:pPr>
        <w:spacing w:line="280" w:lineRule="exact" w:after="100"/>
      </w:pPr>
      <w:r>
        <w:rPr>
          <w:b/>
          <w:sz w:val="19"/>
        </w:rPr>
        <w:t xml:space="preserve">U12 </w:t>
      </w:r>
      <w:hyperlink r:id="rId18">
        <w:r>
          <w:rPr>
            <w:color w:val="295878"/>
          </w:rPr>
          <w:t>网经社2025年度数字生活报告专题</w:t>
        </w:r>
      </w:hyperlink>
      <w:r>
        <w:rPr>
          <w:sz w:val="19"/>
        </w:rPr>
        <w:br/>
        <w:t>2026-04-22发布；第三方估算；互联网婚恋103.5亿元</w:t>
      </w:r>
    </w:p>
    <w:p>
      <w:pPr>
        <w:spacing w:line="280" w:lineRule="exact" w:after="100"/>
      </w:pPr>
      <w:r>
        <w:rPr>
          <w:b/>
          <w:sz w:val="19"/>
        </w:rPr>
        <w:t xml:space="preserve">S04 </w:t>
      </w:r>
      <w:hyperlink r:id="rId19">
        <w:r>
          <w:rPr>
            <w:color w:val="295878"/>
          </w:rPr>
          <w:t>2025年结婚登记数据公布</w:t>
        </w:r>
      </w:hyperlink>
      <w:r>
        <w:rPr>
          <w:sz w:val="19"/>
        </w:rPr>
        <w:br/>
        <w:t>苏州发布转引民政部；2025；政务转载</w:t>
      </w:r>
    </w:p>
    <w:p>
      <w:pPr>
        <w:spacing w:line="280" w:lineRule="exact" w:after="100"/>
      </w:pPr>
      <w:r>
        <w:rPr>
          <w:b/>
          <w:sz w:val="19"/>
        </w:rPr>
        <w:t xml:space="preserve">S06 </w:t>
      </w:r>
      <w:hyperlink r:id="rId20">
        <w:r>
          <w:rPr>
            <w:color w:val="295878"/>
          </w:rPr>
          <w:t>2021年民政事业发展统计公报</w:t>
        </w:r>
      </w:hyperlink>
      <w:r>
        <w:rPr>
          <w:sz w:val="19"/>
        </w:rPr>
        <w:br/>
        <w:t>民政部 中国社会保障学会留存；2021；官方文件转载</w:t>
      </w:r>
    </w:p>
    <w:p>
      <w:pPr>
        <w:spacing w:line="280" w:lineRule="exact" w:after="100"/>
      </w:pPr>
      <w:r>
        <w:rPr>
          <w:b/>
          <w:sz w:val="19"/>
        </w:rPr>
        <w:t xml:space="preserve">S07 </w:t>
      </w:r>
      <w:hyperlink r:id="rId21">
        <w:r>
          <w:rPr>
            <w:color w:val="295878"/>
          </w:rPr>
          <w:t>2022年民政事业发展统计公报</w:t>
        </w:r>
      </w:hyperlink>
      <w:r>
        <w:rPr>
          <w:sz w:val="19"/>
        </w:rPr>
        <w:br/>
        <w:t>民政部 中国社会保障学会留存；2022；官方文件转载</w:t>
      </w:r>
    </w:p>
    <w:p>
      <w:pPr>
        <w:spacing w:line="280" w:lineRule="exact" w:after="100"/>
      </w:pPr>
      <w:r>
        <w:rPr>
          <w:b/>
          <w:sz w:val="19"/>
        </w:rPr>
        <w:t xml:space="preserve">S08 </w:t>
      </w:r>
      <w:hyperlink r:id="rId22">
        <w:r>
          <w:rPr>
            <w:color w:val="295878"/>
          </w:rPr>
          <w:t>中国网转引2023民政年度公报</w:t>
        </w:r>
      </w:hyperlink>
      <w:r>
        <w:rPr>
          <w:sz w:val="19"/>
        </w:rPr>
        <w:br/>
        <w:t>2024-09-12媒体转引民政部年度公报；结婚768.2万对；原部委链接另存旧台账</w:t>
      </w:r>
    </w:p>
    <w:p>
      <w:pPr>
        <w:spacing w:line="280" w:lineRule="exact" w:after="100"/>
      </w:pPr>
      <w:r>
        <w:rPr>
          <w:b/>
          <w:sz w:val="19"/>
        </w:rPr>
        <w:t xml:space="preserve">S11 </w:t>
      </w:r>
      <w:hyperlink r:id="rId23">
        <w:r>
          <w:rPr>
            <w:color w:val="295878"/>
          </w:rPr>
          <w:t>2026胡润至尚优品中国高净值人群品质生活报告</w:t>
        </w:r>
      </w:hyperlink>
      <w:r>
        <w:rPr>
          <w:sz w:val="19"/>
        </w:rPr>
        <w:br/>
        <w:t>胡润研究院；2025行为及2026意向；第三方样本调查</w:t>
      </w:r>
    </w:p>
    <w:p>
      <w:pPr>
        <w:spacing w:line="280" w:lineRule="exact" w:after="100"/>
      </w:pPr>
      <w:r>
        <w:rPr>
          <w:b/>
          <w:sz w:val="19"/>
        </w:rPr>
        <w:t xml:space="preserve">R18 </w:t>
      </w:r>
      <w:hyperlink r:id="rId24">
        <w:r>
          <w:rPr>
            <w:color w:val="295878"/>
          </w:rPr>
          <w:t>招商银行2023私人财富研究发布</w:t>
        </w:r>
      </w:hyperlink>
      <w:r>
        <w:rPr>
          <w:sz w:val="19"/>
        </w:rPr>
        <w:br/>
        <w:t>银行研究原始发布；92城市问卷、近20城市深访；不同财富口径独立使用</w:t>
      </w:r>
    </w:p>
    <w:p>
      <w:pPr>
        <w:spacing w:line="280" w:lineRule="exact" w:after="100"/>
      </w:pPr>
      <w:r>
        <w:rPr>
          <w:b/>
          <w:sz w:val="19"/>
        </w:rPr>
        <w:t xml:space="preserve">K01 </w:t>
      </w:r>
      <w:hyperlink r:id="rId25">
        <w:r>
          <w:rPr>
            <w:color w:val="295878"/>
          </w:rPr>
          <w:t>北京香港马会会所2025年6月会刊</w:t>
        </w:r>
      </w:hyperlink>
      <w:r>
        <w:rPr>
          <w:sz w:val="19"/>
        </w:rPr>
        <w:br/>
        <w:t>入会费p158；活动p33—40；价格自2024-01-01起</w:t>
      </w:r>
    </w:p>
    <w:p>
      <w:pPr>
        <w:spacing w:line="280" w:lineRule="exact" w:after="100"/>
      </w:pPr>
      <w:r>
        <w:rPr>
          <w:b/>
          <w:sz w:val="19"/>
        </w:rPr>
        <w:t xml:space="preserve">K05 </w:t>
      </w:r>
      <w:hyperlink r:id="rId26">
        <w:r>
          <w:rPr>
            <w:color w:val="295878"/>
          </w:rPr>
          <w:t>EO China East分会资料</w:t>
        </w:r>
      </w:hyperlink>
      <w:r>
        <w:rPr>
          <w:sz w:val="19"/>
        </w:rPr>
        <w:br/>
        <w:t>2026-10-21采集；人数及年龄统计截至2026-09-30；全球收费</w:t>
      </w:r>
    </w:p>
    <w:p>
      <w:pPr>
        <w:spacing w:line="280" w:lineRule="exact" w:after="100"/>
      </w:pPr>
      <w:r>
        <w:rPr>
          <w:b/>
          <w:sz w:val="19"/>
        </w:rPr>
        <w:t xml:space="preserve">K08 </w:t>
      </w:r>
      <w:hyperlink r:id="rId27">
        <w:r>
          <w:rPr>
            <w:color w:val="295878"/>
          </w:rPr>
          <w:t>2026商界木兰年会及木兰汇介绍</w:t>
        </w:r>
      </w:hyperlink>
      <w:r>
        <w:rPr>
          <w:sz w:val="19"/>
        </w:rPr>
        <w:br/>
        <w:t>近1000成员、112核心、29省市；三日公布议程</w:t>
      </w:r>
    </w:p>
    <w:p>
      <w:pPr>
        <w:spacing w:line="280" w:lineRule="exact" w:after="100"/>
      </w:pPr>
      <w:r>
        <w:rPr>
          <w:b/>
          <w:sz w:val="19"/>
        </w:rPr>
        <w:t xml:space="preserve">K09 </w:t>
      </w:r>
      <w:hyperlink r:id="rId28">
        <w:r>
          <w:rPr>
            <w:color w:val="295878"/>
          </w:rPr>
          <w:t>正和岛App开发者介绍与内购价</w:t>
        </w:r>
      </w:hyperlink>
      <w:r>
        <w:rPr>
          <w:sz w:val="19"/>
        </w:rPr>
        <w:br/>
        <w:t>当前上架页面自述；统计截止日未标；内购价为数字产品</w:t>
      </w:r>
    </w:p>
    <w:p>
      <w:pPr>
        <w:spacing w:line="280" w:lineRule="exact" w:after="100"/>
      </w:pPr>
      <w:r>
        <w:rPr>
          <w:b/>
          <w:sz w:val="19"/>
        </w:rPr>
        <w:t xml:space="preserve">U04 </w:t>
      </w:r>
      <w:hyperlink r:id="rId29">
        <w:r>
          <w:rPr>
            <w:color w:val="295878"/>
          </w:rPr>
          <w:t>YPO会员资格</w:t>
        </w:r>
      </w:hyperlink>
      <w:r>
        <w:rPr>
          <w:sz w:val="19"/>
        </w:rPr>
        <w:br/>
        <w:t>2026-10-21当前公开网页；年龄、职位及企业规模条件</w:t>
      </w:r>
    </w:p>
    <w:p>
      <w:pPr>
        <w:spacing w:line="280" w:lineRule="exact" w:after="100"/>
      </w:pPr>
      <w:r>
        <w:rPr>
          <w:b/>
          <w:sz w:val="19"/>
        </w:rPr>
        <w:t xml:space="preserve">U05 </w:t>
      </w:r>
      <w:hyperlink r:id="rId30">
        <w:r>
          <w:rPr>
            <w:color w:val="295878"/>
          </w:rPr>
          <w:t>YPO会员体验</w:t>
        </w:r>
      </w:hyperlink>
      <w:r>
        <w:rPr>
          <w:sz w:val="19"/>
        </w:rPr>
        <w:br/>
        <w:t>地方分会、Forum、兴趣网络及家庭服务；全球设计</w:t>
      </w:r>
    </w:p>
    <w:p>
      <w:pPr>
        <w:spacing w:line="280" w:lineRule="exact" w:after="100"/>
      </w:pPr>
      <w:r>
        <w:rPr>
          <w:b/>
          <w:sz w:val="19"/>
        </w:rPr>
        <w:t xml:space="preserve">U13 </w:t>
      </w:r>
      <w:hyperlink r:id="rId31">
        <w:r>
          <w:rPr>
            <w:color w:val="295878"/>
          </w:rPr>
          <w:t>SEE生态协会2024年度审计报告</w:t>
        </w:r>
      </w:hyperlink>
      <w:r>
        <w:rPr>
          <w:sz w:val="19"/>
        </w:rPr>
        <w:br/>
        <w:t>已下载39页全文；PDF第17页 收入与会员活动成本；金额人民币元</w:t>
      </w:r>
    </w:p>
    <w:p>
      <w:pPr>
        <w:spacing w:line="280" w:lineRule="exact" w:after="100"/>
      </w:pPr>
      <w:r>
        <w:rPr>
          <w:b/>
          <w:sz w:val="19"/>
        </w:rPr>
        <w:t xml:space="preserve">R03 </w:t>
      </w:r>
      <w:hyperlink r:id="rId32">
        <w:r>
          <w:rPr>
            <w:color w:val="295878"/>
          </w:rPr>
          <w:t>木兰汇杭州参访PingPong回顾</w:t>
        </w:r>
      </w:hyperlink>
      <w:r>
        <w:rPr>
          <w:sz w:val="19"/>
        </w:rPr>
        <w:br/>
        <w:t>接待企业官网；2026年7月30日活动；50余位；8月发布</w:t>
      </w:r>
    </w:p>
    <w:p>
      <w:pPr>
        <w:spacing w:line="280" w:lineRule="exact" w:after="100"/>
      </w:pPr>
      <w:r>
        <w:rPr>
          <w:b/>
          <w:sz w:val="19"/>
        </w:rPr>
        <w:t xml:space="preserve">R09 </w:t>
      </w:r>
      <w:hyperlink r:id="rId33">
        <w:r>
          <w:rPr>
            <w:color w:val="295878"/>
          </w:rPr>
          <w:t>优家荟深圳十周年经营规模自述</w:t>
        </w:r>
      </w:hyperlink>
      <w:r>
        <w:rPr>
          <w:sz w:val="19"/>
        </w:rPr>
        <w:br/>
        <w:t>新浪深圳；2026年9月18日；引述深圳分会会长十年累计规模；庆典10月23日尚未举办</w:t>
      </w:r>
    </w:p>
    <w:p>
      <w:pPr>
        <w:spacing w:line="280" w:lineRule="exact" w:after="100"/>
      </w:pPr>
      <w:r>
        <w:rPr>
          <w:b/>
          <w:sz w:val="19"/>
        </w:rPr>
        <w:t xml:space="preserve">R11 </w:t>
      </w:r>
      <w:hyperlink r:id="rId34">
        <w:r>
          <w:rPr>
            <w:color w:val="295878"/>
          </w:rPr>
          <w:t>安徽正和岛参访元琛科技</w:t>
        </w:r>
      </w:hyperlink>
      <w:r>
        <w:rPr>
          <w:sz w:val="19"/>
        </w:rPr>
        <w:br/>
        <w:t>接待上市企业官网；2026年1月3日；接待人、参观及交流流程</w:t>
      </w:r>
    </w:p>
    <w:p>
      <w:pPr>
        <w:spacing w:line="280" w:lineRule="exact" w:after="100"/>
      </w:pPr>
      <w:r>
        <w:rPr>
          <w:b/>
          <w:sz w:val="19"/>
        </w:rPr>
        <w:t xml:space="preserve">R12 </w:t>
      </w:r>
      <w:hyperlink r:id="rId35">
        <w:r>
          <w:rPr>
            <w:color w:val="295878"/>
          </w:rPr>
          <w:t>正和岛2026宜兴发展年会回顾</w:t>
        </w:r>
      </w:hyperlink>
      <w:r>
        <w:rPr>
          <w:sz w:val="19"/>
        </w:rPr>
        <w:br/>
        <w:t>正和岛发布；2026年7月7日；6月27至28日500位企业家；机构自述</w:t>
      </w:r>
    </w:p>
    <w:p>
      <w:pPr>
        <w:spacing w:line="280" w:lineRule="exact" w:after="100"/>
      </w:pPr>
      <w:r>
        <w:rPr>
          <w:b/>
          <w:sz w:val="19"/>
        </w:rPr>
        <w:t xml:space="preserve">K02 </w:t>
      </w:r>
      <w:hyperlink r:id="rId36">
        <w:r>
          <w:rPr>
            <w:color w:val="295878"/>
          </w:rPr>
          <w:t>北京香港马会会所子女附属卡申请表</w:t>
        </w:r>
      </w:hyperlink>
      <w:r>
        <w:rPr>
          <w:sz w:val="19"/>
        </w:rPr>
        <w:br/>
        <w:t>p1；8—21岁及120元年费</w:t>
      </w:r>
    </w:p>
    <w:p>
      <w:pPr>
        <w:spacing w:line="280" w:lineRule="exact" w:after="100"/>
      </w:pPr>
      <w:r>
        <w:rPr>
          <w:b/>
          <w:sz w:val="19"/>
        </w:rPr>
        <w:t xml:space="preserve">K15 </w:t>
      </w:r>
      <w:hyperlink r:id="rId37">
        <w:r>
          <w:rPr>
            <w:color w:val="295878"/>
          </w:rPr>
          <w:t>EO中国华东分会资格</w:t>
        </w:r>
      </w:hyperlink>
      <w:r>
        <w:rPr>
          <w:sz w:val="19"/>
        </w:rPr>
        <w:br/>
        <w:t>创始人或所有者资格、企业营收及入会流程</w:t>
      </w:r>
    </w:p>
    <w:p>
      <w:pPr>
        <w:spacing w:line="280" w:lineRule="exact" w:after="100"/>
      </w:pPr>
      <w:r>
        <w:rPr>
          <w:b/>
          <w:sz w:val="19"/>
        </w:rPr>
        <w:t xml:space="preserve">R05 </w:t>
      </w:r>
      <w:hyperlink r:id="rId38">
        <w:r>
          <w:rPr>
            <w:color w:val="295878"/>
          </w:rPr>
          <w:t>EO北京分会2026至2027入会及收费</w:t>
        </w:r>
      </w:hyperlink>
      <w:r>
        <w:rPr>
          <w:sz w:val="19"/>
        </w:rPr>
        <w:br/>
        <w:t>分会网页；2026年7月至2027年6月；地方年费9200元；仅作北京对照</w:t>
      </w:r>
    </w:p>
    <w:p>
      <w:pPr>
        <w:spacing w:line="280" w:lineRule="exact" w:after="100"/>
      </w:pPr>
      <w:r>
        <w:rPr>
          <w:b/>
          <w:sz w:val="19"/>
        </w:rPr>
        <w:t xml:space="preserve">R04 </w:t>
      </w:r>
      <w:hyperlink r:id="rId39">
        <w:r>
          <w:rPr>
            <w:color w:val="295878"/>
          </w:rPr>
          <w:t>EO北亚2026北京企业家节回顾</w:t>
        </w:r>
      </w:hyperlink>
      <w:r>
        <w:rPr>
          <w:sz w:val="19"/>
        </w:rPr>
        <w:br/>
        <w:t>EO主办方；2026年3月11至13日；380余人含约110位潜在会员；区域活动</w:t>
      </w:r>
    </w:p>
    <w:p>
      <w:pPr>
        <w:spacing w:line="280" w:lineRule="exact" w:after="100"/>
      </w:pPr>
      <w:r>
        <w:rPr>
          <w:b/>
          <w:sz w:val="19"/>
        </w:rPr>
        <w:t xml:space="preserve">K03 </w:t>
      </w:r>
      <w:hyperlink r:id="rId40">
        <w:r>
          <w:rPr>
            <w:color w:val="295878"/>
          </w:rPr>
          <w:t>长江商学院EMBA费用与申请</w:t>
        </w:r>
      </w:hyperlink>
      <w:r>
        <w:rPr>
          <w:sz w:val="19"/>
        </w:rPr>
        <w:br/>
        <w:t>2026级学费及申请费</w:t>
      </w:r>
    </w:p>
    <w:p>
      <w:pPr>
        <w:spacing w:line="280" w:lineRule="exact" w:after="100"/>
      </w:pPr>
      <w:r>
        <w:rPr>
          <w:b/>
          <w:sz w:val="19"/>
        </w:rPr>
        <w:t xml:space="preserve">R16 </w:t>
      </w:r>
      <w:hyperlink r:id="rId41">
        <w:r>
          <w:rPr>
            <w:color w:val="295878"/>
          </w:rPr>
          <w:t>长江EMBA学费信息入口</w:t>
        </w:r>
      </w:hyperlink>
      <w:r>
        <w:rPr>
          <w:sz w:val="19"/>
        </w:rPr>
        <w:br/>
        <w:t>当前官网；表单筛选字段与咨询入口；价格以FAQ正文为准</w:t>
      </w:r>
    </w:p>
    <w:p>
      <w:pPr>
        <w:spacing w:line="280" w:lineRule="exact" w:after="100"/>
      </w:pPr>
      <w:r>
        <w:rPr>
          <w:b/>
          <w:sz w:val="19"/>
        </w:rPr>
        <w:t xml:space="preserve">U01 </w:t>
      </w:r>
      <w:hyperlink r:id="rId42">
        <w:r>
          <w:rPr>
            <w:color w:val="295878"/>
          </w:rPr>
          <w:t>长江2027年EMBA招生简章</w:t>
        </w:r>
      </w:hyperlink>
      <w:r>
        <w:rPr>
          <w:sz w:val="19"/>
        </w:rPr>
        <w:br/>
        <w:t>研招网院校发布；2027学费待定，2026为99.8万元</w:t>
      </w:r>
    </w:p>
    <w:p>
      <w:pPr>
        <w:spacing w:line="280" w:lineRule="exact" w:after="100"/>
      </w:pPr>
      <w:r>
        <w:rPr>
          <w:b/>
          <w:sz w:val="19"/>
        </w:rPr>
        <w:t xml:space="preserve">R15 </w:t>
      </w:r>
      <w:hyperlink r:id="rId43">
        <w:r>
          <w:rPr>
            <w:color w:val="295878"/>
          </w:rPr>
          <w:t>长江教育基金会近期校友活动目录</w:t>
        </w:r>
      </w:hyperlink>
      <w:r>
        <w:rPr>
          <w:sz w:val="19"/>
        </w:rPr>
        <w:br/>
        <w:t>学院官网；2026年7月2日发布6月27日EMBA28期十周年返校；仅目录可证事实</w:t>
      </w:r>
    </w:p>
    <w:p>
      <w:pPr>
        <w:spacing w:line="280" w:lineRule="exact" w:after="100"/>
      </w:pPr>
      <w:r>
        <w:rPr>
          <w:b/>
          <w:sz w:val="19"/>
        </w:rPr>
        <w:t xml:space="preserve">K04 </w:t>
      </w:r>
      <w:hyperlink r:id="rId44">
        <w:r>
          <w:rPr>
            <w:color w:val="295878"/>
          </w:rPr>
          <w:t>长江商学院EMBA项目</w:t>
        </w:r>
      </w:hyperlink>
      <w:r>
        <w:rPr>
          <w:sz w:val="19"/>
        </w:rPr>
        <w:br/>
        <w:t>累计学员与核心决策者结构</w:t>
      </w:r>
    </w:p>
    <w:p>
      <w:pPr>
        <w:spacing w:line="280" w:lineRule="exact" w:after="100"/>
      </w:pPr>
      <w:r>
        <w:rPr>
          <w:b/>
          <w:sz w:val="19"/>
        </w:rPr>
        <w:t xml:space="preserve">U11 </w:t>
      </w:r>
      <w:hyperlink r:id="rId45">
        <w:r>
          <w:rPr>
            <w:color w:val="295878"/>
          </w:rPr>
          <w:t>小红书平台研究快照</w:t>
        </w:r>
      </w:hyperlink>
      <w:r>
        <w:rPr>
          <w:sz w:val="19"/>
        </w:rPr>
        <w:br/>
        <w:t>项目MediaCrawler采集与机构身份核对；2026-10-21；逐篇数据存本项目台账</w:t>
      </w:r>
    </w:p>
    <w:p>
      <w:pPr>
        <w:spacing w:line="280" w:lineRule="exact" w:after="100"/>
      </w:pPr>
      <w:r>
        <w:rPr>
          <w:b/>
          <w:sz w:val="19"/>
        </w:rPr>
        <w:t xml:space="preserve">K10 </w:t>
      </w:r>
      <w:hyperlink r:id="rId46">
        <w:r>
          <w:rPr>
            <w:color w:val="295878"/>
          </w:rPr>
          <w:t>正和岛2015广西活动入会说明</w:t>
        </w:r>
      </w:hyperlink>
      <w:r>
        <w:rPr>
          <w:sz w:val="19"/>
        </w:rPr>
        <w:br/>
        <w:t>2015历史入会制度、权益与3万元年费，不作2026报价</w:t>
      </w:r>
    </w:p>
    <w:p>
      <w:pPr>
        <w:spacing w:line="280" w:lineRule="exact" w:after="100"/>
      </w:pPr>
      <w:r>
        <w:rPr>
          <w:b/>
          <w:sz w:val="19"/>
        </w:rPr>
        <w:t xml:space="preserve">R13 </w:t>
      </w:r>
      <w:hyperlink r:id="rId47">
        <w:r>
          <w:rPr>
            <w:color w:val="295878"/>
          </w:rPr>
          <w:t>正和岛较新历史会籍与产品说明</w:t>
        </w:r>
      </w:hyperlink>
      <w:r>
        <w:rPr>
          <w:sz w:val="19"/>
        </w:rPr>
        <w:br/>
        <w:t>区域团队宣传资料；2021年发布，说明2019入会费10万及2020年度服务费2万；非现价</w:t>
      </w:r>
    </w:p>
    <w:p>
      <w:pPr>
        <w:spacing w:line="280" w:lineRule="exact" w:after="100"/>
      </w:pPr>
      <w:r>
        <w:rPr>
          <w:b/>
          <w:sz w:val="19"/>
        </w:rPr>
        <w:t xml:space="preserve">R06 </w:t>
      </w:r>
      <w:hyperlink r:id="rId48">
        <w:r>
          <w:rPr>
            <w:color w:val="295878"/>
          </w:rPr>
          <w:t>优家荟白金卡制度历史记录</w:t>
        </w:r>
      </w:hyperlink>
      <w:r>
        <w:rPr>
          <w:sz w:val="19"/>
        </w:rPr>
        <w:br/>
        <w:t>优家荟发布账号；2017年5月8日；年费2800元及资格；历史制度</w:t>
      </w:r>
    </w:p>
    <w:p>
      <w:pPr>
        <w:spacing w:line="280" w:lineRule="exact" w:after="100"/>
      </w:pPr>
      <w:r>
        <w:rPr>
          <w:b/>
          <w:sz w:val="19"/>
        </w:rPr>
        <w:t xml:space="preserve">R07 </w:t>
      </w:r>
      <w:hyperlink r:id="rId49">
        <w:r>
          <w:rPr>
            <w:color w:val="295878"/>
          </w:rPr>
          <w:t>优家荟黑金卡制度历史记录</w:t>
        </w:r>
      </w:hyperlink>
      <w:r>
        <w:rPr>
          <w:sz w:val="19"/>
        </w:rPr>
        <w:br/>
        <w:t>优家荟发布账号；2017年10月13日；年费18000元及活动、传播权益；历史制度</w:t>
      </w:r>
    </w:p>
    <w:p>
      <w:pPr>
        <w:spacing w:line="280" w:lineRule="exact" w:after="100"/>
      </w:pPr>
      <w:r>
        <w:rPr>
          <w:b/>
          <w:sz w:val="19"/>
        </w:rPr>
        <w:t xml:space="preserve">R08 </w:t>
      </w:r>
      <w:hyperlink r:id="rId50">
        <w:r>
          <w:rPr>
            <w:color w:val="295878"/>
          </w:rPr>
          <w:t>优家荟新加坡会员访京沪及活动规范</w:t>
        </w:r>
      </w:hyperlink>
      <w:r>
        <w:rPr>
          <w:sz w:val="19"/>
        </w:rPr>
        <w:br/>
        <w:t>2023年活动招募页；六天双城500新币及实名、非会员体验、缺席规则；历史安排</w:t>
      </w:r>
    </w:p>
    <w:p>
      <w:pPr>
        <w:spacing w:line="280" w:lineRule="exact" w:after="100"/>
      </w:pPr>
      <w:r>
        <w:rPr>
          <w:b/>
          <w:sz w:val="19"/>
        </w:rPr>
        <w:t xml:space="preserve">R10 </w:t>
      </w:r>
      <w:hyperlink r:id="rId51">
        <w:r>
          <w:rPr>
            <w:color w:val="295878"/>
          </w:rPr>
          <w:t>优家荟现行入会入口</w:t>
        </w:r>
      </w:hyperlink>
      <w:r>
        <w:rPr>
          <w:sz w:val="19"/>
        </w:rPr>
        <w:br/>
        <w:t>官方活动页跳转；短信验证入口，未登录前未列现行年费；本轮未提交信息</w:t>
      </w:r>
    </w:p>
    <w:p>
      <w:pPr>
        <w:spacing w:line="280" w:lineRule="exact" w:after="100"/>
      </w:pPr>
      <w:r>
        <w:rPr>
          <w:b/>
          <w:sz w:val="19"/>
        </w:rPr>
        <w:t xml:space="preserve">R17 </w:t>
      </w:r>
      <w:hyperlink r:id="rId52">
        <w:r>
          <w:rPr>
            <w:color w:val="295878"/>
          </w:rPr>
          <w:t>优家荟官方微博活动回顾</w:t>
        </w:r>
      </w:hyperlink>
      <w:r>
        <w:rPr>
          <w:sz w:val="19"/>
        </w:rPr>
        <w:br/>
        <w:t>公开索引快照；15086粉丝及历史互动；2025香港艺术旅程回顾</w:t>
      </w:r>
    </w:p>
    <w:p>
      <w:pPr>
        <w:spacing w:line="280" w:lineRule="exact" w:after="100"/>
      </w:pPr>
      <w:r>
        <w:rPr>
          <w:b/>
          <w:sz w:val="19"/>
        </w:rPr>
        <w:t xml:space="preserve">K11 </w:t>
      </w:r>
      <w:hyperlink r:id="rId53">
        <w:r>
          <w:rPr>
            <w:color w:val="295878"/>
          </w:rPr>
          <w:t>阿拉善SEE 2025会员大会履职报告</w:t>
        </w:r>
      </w:hyperlink>
      <w:r>
        <w:rPr>
          <w:sz w:val="19"/>
        </w:rPr>
        <w:br/>
        <w:t>2025-10-31数据；2025-12-03发布</w:t>
      </w:r>
    </w:p>
    <w:p>
      <w:pPr>
        <w:spacing w:line="280" w:lineRule="exact" w:after="100"/>
      </w:pPr>
      <w:r>
        <w:rPr>
          <w:b/>
          <w:sz w:val="19"/>
        </w:rPr>
        <w:t xml:space="preserve">K12 </w:t>
      </w:r>
      <w:hyperlink r:id="rId54">
        <w:r>
          <w:rPr>
            <w:color w:val="295878"/>
          </w:rPr>
          <w:t>阿拉善SEE 2024年中理事会公报</w:t>
        </w:r>
      </w:hyperlink>
      <w:r>
        <w:rPr>
          <w:sz w:val="19"/>
        </w:rPr>
        <w:br/>
        <w:t>2024上半年166场、338会员、2412人次；PDFp2</w:t>
      </w:r>
    </w:p>
    <w:p>
      <w:pPr>
        <w:spacing w:line="280" w:lineRule="exact" w:after="100"/>
      </w:pPr>
      <w:r>
        <w:rPr>
          <w:b/>
          <w:sz w:val="19"/>
        </w:rPr>
        <w:t xml:space="preserve">U09 </w:t>
      </w:r>
      <w:hyperlink r:id="rId55">
        <w:r>
          <w:rPr>
            <w:color w:val="295878"/>
          </w:rPr>
          <w:t>中华人民共和国旅游法</w:t>
        </w:r>
      </w:hyperlink>
      <w:r>
        <w:rPr>
          <w:sz w:val="19"/>
        </w:rPr>
        <w:br/>
        <w:t>市场监管总局法律原文；第28条旅行社经营许可</w:t>
      </w:r>
    </w:p>
    <w:p>
      <w:pPr>
        <w:spacing w:line="280" w:lineRule="exact" w:after="100"/>
      </w:pPr>
      <w:r>
        <w:rPr>
          <w:b/>
          <w:sz w:val="19"/>
        </w:rPr>
        <w:t xml:space="preserve">U10 </w:t>
      </w:r>
      <w:hyperlink r:id="rId56">
        <w:r>
          <w:rPr>
            <w:color w:val="295878"/>
          </w:rPr>
          <w:t>预付式消费司法解释发布说明</w:t>
        </w:r>
      </w:hyperlink>
      <w:r>
        <w:rPr>
          <w:sz w:val="19"/>
        </w:rPr>
        <w:br/>
        <w:t>中国政府网；2025-05-01施行；解除、退款及证据规则</w:t>
      </w:r>
    </w:p>
    <w:p>
      <w:pPr>
        <w:spacing w:line="280" w:lineRule="exact" w:after="100"/>
      </w:pPr>
      <w:r>
        <w:rPr>
          <w:b/>
          <w:sz w:val="19"/>
        </w:rPr>
        <w:t xml:space="preserve">S75 </w:t>
      </w:r>
      <w:hyperlink r:id="rId57">
        <w:r>
          <w:rPr>
            <w:color w:val="295878"/>
          </w:rPr>
          <w:t>个人信息保护法</w:t>
        </w:r>
      </w:hyperlink>
      <w:r>
        <w:rPr>
          <w:sz w:val="19"/>
        </w:rPr>
        <w:br/>
        <w:t>工信部法律文本；2021法律；法律原文</w:t>
      </w:r>
    </w:p>
    <w:p>
      <w:pPr>
        <w:spacing w:line="300" w:lineRule="exact"/>
      </w:pPr>
      <w:r>
        <w:rPr>
          <w:b/>
          <w:sz w:val="19"/>
        </w:rPr>
        <w:t xml:space="preserve">R19 </w:t>
      </w:r>
      <w:hyperlink r:id="rId58">
        <w:r>
          <w:rPr>
            <w:color w:val="295878"/>
          </w:rPr>
          <w:t>安吉年会活动后报道</w:t>
        </w:r>
      </w:hyperlink>
      <w:r>
        <w:rPr>
          <w:sz w:val="19"/>
        </w:rPr>
        <w:br/>
        <w:t>安吉发布及县妇联供稿转载；2026年4月21日；17至18日会议及40余地方代表</w:t>
      </w:r>
    </w:p>
    <w:p>
      <w:pPr>
        <w:spacing w:line="280" w:lineRule="exact" w:after="100"/>
      </w:pPr>
      <w:r>
        <w:rPr>
          <w:b/>
          <w:sz w:val="19"/>
        </w:rPr>
        <w:t xml:space="preserve">U11a </w:t>
      </w:r>
      <w:hyperlink r:id="rId60">
        <w:r>
          <w:rPr>
            <w:sz w:val="19"/>
            <w:color w:val="295878"/>
          </w:rPr>
          <w:t>长江EMBA代表笔记</w:t>
        </w:r>
      </w:hyperlink>
      <w:r>
        <w:rPr>
          <w:sz w:val="19"/>
        </w:rPr>
        <w:br/>
        <w:t>2026-09-14发布；本项目2026-10-21快照，2评论、10分享</w:t>
      </w:r>
    </w:p>
    <w:p>
      <w:pPr>
        <w:spacing w:line="280" w:lineRule="exact" w:after="100"/>
      </w:pPr>
      <w:r>
        <w:rPr>
          <w:b/>
          <w:sz w:val="19"/>
        </w:rPr>
        <w:t xml:space="preserve">U11b </w:t>
      </w:r>
      <w:hyperlink r:id="rId61">
        <w:r>
          <w:rPr>
            <w:sz w:val="19"/>
            <w:color w:val="295878"/>
          </w:rPr>
          <w:t>正和岛同名账号代表笔记</w:t>
        </w:r>
      </w:hyperlink>
      <w:r>
        <w:rPr>
          <w:sz w:val="19"/>
        </w:rPr>
        <w:br/>
        <w:t>2026-10-20发布；本项目2026-10-21快照，2评论、1分享；主体未充分核验</w:t>
      </w:r>
    </w:p>
    <w:sectPr w:rsidR="00FC693F" w:rsidRPr="0006063C" w:rsidSect="00034616">
      <w:footerReference w:type="default" r:id="rId59"/>
      <w:pgSz w:w="11906" w:h="16838"/>
      <w:pgMar w:top="1134" w:right="1219"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70" w:lineRule="exact" w:after="140" w:before="0"/>
    </w:pPr>
    <w:rPr>
      <w:rFonts w:ascii="Times New Roman" w:hAnsi="Times New Roman"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line="460" w:lineRule="exact"/>
      <w:outlineLvl w:val="0"/>
    </w:pPr>
    <w:rPr>
      <w:rFonts w:cstheme="majorBidi" w:ascii="Times New Roman" w:hAnsi="Times New Roman"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400" w:lineRule="exact"/>
      <w:outlineLvl w:val="1"/>
    </w:pPr>
    <w:rPr>
      <w:rFonts w:cstheme="majorBidi" w:ascii="Times New Roman" w:hAnsi="Times New Roman" w:eastAsia="Heiti SC"/>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160" w:line="360" w:lineRule="exact"/>
      <w:outlineLvl w:val="2"/>
    </w:pPr>
    <w:rPr>
      <w:rFonts w:cstheme="majorBidi" w:ascii="Times New Roman" w:hAnsi="Times New Roman"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580" w:lineRule="exact" w:before="0"/>
      <w:contextualSpacing/>
    </w:pPr>
    <w:rPr>
      <w:rFonts w:cstheme="majorBidi" w:ascii="Times New Roman" w:hAnsi="Times New Roman"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line="350" w:lineRule="exact" w:after="160" w:before="0"/>
    </w:pPr>
    <w:rPr>
      <w:rFonts w:cstheme="majorBidi" w:ascii="Times New Roman" w:hAnsi="Times New Roman" w:eastAsia="Songti SC"/>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0" w:lineRule="exact" w:after="160" w:before="0"/>
    </w:pPr>
    <w:rPr>
      <w:rFonts w:ascii="Times New Roman" w:hAnsi="Times New Roman" w:eastAsia="Songti S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mbers.hkjc.com/about-membership/en-US/Membership" TargetMode="External"/><Relationship Id="rId10" Type="http://schemas.openxmlformats.org/officeDocument/2006/relationships/hyperlink" Target="https://swapp.iceo.com.cn/mulan2026/reg.html" TargetMode="External"/><Relationship Id="rId11" Type="http://schemas.openxmlformats.org/officeDocument/2006/relationships/hyperlink" Target="https://eonetwork.org/membership/forum/" TargetMode="External"/><Relationship Id="rId12" Type="http://schemas.openxmlformats.org/officeDocument/2006/relationships/hyperlink" Target="https://eonetwork.org/newsroom-old/translations/2024-2025-annual-report-release-zh/" TargetMode="External"/><Relationship Id="rId13" Type="http://schemas.openxmlformats.org/officeDocument/2006/relationships/hyperlink" Target="https://finance.sina.com.cn/wm/2026-05-11/doc-inhxppii9032147.shtml" TargetMode="External"/><Relationship Id="rId14" Type="http://schemas.openxmlformats.org/officeDocument/2006/relationships/hyperlink" Target="https://www.modernmedia.com.cn/club" TargetMode="External"/><Relationship Id="rId15" Type="http://schemas.openxmlformats.org/officeDocument/2006/relationships/hyperlink" Target="https://www.ilady.com.cn/wap/event/detail/?eid=2035" TargetMode="External"/><Relationship Id="rId16" Type="http://schemas.openxmlformats.org/officeDocument/2006/relationships/image" Target="media/image1.png"/><Relationship Id="rId17" Type="http://schemas.openxmlformats.org/officeDocument/2006/relationships/hyperlink" Target="https://imgs-b2b.100ec.cn/detail--6658734.html" TargetMode="External"/><Relationship Id="rId18" Type="http://schemas.openxmlformats.org/officeDocument/2006/relationships/hyperlink" Target="https://imgs-b2b.100ec.cn/zt/2025szshbg/" TargetMode="External"/><Relationship Id="rId19" Type="http://schemas.openxmlformats.org/officeDocument/2006/relationships/hyperlink" Target="https://www.thepaper.cn/newsDetail_forward_34194239" TargetMode="External"/><Relationship Id="rId20" Type="http://schemas.openxmlformats.org/officeDocument/2006/relationships/hyperlink" Target="https://www.caoss.org.cn/UploadFile/pic/20229122301585532.pdf" TargetMode="External"/><Relationship Id="rId21" Type="http://schemas.openxmlformats.org/officeDocument/2006/relationships/hyperlink" Target="https://www.caoss.org.cn/upload/news/20240710/79f02d06dd1545f18ed1f9d6de28ccf0.pdf" TargetMode="External"/><Relationship Id="rId22" Type="http://schemas.openxmlformats.org/officeDocument/2006/relationships/hyperlink" Target="https://news.china.com.cn/2024-09/12/content_117424653.html" TargetMode="External"/><Relationship Id="rId23" Type="http://schemas.openxmlformats.org/officeDocument/2006/relationships/hyperlink" Target="https://www.hurun.net/zh-CN/Info/Detail?num=CSX6BTOMEWY4" TargetMode="External"/><Relationship Id="rId24" Type="http://schemas.openxmlformats.org/officeDocument/2006/relationships/hyperlink" Target="https://www.cmbchina.com/privateBank/privateBankInfo?guid=8a07d69f-f3b5-448b-9ba3-1d12703b4840" TargetMode="External"/><Relationship Id="rId25" Type="http://schemas.openxmlformats.org/officeDocument/2006/relationships/hyperlink" Target="https://member.hkjc.com/ecard/eHarmony_Jun25.pdf" TargetMode="External"/><Relationship Id="rId26" Type="http://schemas.openxmlformats.org/officeDocument/2006/relationships/hyperlink" Target="https://member.eonetwork.org/chinaeast/about-our-chapter/" TargetMode="External"/><Relationship Id="rId27" Type="http://schemas.openxmlformats.org/officeDocument/2006/relationships/hyperlink" Target="https://www.iceo.com.cn/zt/2026_mulannh/" TargetMode="External"/><Relationship Id="rId28" Type="http://schemas.openxmlformats.org/officeDocument/2006/relationships/hyperlink" Target="https://apps.apple.com/cn/app/%E6%AD%A3%E5%92%8C%E5%B2%9B/id525751375" TargetMode="External"/><Relationship Id="rId29" Type="http://schemas.openxmlformats.org/officeDocument/2006/relationships/hyperlink" Target="https://www.ypo.org/membership-requirements/" TargetMode="External"/><Relationship Id="rId30" Type="http://schemas.openxmlformats.org/officeDocument/2006/relationships/hyperlink" Target="https://www.ypo.org/the-ypo-experience/" TargetMode="External"/><Relationship Id="rId31" Type="http://schemas.openxmlformats.org/officeDocument/2006/relationships/hyperlink" Target="https://conservation.see.org.cn/uploads/soft/250409/1-250409203446.pdf" TargetMode="External"/><Relationship Id="rId32" Type="http://schemas.openxmlformats.org/officeDocument/2006/relationships/hyperlink" Target="https://www.pingpongx.com/zh/news/articles/2608040952041" TargetMode="External"/><Relationship Id="rId33" Type="http://schemas.openxmlformats.org/officeDocument/2006/relationships/hyperlink" Target="https://shenzhen.sina.cn/news/2026-09-18/detail-inisftxc0303360.d.html" TargetMode="External"/><Relationship Id="rId34" Type="http://schemas.openxmlformats.org/officeDocument/2006/relationships/hyperlink" Target="https://www.yckjgf.com/news/14/2277" TargetMode="External"/><Relationship Id="rId35" Type="http://schemas.openxmlformats.org/officeDocument/2006/relationships/hyperlink" Target="https://finance.sina.com.cn/wm/2026-07-07/doc-inifyquv1597077.shtml" TargetMode="External"/><Relationship Id="rId36" Type="http://schemas.openxmlformats.org/officeDocument/2006/relationships/hyperlink" Target="https://www.beijingclubhouse.com/zh-HK/images/membership/Application_Form_for_Children_Supplementary_Card.pdf" TargetMode="External"/><Relationship Id="rId37" Type="http://schemas.openxmlformats.org/officeDocument/2006/relationships/hyperlink" Target="https://member.eonetwork.org/chinaeast/membership-qualification/" TargetMode="External"/><Relationship Id="rId38" Type="http://schemas.openxmlformats.org/officeDocument/2006/relationships/hyperlink" Target="https://www.eobeijingmetropolitan.com/col.jsp?id=103" TargetMode="External"/><Relationship Id="rId39" Type="http://schemas.openxmlformats.org/officeDocument/2006/relationships/hyperlink" Target="https://eonetwork.org/newsroom/events/eo-members-in-north-asia-celebrate-the-second-entrepreneurs-festival-in-beijing/" TargetMode="External"/><Relationship Id="rId40" Type="http://schemas.openxmlformats.org/officeDocument/2006/relationships/hyperlink" Target="https://www.ckgsb.com/emba/common_problems/" TargetMode="External"/><Relationship Id="rId41" Type="http://schemas.openxmlformats.org/officeDocument/2006/relationships/hyperlink" Target="https://www.ckgsb.com/emba/pages/tuition/1243.html" TargetMode="External"/><Relationship Id="rId42" Type="http://schemas.openxmlformats.org/officeDocument/2006/relationships/hyperlink" Target="https://yz.chsi.com.cn/sch/viewZszc--infoId-3552283696%2CcategoryId-1719522122%2CschId-1719522069%2Cmindex-12.dhtml" TargetMode="External"/><Relationship Id="rId43" Type="http://schemas.openxmlformats.org/officeDocument/2006/relationships/hyperlink" Target="https://www.ckgsb.com/ckedf/news/index/1160" TargetMode="External"/><Relationship Id="rId44" Type="http://schemas.openxmlformats.org/officeDocument/2006/relationships/hyperlink" Target="https://www.ckgsb.com/emba/" TargetMode="External"/><Relationship Id="rId45" Type="http://schemas.openxmlformats.org/officeDocument/2006/relationships/hyperlink" Target="https://www.xiaohongshu.com/" TargetMode="External"/><Relationship Id="rId46" Type="http://schemas.openxmlformats.org/officeDocument/2006/relationships/hyperlink" Target="https://www.zhisland.com/newmedia/guangxi2015/about.html" TargetMode="External"/><Relationship Id="rId47" Type="http://schemas.openxmlformats.org/officeDocument/2006/relationships/hyperlink" Target="https://www.sohu.com/a/444132188_99894239" TargetMode="External"/><Relationship Id="rId48" Type="http://schemas.openxmlformats.org/officeDocument/2006/relationships/hyperlink" Target="https://www.sohu.com/a/139198125_170023" TargetMode="External"/><Relationship Id="rId49" Type="http://schemas.openxmlformats.org/officeDocument/2006/relationships/hyperlink" Target="https://www.sohu.com/a/197998790_170023" TargetMode="External"/><Relationship Id="rId50" Type="http://schemas.openxmlformats.org/officeDocument/2006/relationships/hyperlink" Target="https://www.sohu.com/a/712370059_121124650" TargetMode="External"/><Relationship Id="rId51" Type="http://schemas.openxmlformats.org/officeDocument/2006/relationships/hyperlink" Target="https://www.imlady.cn/html/join-0929/check.html" TargetMode="External"/><Relationship Id="rId52" Type="http://schemas.openxmlformats.org/officeDocument/2006/relationships/hyperlink" Target="https://www.weibo.com/uplusclub" TargetMode="External"/><Relationship Id="rId53" Type="http://schemas.openxmlformats.org/officeDocument/2006/relationships/hyperlink" Target="https://conservation.see.org.cn/news/dynamic/2025/1203/12953.html" TargetMode="External"/><Relationship Id="rId54" Type="http://schemas.openxmlformats.org/officeDocument/2006/relationships/hyperlink" Target="https://conservation.see.org.cn/uploads/soft/240723/1-240H3143125.pdf" TargetMode="External"/><Relationship Id="rId55" Type="http://schemas.openxmlformats.org/officeDocument/2006/relationships/hyperlink" Target="https://www.samr.gov.cn/zw/zfxxgk/fdzdgknr/bgt/art/2023/art_55b4bbc9a30547a9912e7ed61ffa7e20.html" TargetMode="External"/><Relationship Id="rId56" Type="http://schemas.openxmlformats.org/officeDocument/2006/relationships/hyperlink" Target="https://big5.www.gov.cn/gate/big5/www.gov.cn/yaowen/liebiao/202503/content_7020334.htm" TargetMode="External"/><Relationship Id="rId57" Type="http://schemas.openxmlformats.org/officeDocument/2006/relationships/hyperlink" Target="https://www.miit.gov.cn/zwgk/zcwj/flfg/art/2022/art_04a0f1fb5df244e39688fd5372623a8d.html" TargetMode="External"/><Relationship Id="rId58" Type="http://schemas.openxmlformats.org/officeDocument/2006/relationships/hyperlink" Target="https://www.sohu.com/a/1012528621_121106832" TargetMode="External"/><Relationship Id="rId59" Type="http://schemas.openxmlformats.org/officeDocument/2006/relationships/footer" Target="footer1.xml"/><Relationship Id="rId60" Type="http://schemas.openxmlformats.org/officeDocument/2006/relationships/hyperlink" Target="https://www.xiaohongshu.com/explore/6aa7c749000000002700b528" TargetMode="External"/><Relationship Id="rId61" Type="http://schemas.openxmlformats.org/officeDocument/2006/relationships/hyperlink" Target="https://www.xiaohongshu.com/explore/6ad60b8b0000000027014c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中国高端社群市场研究与创业进入评估</dc:title>
  <dc:subject>高端持续会员社群创业决策</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