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中国社交婚恋与高端会员服务市场研究</w:t>
      </w:r>
    </w:p>
    <w:p>
      <w:r>
        <w:rPr>
          <w:rFonts w:ascii="Arial" w:hAnsi="Arial" w:eastAsia="Hiragino Sans GB"/>
          <w:b w:val="0"/>
          <w:color w:val="596573"/>
          <w:sz w:val="19"/>
        </w:rPr>
        <w:t>中国大陆　北京 上海 深圳重点观察　|　2026年10月21日</w:t>
      </w:r>
    </w:p>
    <w:p>
      <w:r>
        <w:rPr>
          <w:rFonts w:ascii="Arial" w:hAnsi="Arial" w:eastAsia="Hiragino Sans GB"/>
          <w:b w:val="0"/>
          <w:color w:val="111111"/>
          <w:sz w:val="23"/>
        </w:rPr>
        <w:t>本报告供创始人与合伙人讨论公司进入方向、首发产品和验证投入。研究从全国社交婚恋背景，收敛到高端客群、相邻服务与三种经营模式。当前建议优先验证城市兴趣社交体验；年费会员、三城扩张和复杂产品组合仍需真实付费与交付证据。</w:t>
      </w:r>
    </w:p>
    <w:p>
      <w:r>
        <w:rPr>
          <w:rFonts w:ascii="Arial" w:hAnsi="Arial" w:eastAsia="Hiragino Sans GB"/>
          <w:b w:val="0"/>
          <w:color w:val="111111"/>
          <w:sz w:val="21"/>
        </w:rPr>
        <w:t>交付范围：41个机构或品牌体系、15家结构化比较、三家逐字段案例；价格、产品、客户、获客、流程、用户及活跃均有独立表。内容和活动采集未全部达到计划目标，相关缺口在正文及附件明确披露。</w:t>
      </w:r>
    </w:p>
    <w:p>
      <w:pPr>
        <w:pStyle w:val="Heading1"/>
      </w:pPr>
      <w:r>
        <w:t>阅读导航</w:t>
      </w:r>
    </w:p>
    <w:p>
      <w:r>
        <w:rPr>
          <w:rFonts w:ascii="Arial" w:hAnsi="Arial" w:eastAsia="Hiragino Sans GB"/>
          <w:b w:val="0"/>
          <w:color w:val="111111"/>
          <w:sz w:val="21"/>
        </w:rPr>
        <w:t>第1至2节说明结论和方法；第3至9节为宏观与市场地图；第10至16节为必查模块；第17至19节为三家案例；第20至25节比较经济性、进入条件、公司方向与验收结果。建议合伙人先读决策摘要，再用工作簿核查报价与关键假设。</w:t>
      </w:r>
    </w:p>
    <w:p>
      <w:pPr>
        <w:pStyle w:val="Heading1"/>
      </w:pPr>
      <w:r>
        <w:t>01　研究结论与当前决策</w:t>
      </w:r>
    </w:p>
    <w:p>
      <w:r>
        <w:rPr>
          <w:rFonts w:ascii="Arial" w:hAnsi="Arial" w:eastAsia="Hiragino Sans GB"/>
          <w:b w:val="0"/>
          <w:color w:val="111111"/>
          <w:sz w:val="23"/>
        </w:rPr>
        <w:t>我们建议优先验证“以共同兴趣和明确参与规则组织的城市社交体验”，再决定是否转成年度会员。旅行可作为专业合作产品，私董会须以合格教练和稳定讨论机制为前提；婚恋单独设置自愿参加和信息边界。这个判断是经营设计建议，尚不是已验证的客户购买结果。</w:t>
      </w:r>
    </w:p>
    <w:p>
      <w:r>
        <w:rPr>
          <w:rFonts w:ascii="Arial" w:hAnsi="Arial" w:eastAsia="Hiragino Sans GB"/>
          <w:b w:val="0"/>
          <w:color w:val="111111"/>
          <w:sz w:val="23"/>
        </w:rPr>
        <w:t>公开证据证明了几种收费形式确实存在：企业家为结构化同侪服务付年费，商会对具体活动区分会员与非会员收费，旅行机构按行程、人数和资源定价。它们不能共同证明“把六种业务放进一个高价年费”就会成功。</w:t>
      </w:r>
    </w:p>
    <w:p>
      <w:r>
        <w:rPr>
          <w:rFonts w:ascii="Arial" w:hAnsi="Arial" w:eastAsia="Hiragino Sans GB"/>
          <w:b w:val="0"/>
          <w:color w:val="111111"/>
          <w:sz w:val="23"/>
        </w:rPr>
        <w:t>机会更可能来自适配和持续组织：让客户清楚这次为谁组织、怎样筛选、具体做什么、总共花多少、谁承担交付责任。以资产标签代替兴趣和参与目的，可能无法形成彼此愿意长期交往的群体。</w:t>
      </w:r>
    </w:p>
    <w:p>
      <w:r>
        <w:rPr>
          <w:rFonts w:ascii="Arial" w:hAnsi="Arial" w:eastAsia="Hiragino Sans GB"/>
          <w:b w:val="0"/>
          <w:color w:val="111111"/>
          <w:sz w:val="23"/>
        </w:rPr>
        <w:t>本轮完成41个机构或品牌体系的市场地图、15家结构化比较、三家模式案例和逐字段证据登记。名单覆盖直接模式、相邻服务和替代组织，不是41家直接竞争者。经营数据、近期内容和活动记录的完整程度不一，不能以名单规模当市场份额。</w:t>
      </w:r>
    </w:p>
    <w:p>
      <w:r>
        <w:rPr>
          <w:rFonts w:ascii="Arial" w:hAnsi="Arial" w:eastAsia="Hiragino Sans GB"/>
          <w:b w:val="0"/>
          <w:color w:val="111111"/>
          <w:sz w:val="23"/>
        </w:rPr>
        <w:t>适合本次合伙人讨论的结论是：值得继续验证，但尚不足以决定大额固定场地投入、三城同时上线或承诺年度会员收益。请优先确定客户资源分布、首发场景、交付负责人和可接受的验证预算。</w:t>
      </w:r>
    </w:p>
    <w:p>
      <w:pPr>
        <w:spacing w:after="240"/>
      </w:pPr>
      <w:r>
        <w:rPr>
          <w:rFonts w:ascii="Arial" w:hAnsi="Arial" w:eastAsia="Hiragino Sans GB"/>
          <w:b w:val="0"/>
          <w:color w:val="596573"/>
          <w:sz w:val="18"/>
        </w:rPr>
        <w:t>证据索引　S22—S44；详见证据缺口G01—G14</w:t>
      </w:r>
    </w:p>
    <w:p>
      <w:pPr>
        <w:pStyle w:val="Heading1"/>
      </w:pPr>
      <w:r>
        <w:t>02　研究方法与证据边界</w:t>
      </w:r>
    </w:p>
    <w:p>
      <w:r>
        <w:rPr>
          <w:rFonts w:ascii="Arial" w:hAnsi="Arial" w:eastAsia="Hiragino Sans GB"/>
          <w:b w:val="0"/>
          <w:color w:val="111111"/>
          <w:sz w:val="23"/>
        </w:rPr>
        <w:t>研究截止2026年10月21日，覆盖中国大陆全国市场，重点观察北京、上海、深圳；历史趋势以2021—2025完整年度为主，2026资料按发布时点使用，不把部分年度当全年。研究未开展外部访谈、报价咨询、购买或真实活动体验。</w:t>
      </w:r>
    </w:p>
    <w:p>
      <w:r>
        <w:rPr>
          <w:rFonts w:ascii="Arial" w:hAnsi="Arial" w:eastAsia="Hiragino Sans GB"/>
          <w:b w:val="0"/>
          <w:color w:val="111111"/>
          <w:sz w:val="23"/>
        </w:rPr>
        <w:t>事实表区分官方统计、上市公司披露、第三方估算、机构自述、公开标价、用户或供应商内容及研究假设。每项来源在附件保留链接、时间、口径、访问情况与限制。搜索索引可读但正文超时的记录单独标注，证据强度低于可直接阅读的有效期报价。</w:t>
      </w:r>
    </w:p>
    <w:p>
      <w:r>
        <w:rPr>
          <w:rFonts w:ascii="Arial" w:hAnsi="Arial" w:eastAsia="Hiragino Sans GB"/>
          <w:b w:val="0"/>
          <w:color w:val="111111"/>
          <w:sz w:val="23"/>
        </w:rPr>
        <w:t>41条机构记录按品牌体系整理：碧山与WildChina、佰悦会的不同域名、陌陌与探探、百合佳缘相关品牌分别去重。学校按独立教育机构列示，集团旗下不同学院不额外拆成多条来增加样本。不同国家或地区分会数据不能归为中国整体。</w:t>
      </w:r>
    </w:p>
    <w:p>
      <w:r>
        <w:rPr>
          <w:rFonts w:ascii="Arial" w:hAnsi="Arial" w:eastAsia="Hiragino Sans GB"/>
          <w:b w:val="0"/>
          <w:color w:val="111111"/>
          <w:sz w:val="23"/>
        </w:rPr>
        <w:t>三家深度案例选择京城俱乐部、伟事达中国和耀悦，分别解释固定场景会员、结构化同侪年费、旅行产品与顾问交易。选择来自模式差异和可见证据，不是经营优劣排名；另以HIGHER CLUB、EO、商会和学校补充差异。</w:t>
      </w:r>
    </w:p>
    <w:p>
      <w:r>
        <w:rPr>
          <w:rFonts w:ascii="Arial" w:hAnsi="Arial" w:eastAsia="Hiragino Sans GB"/>
          <w:b w:val="0"/>
          <w:color w:val="111111"/>
          <w:sz w:val="23"/>
        </w:rPr>
        <w:t>本轮未完全满足每家近90天20—30条合格内容及六场完整实际活动复原的目标。耀悦品牌账号取得20条逐篇正文及日期显示；京城、伟事达保留搜索观察和有效内容线索，未凑数。E02为合作会面，旅行两项为招募产品，均不伪装成已举办会员活动。</w:t>
      </w:r>
    </w:p>
    <w:p>
      <w:r>
        <w:rPr>
          <w:rFonts w:ascii="Arial" w:hAnsi="Arial" w:eastAsia="Hiragino Sans GB"/>
          <w:b w:val="0"/>
          <w:color w:val="111111"/>
          <w:sz w:val="23"/>
        </w:rPr>
        <w:t>二手资料的数量不能抵消定义或抽样缺陷。尤其不把企业自述的成功、媒体曝光、获奖、豪华场地或客户企业市值当作成交、留存和盈利证据。</w:t>
      </w:r>
    </w:p>
    <w:p>
      <w:pPr>
        <w:spacing w:after="240"/>
      </w:pPr>
      <w:r>
        <w:rPr>
          <w:rFonts w:ascii="Arial" w:hAnsi="Arial" w:eastAsia="Hiragino Sans GB"/>
          <w:b w:val="0"/>
          <w:color w:val="596573"/>
          <w:sz w:val="18"/>
        </w:rPr>
        <w:t>证据索引　S77 S78；工作簿来源台账及字段核验</w:t>
      </w:r>
    </w:p>
    <w:p>
      <w:pPr>
        <w:pStyle w:val="Heading1"/>
      </w:pPr>
      <w:r>
        <w:t>03　宏观市场的分类与商业边界</w:t>
      </w:r>
    </w:p>
    <w:p>
      <w:r>
        <w:rPr>
          <w:rFonts w:ascii="Arial" w:hAnsi="Arial" w:eastAsia="Hiragino Sans GB"/>
          <w:b w:val="0"/>
          <w:color w:val="111111"/>
          <w:sz w:val="23"/>
        </w:rPr>
        <w:t>“社交”首先是一类需求，不是单一收入行业。熟人通讯、陌生人认识、兴趣共同活动、婚恋匹配和商业成长的使用目的不同。一个人可能同时使用多个平台，也可能只用免费工具组织朋友活动。</w:t>
      </w:r>
    </w:p>
    <w:p>
      <w:r>
        <w:rPr>
          <w:rFonts w:ascii="Arial" w:hAnsi="Arial" w:eastAsia="Hiragino Sans GB"/>
          <w:b w:val="0"/>
          <w:color w:val="111111"/>
          <w:sz w:val="23"/>
        </w:rPr>
        <w:t>旅行、游学、参访和私董会的交易包含不同交付。旅行客户可能主要为行程资源付费，商学院客户也为教学和学历付费。只有识别出客户为认识合适的人和持续交往单独承担的费用，才能判断纯社交服务的价值。</w:t>
      </w:r>
    </w:p>
    <w:p>
      <w:r>
        <w:rPr>
          <w:rFonts w:ascii="Arial" w:hAnsi="Arial" w:eastAsia="Hiragino Sans GB"/>
          <w:b w:val="0"/>
          <w:color w:val="111111"/>
          <w:sz w:val="23"/>
        </w:rPr>
        <w:t>因此，全国互联网婚恋收入可作为特定市场背景，旅行及教育可作为替代消费与供应链观察。它们不相加成为“高端社交总市场”。公开资料没有给出全国高端综合会员社交统一、可去重的收入统计。</w:t>
      </w:r>
    </w:p>
    <w:tbl>
      <w:tblPr>
        <w:tblW w:type="auto" w:w="0"/>
        <w:jc w:val="center"/>
        <w:tblLayout w:type="fixed"/>
        <w:tblLook w:firstColumn="1" w:firstRow="1" w:lastColumn="0" w:lastRow="0" w:noHBand="0" w:noVBand="1" w:val="04A0"/>
      </w:tblPr>
      <w:tblGrid>
        <w:gridCol w:w="1800"/>
        <w:gridCol w:w="2664"/>
        <w:gridCol w:w="2520"/>
        <w:gridCol w:w="301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市场层</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主要需求</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常见收费对象</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与拟公司关系</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熟人通讯</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维系既有联系</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广告、增值或企业工具</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免费组织工具与渠道</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陌生人交友</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发现新人、表达和陪伴</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订阅、虚拟增值</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需求与竞争背景</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兴趣社群及活动</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共同体验与建立关系</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活动票、课程、会籍</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直接或相邻模式</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婚恋服务</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择偶和关系推进</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匹配、顾问、平台增值</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单身独立服务线</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企业家学习</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决策、学习及商业连接</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年费、项目学费</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私董会参访替代</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旅行及生活方式</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行程资源与体验</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按人、按团、定制</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主题产品及合作供给</w:t>
            </w:r>
          </w:p>
        </w:tc>
      </w:tr>
    </w:tbl>
    <w:p>
      <w:pPr>
        <w:spacing w:after="40"/>
      </w:pPr>
    </w:p>
    <w:p>
      <w:pPr>
        <w:spacing w:after="240"/>
      </w:pPr>
      <w:r>
        <w:rPr>
          <w:rFonts w:ascii="Arial" w:hAnsi="Arial" w:eastAsia="Hiragino Sans GB"/>
          <w:b w:val="0"/>
          <w:color w:val="596573"/>
          <w:sz w:val="18"/>
        </w:rPr>
        <w:t>证据索引　分类为研究分析；S01 S02 S12 S22 S28 S33 S42</w:t>
      </w:r>
    </w:p>
    <w:p>
      <w:pPr>
        <w:pStyle w:val="Heading1"/>
      </w:pPr>
      <w:r>
        <w:t>04　互联网婚恋规模与增长</w:t>
      </w:r>
    </w:p>
    <w:p>
      <w:r>
        <w:rPr>
          <w:rFonts w:ascii="Arial" w:hAnsi="Arial" w:eastAsia="Hiragino Sans GB"/>
          <w:b w:val="0"/>
          <w:color w:val="111111"/>
          <w:sz w:val="23"/>
        </w:rPr>
        <w:t>根据网经社电子商务研究中心发布的《2025年度中国数字生活市场数据报告》，其口径下互联网婚恋市场从2021年的75亿元增加到2025年的103.5亿元，用户规模从5680万人增加到8450万人。公开页提供了连续序列，但没有完整公开去重、抽样和收入覆盖方法，因此将其标为第三方估算。</w:t>
      </w:r>
    </w:p>
    <w:p>
      <w:r>
        <w:rPr>
          <w:rFonts w:ascii="Arial" w:hAnsi="Arial" w:eastAsia="Hiragino Sans GB"/>
          <w:b w:val="0"/>
          <w:color w:val="111111"/>
          <w:sz w:val="23"/>
        </w:rPr>
        <w:t>同一口径的规模增速在2025年为5.61%，低于早期年份。规模增长并不意味着每家机构都增长，也不能证明线下高端社群有同样增长率。用户规模尤其不等于付费人数或月活人数。</w:t>
      </w:r>
    </w:p>
    <w:p>
      <w:r>
        <w:rPr>
          <w:rFonts w:ascii="Arial" w:hAnsi="Arial" w:eastAsia="Hiragino Sans GB"/>
          <w:b w:val="0"/>
          <w:color w:val="111111"/>
          <w:sz w:val="23"/>
        </w:rPr>
        <w:t>艾媒给出的2023年互联网婚恋交友规模为93.8亿元，网经社同年为91亿元。两者差异应保留，不平均、不拼接成一条“更完整”的时间线，也不把标题含2025的2024年报告当2025年数据。</w:t>
      </w:r>
    </w:p>
    <w:tbl>
      <w:tblPr>
        <w:tblW w:type="auto" w:w="0"/>
        <w:jc w:val="center"/>
        <w:tblLayout w:type="fixed"/>
        <w:tblLook w:firstColumn="1" w:firstRow="1" w:lastColumn="0" w:lastRow="0" w:noHBand="0" w:noVBand="1" w:val="04A0"/>
      </w:tblPr>
      <w:tblGrid>
        <w:gridCol w:w="1800"/>
        <w:gridCol w:w="2664"/>
        <w:gridCol w:w="2520"/>
        <w:gridCol w:w="301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年份</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规模 亿元</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用户 万人</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数据性质</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2021</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75</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5680</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网经社估算</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2022</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83</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6190</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网经社估算</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2023</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91</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6780</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网经社估算</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2024</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98</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7750</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网经社估算</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2025</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103.5</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8450</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网经社估算</w:t>
            </w:r>
          </w:p>
        </w:tc>
      </w:tr>
    </w:tbl>
    <w:p>
      <w:pPr>
        <w:spacing w:after="40"/>
      </w:pPr>
    </w:p>
    <w:p>
      <w:pPr>
        <w:spacing w:after="240"/>
      </w:pPr>
      <w:r>
        <w:rPr>
          <w:rFonts w:ascii="Arial" w:hAnsi="Arial" w:eastAsia="Hiragino Sans GB"/>
          <w:b w:val="0"/>
          <w:color w:val="596573"/>
          <w:sz w:val="18"/>
        </w:rPr>
        <w:t>证据索引　S02 S03</w:t>
      </w:r>
    </w:p>
    <w:p>
      <w:pPr>
        <w:pStyle w:val="Heading1"/>
      </w:pPr>
      <w:r>
        <w:t>05　婚姻变化与社交需求不可等同</w:t>
      </w:r>
    </w:p>
    <w:p>
      <w:r>
        <w:rPr>
          <w:rFonts w:ascii="Arial" w:hAnsi="Arial" w:eastAsia="Hiragino Sans GB"/>
          <w:b w:val="0"/>
          <w:color w:val="111111"/>
          <w:sz w:val="23"/>
        </w:rPr>
        <w:t>年度结婚登记在2021—2025年呈现波动。2025年年度公报的政务转载为676.5万对；早期2025年四季度累计报道为676.3万对。本报告采用较新的年度值，并保留二者区别。2023原始公报链接已定位，正文未成功取得，该历史点仍有原文复核限制。</w:t>
      </w:r>
    </w:p>
    <w:p>
      <w:r>
        <w:rPr>
          <w:rFonts w:ascii="Arial" w:hAnsi="Arial" w:eastAsia="Hiragino Sans GB"/>
          <w:b w:val="0"/>
          <w:color w:val="111111"/>
          <w:sz w:val="23"/>
        </w:rPr>
        <w:t>登记统计反映当年办理登记的婚姻，不代表未婚人口、婚恋服务使用者或未来服务交易。登记下降可能同时受到适婚人口、登记时点、婚姻意愿等影响，不能直接推导婚介收入上升或下降。</w:t>
      </w:r>
    </w:p>
    <w:p>
      <w:r>
        <w:rPr>
          <w:rFonts w:ascii="Arial" w:hAnsi="Arial" w:eastAsia="Hiragino Sans GB"/>
          <w:b w:val="0"/>
          <w:color w:val="111111"/>
          <w:sz w:val="23"/>
        </w:rPr>
        <w:t>拟公司同时服务单身与有伴侣人群，宏观需求应拆成“结识与匹配”“共同兴趣与陪伴”“家庭生活体验”“学习与事业支持”。若只从单身数量论证全部业务，会遗漏伴侣和家庭客户的主要购买理由。</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年份</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登记 万对</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取数与限制</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2021</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764.3</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历史公报留存</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2022</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683.5</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历史公报留存</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2023</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768.2</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年度链接定位 原文待复核</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2024</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610.6</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中新网转引民政部</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2025</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676.5</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最新年度政务转引 非早期季报</w:t>
            </w:r>
          </w:p>
        </w:tc>
      </w:tr>
    </w:tbl>
    <w:p>
      <w:pPr>
        <w:spacing w:after="40"/>
      </w:pPr>
    </w:p>
    <w:p>
      <w:pPr>
        <w:spacing w:after="240"/>
      </w:pPr>
      <w:r>
        <w:rPr>
          <w:rFonts w:ascii="Arial" w:hAnsi="Arial" w:eastAsia="Hiragino Sans GB"/>
          <w:b w:val="0"/>
          <w:color w:val="596573"/>
          <w:sz w:val="18"/>
        </w:rPr>
        <w:t>证据索引　S04—S08；S17—S19</w:t>
      </w:r>
    </w:p>
    <w:p>
      <w:pPr>
        <w:pStyle w:val="Heading1"/>
      </w:pPr>
      <w:r>
        <w:t>06　线上普及与付费经营的现实</w:t>
      </w:r>
    </w:p>
    <w:p>
      <w:r>
        <w:rPr>
          <w:rFonts w:ascii="Arial" w:hAnsi="Arial" w:eastAsia="Hiragino Sans GB"/>
          <w:b w:val="0"/>
          <w:color w:val="111111"/>
          <w:sz w:val="23"/>
        </w:rPr>
        <w:t>CNNIC第57次报告记录2025年末网民11.25亿，即时通信用户10.94亿。这说明客户已经具备使用线上工具维系关系的条件，不能把这十多亿人作为新公司可收费的客户池。</w:t>
      </w:r>
    </w:p>
    <w:p>
      <w:r>
        <w:rPr>
          <w:rFonts w:ascii="Arial" w:hAnsi="Arial" w:eastAsia="Hiragino Sans GB"/>
          <w:b w:val="0"/>
          <w:color w:val="111111"/>
          <w:sz w:val="23"/>
        </w:rPr>
        <w:t>挚文集团2025年度业绩发布显示：全年净收入103.671亿元，同比下降1.9%；第四季度陌陌付费用户390万，探探60万，分别低于上年同期。集团收入包括海外和多类增值服务，不能视作中国婚恋收入，也不能与互联网婚恋规模比较市占率。</w:t>
      </w:r>
    </w:p>
    <w:p>
      <w:r>
        <w:rPr>
          <w:rFonts w:ascii="Arial" w:hAnsi="Arial" w:eastAsia="Hiragino Sans GB"/>
          <w:b w:val="0"/>
          <w:color w:val="111111"/>
          <w:sz w:val="23"/>
        </w:rPr>
        <w:t>这组公司证据说明：有大量用户和真实支付，不代表增长容易。新公司需要证明客户在已有免费关系工具之外，愿意为什么新增交付付钱。若主要价值只是建群、交换名片或提供地点，容易被低成本替代。</w:t>
      </w:r>
    </w:p>
    <w:p>
      <w:r>
        <w:rPr>
          <w:rFonts w:ascii="Arial" w:hAnsi="Arial" w:eastAsia="Hiragino Sans GB"/>
          <w:b w:val="0"/>
          <w:color w:val="111111"/>
          <w:sz w:val="23"/>
        </w:rPr>
        <w:t>对小红书的合理使用是发现需求语言、品牌内容与咨询入口，再追溯报名和交易。点赞、收藏和粉丝不能提供完整的“曝光—留资—成交”分母，不能推算获客成本。</w:t>
      </w:r>
    </w:p>
    <w:p>
      <w:pPr>
        <w:spacing w:after="240"/>
      </w:pPr>
      <w:r>
        <w:rPr>
          <w:rFonts w:ascii="Arial" w:hAnsi="Arial" w:eastAsia="Hiragino Sans GB"/>
          <w:b w:val="0"/>
          <w:color w:val="596573"/>
          <w:sz w:val="18"/>
        </w:rPr>
        <w:t>证据索引　S01 S12；X01—X03</w:t>
      </w:r>
    </w:p>
    <w:p>
      <w:pPr>
        <w:pStyle w:val="Heading1"/>
      </w:pPr>
      <w:r>
        <w:t>07　高净值客群与消费证据</w:t>
      </w:r>
    </w:p>
    <w:p>
      <w:r>
        <w:rPr>
          <w:rFonts w:ascii="Arial" w:hAnsi="Arial" w:eastAsia="Hiragino Sans GB"/>
          <w:b w:val="0"/>
          <w:color w:val="111111"/>
          <w:sz w:val="23"/>
        </w:rPr>
        <w:t>私人财富研究与品质生活调查回答不同问题。招商银行与贝恩的2023报告中，316万人是2022年个人可投资资产超过人民币1000万元的估算，不能与家庭总资产口径混用，也不能当作2026年全国客户数。</w:t>
      </w:r>
    </w:p>
    <w:p>
      <w:r>
        <w:rPr>
          <w:rFonts w:ascii="Arial" w:hAnsi="Arial" w:eastAsia="Hiragino Sans GB"/>
          <w:b w:val="0"/>
          <w:color w:val="111111"/>
          <w:sz w:val="23"/>
        </w:rPr>
        <w:t>胡润2026品质生活报告调查470位千万资产人士，样本集中一线城市。其旅行支出净增加意向和体验预算意向，为研究体验型服务提供方向线索；这不是全国高净值人的概率抽样，也不是客户已经为陌生人社交购买会籍的证据。</w:t>
      </w:r>
    </w:p>
    <w:p>
      <w:r>
        <w:rPr>
          <w:rFonts w:ascii="Arial" w:hAnsi="Arial" w:eastAsia="Hiragino Sans GB"/>
          <w:b w:val="0"/>
          <w:color w:val="111111"/>
          <w:sz w:val="23"/>
        </w:rPr>
        <w:t>公司以“A8及以上”为目标定位，但个人或家庭、总资产或可投资资产等具体口径尚未定义。建议商业研究同时记录职业和决策角色、可用时间、活动预算、兴趣及参与目的。资产证明是否必要、怎样最小化采集，应在具体入会方案中另作决定。</w:t>
      </w:r>
    </w:p>
    <w:p>
      <w:r>
        <w:rPr>
          <w:rFonts w:ascii="Arial" w:hAnsi="Arial" w:eastAsia="Hiragino Sans GB"/>
          <w:b w:val="0"/>
          <w:color w:val="111111"/>
          <w:sz w:val="23"/>
        </w:rPr>
        <w:t>高消费能力也不意味着愿为所有产品付费。有的客户需要既有朋友圈旅行，有的希望认识新人，有的希望解决经营问题。研究应以具体任务分层，避免创造一个无差别的“富人画像”。</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概念</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本轮证据</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不能据此推出</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个人可投资资产</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贝恩历史模型估算</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家庭总资产或当前人数</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千万资产样本</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胡润生活与意向调查</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全国需求与实际成交</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职业身份</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机构公开准入条件</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个人资产已经核实</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val="0"/>
              <w:spacing w:after="0" w:before="0" w:line="276" w:lineRule="auto"/>
            </w:pPr>
            <w:r>
              <w:rPr>
                <w:rFonts w:ascii="Arial" w:hAnsi="Arial" w:eastAsia="Hiragino Sans GB"/>
                <w:b w:val="0"/>
                <w:color w:val="111111"/>
                <w:sz w:val="21"/>
              </w:rPr>
              <w:t>产品标价</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val="0"/>
              <w:spacing w:after="0" w:before="0" w:line="276" w:lineRule="auto"/>
            </w:pPr>
            <w:r>
              <w:rPr>
                <w:rFonts w:ascii="Arial" w:hAnsi="Arial" w:eastAsia="Hiragino Sans GB"/>
                <w:b w:val="0"/>
                <w:color w:val="111111"/>
                <w:sz w:val="21"/>
              </w:rPr>
              <w:t>机构可见报价</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val="0"/>
              <w:spacing w:after="0" w:before="0" w:line="276" w:lineRule="auto"/>
            </w:pPr>
            <w:r>
              <w:rPr>
                <w:rFonts w:ascii="Arial" w:hAnsi="Arial" w:eastAsia="Hiragino Sans GB"/>
                <w:b w:val="0"/>
                <w:color w:val="111111"/>
                <w:sz w:val="21"/>
              </w:rPr>
              <w:t>客户愿付与成交均价</w:t>
            </w:r>
          </w:p>
        </w:tc>
      </w:tr>
    </w:tbl>
    <w:p>
      <w:pPr>
        <w:spacing w:after="40"/>
      </w:pPr>
    </w:p>
    <w:p>
      <w:pPr>
        <w:spacing w:after="240"/>
      </w:pPr>
      <w:r>
        <w:rPr>
          <w:rFonts w:ascii="Arial" w:hAnsi="Arial" w:eastAsia="Hiragino Sans GB"/>
          <w:b w:val="0"/>
          <w:color w:val="596573"/>
          <w:sz w:val="18"/>
        </w:rPr>
        <w:t>证据索引　S10 S11 S28 S37 S38</w:t>
      </w:r>
    </w:p>
    <w:p>
      <w:pPr>
        <w:pStyle w:val="Heading1"/>
      </w:pPr>
      <w:r>
        <w:t>08　北京上海深圳的进入条件</w:t>
      </w:r>
    </w:p>
    <w:p>
      <w:r>
        <w:rPr>
          <w:rFonts w:ascii="Arial" w:hAnsi="Arial" w:eastAsia="Hiragino Sans GB"/>
          <w:b w:val="0"/>
          <w:color w:val="111111"/>
          <w:sz w:val="23"/>
        </w:rPr>
        <w:t>三地都存在大城市客户和专业服务基础。2025年居民人均可支配收入，北京89090元、上海91987元、深圳84945元。三者是全体居民人均统计，不描述高净值客户预算，也不足以排列创业优先级。</w:t>
      </w:r>
    </w:p>
    <w:p>
      <w:r>
        <w:rPr>
          <w:rFonts w:ascii="Arial" w:hAnsi="Arial" w:eastAsia="Hiragino Sans GB"/>
          <w:b w:val="0"/>
          <w:color w:val="111111"/>
          <w:sz w:val="23"/>
        </w:rPr>
        <w:t>进入城市首先看现有关系能否转化为同一时间、地点和目的下的有效参与者。已有潜在客户圈是有利条件，但尚缺三城分布、关系强度、过往支付和可参与日期，无法据此认定任何一城已具备首发条件。</w:t>
      </w:r>
    </w:p>
    <w:p>
      <w:r>
        <w:rPr>
          <w:rFonts w:ascii="Arial" w:hAnsi="Arial" w:eastAsia="Hiragino Sans GB"/>
          <w:b w:val="0"/>
          <w:color w:val="111111"/>
          <w:sz w:val="23"/>
        </w:rPr>
        <w:t>北京可研究商务与使馆商协会场景，上海可研究餐饮艺术、国际化商务和生活方式，深圳可研究企业家、产业和湾区学习。这是本轮样本供给的观察，不能概括整座城市所有客户的性格或需求。</w:t>
      </w:r>
    </w:p>
    <w:p>
      <w:r>
        <w:rPr>
          <w:rFonts w:ascii="Arial" w:hAnsi="Arial" w:eastAsia="Hiragino Sans GB"/>
          <w:b w:val="0"/>
          <w:color w:val="111111"/>
          <w:sz w:val="23"/>
        </w:rPr>
        <w:t>建议先按真实资源选一城试验，在另外两城保留客群与合作研究。跨城招募适合少数有明确主题的旅行或游学，并不能自动解决本地日常关系密度。</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城市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可见供给样本</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进入前需内部核实</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北京</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京城俱乐部 香港马会会所 黑骑士</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客户可动员性 场景与主持</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上海</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HIGHER 餐酒艺术场景 EO 中欧</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人群适配 内容与到访便利</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深圳</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侨商 深商 北大汇丰</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身份准入 产业资源 湾区半径</w:t>
            </w:r>
          </w:p>
        </w:tc>
      </w:tr>
    </w:tbl>
    <w:p>
      <w:pPr>
        <w:spacing w:after="40"/>
      </w:pPr>
    </w:p>
    <w:p>
      <w:pPr>
        <w:spacing w:after="240"/>
      </w:pPr>
      <w:r>
        <w:rPr>
          <w:rFonts w:ascii="Arial" w:hAnsi="Arial" w:eastAsia="Hiragino Sans GB"/>
          <w:b w:val="0"/>
          <w:color w:val="596573"/>
          <w:sz w:val="18"/>
        </w:rPr>
        <w:t>证据索引　S13—S16 S22 S37 S40 S42 S47 S48 S52 S53</w:t>
      </w:r>
    </w:p>
    <w:p>
      <w:pPr>
        <w:pStyle w:val="Heading1"/>
      </w:pPr>
      <w:r>
        <w:t>09　市场地图与样本选择结果</w:t>
      </w:r>
    </w:p>
    <w:p>
      <w:r>
        <w:rPr>
          <w:rFonts w:ascii="Arial" w:hAnsi="Arial" w:eastAsia="Hiragino Sans GB"/>
          <w:b w:val="0"/>
          <w:color w:val="111111"/>
          <w:sz w:val="23"/>
        </w:rPr>
        <w:t>机构地图按客户的替代选择组织，并不是“同类公司排行榜”。综合会员模式强调圈层与场景，私董会强调固定同侪和教练，旅行强调资源和交付，婚恋强调匹配，教育及商会则有资格或组织属性。</w:t>
      </w:r>
    </w:p>
    <w:p>
      <w:r>
        <w:rPr>
          <w:rFonts w:ascii="Arial" w:hAnsi="Arial" w:eastAsia="Hiragino Sans GB"/>
          <w:b w:val="0"/>
          <w:color w:val="111111"/>
          <w:sz w:val="23"/>
        </w:rPr>
        <w:t>15家结构化比较包括京城俱乐部、HIGHER、伟事达、EO China East、正和岛、深圳侨商、上海美国商会、耀悦、鸿鹄逸游、碧山、赞那度、我主良缘、珍爱网、MarryU与中欧。该组用于比较不同选择，不计算市场份额或行业平均收费。</w:t>
      </w:r>
    </w:p>
    <w:p>
      <w:r>
        <w:rPr>
          <w:rFonts w:ascii="Arial" w:hAnsi="Arial" w:eastAsia="Hiragino Sans GB"/>
          <w:b w:val="0"/>
          <w:color w:val="111111"/>
          <w:sz w:val="23"/>
        </w:rPr>
        <w:t>历史或不明状态的机构明确标记。KEE与网易花田只有历史或状态不足的材料，不作为2026活跃经营规模证据。野去网页有较老资讯；官网能访问本身不等于持续盈利。</w:t>
      </w:r>
    </w:p>
    <w:p>
      <w:r>
        <w:rPr>
          <w:rFonts w:ascii="Arial" w:hAnsi="Arial" w:eastAsia="Hiragino Sans GB"/>
          <w:b w:val="0"/>
          <w:color w:val="111111"/>
          <w:sz w:val="23"/>
        </w:rPr>
        <w:t>部分机构在全国服务但未确认三城都实际经营。地图中的城市可能表示运营所在地、公开覆盖或客源，实际分支与名额需核实，不用全国品牌数量替代本地竞争密度。</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机构组</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本轮条数</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解释</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综合会员与生活方式</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7</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企业家与私董会</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6</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商学与游学</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6</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商协会与渠道</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4</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旅行及体验</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11</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婚恋与关系服务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4</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见机构地图逐条来源</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线上社交替代</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3</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见机构地图逐条来源</w:t>
            </w:r>
          </w:p>
        </w:tc>
      </w:tr>
    </w:tbl>
    <w:p>
      <w:pPr>
        <w:spacing w:after="40"/>
      </w:pPr>
    </w:p>
    <w:p>
      <w:pPr>
        <w:spacing w:after="240"/>
      </w:pPr>
      <w:r>
        <w:rPr>
          <w:rFonts w:ascii="Arial" w:hAnsi="Arial" w:eastAsia="Hiragino Sans GB"/>
          <w:b w:val="0"/>
          <w:color w:val="596573"/>
          <w:sz w:val="18"/>
        </w:rPr>
        <w:t>证据索引　机构地图41条；S22—S74</w:t>
      </w:r>
    </w:p>
    <w:p>
      <w:pPr>
        <w:pStyle w:val="Heading1"/>
      </w:pPr>
      <w:r>
        <w:t>10　价格比较与收费逻辑</w:t>
      </w:r>
    </w:p>
    <w:p>
      <w:r>
        <w:rPr>
          <w:rFonts w:ascii="Arial" w:hAnsi="Arial" w:eastAsia="Hiragino Sans GB"/>
          <w:b w:val="0"/>
          <w:color w:val="111111"/>
          <w:sz w:val="23"/>
        </w:rPr>
        <w:t>当前最清楚的价格证据来自标准化产品：伟事达的年费体系、EO全球费用、侨商组织会费、商会活动票与商学院学费。它们的交付内容和资格差异很大，不能放入一个柱状图得出“高端社交均价”。</w:t>
      </w:r>
    </w:p>
    <w:p>
      <w:r>
        <w:rPr>
          <w:rFonts w:ascii="Arial" w:hAnsi="Arial" w:eastAsia="Hiragino Sans GB"/>
          <w:b w:val="0"/>
          <w:color w:val="111111"/>
          <w:sz w:val="23"/>
        </w:rPr>
        <w:t>旅行报价需要同时记录目的地、时长、成行人数、房型、机票、签证、单房差和取消规则。品牌首页起价只能作为产品定位线索；本轮补充阅读了耀悦小红书逐篇正文，以更新报价与行程结构，并保留尚缺的费用包含项。</w:t>
      </w:r>
    </w:p>
    <w:p>
      <w:r>
        <w:rPr>
          <w:rFonts w:ascii="Arial" w:hAnsi="Arial" w:eastAsia="Hiragino Sans GB"/>
          <w:b w:val="0"/>
          <w:color w:val="111111"/>
          <w:sz w:val="23"/>
        </w:rPr>
        <w:t>会员年费也要看全年总支出。会籍若只提供资格和折扣，客户还需为活动付费；若年费包含大量活动，就会形成场地、人员与未使用权益的交付负担。比较时应采用同类参与情景，不能只比入口价格。</w:t>
      </w:r>
    </w:p>
    <w:p>
      <w:r>
        <w:rPr>
          <w:rFonts w:ascii="Arial" w:hAnsi="Arial" w:eastAsia="Hiragino Sans GB"/>
          <w:b w:val="0"/>
          <w:color w:val="111111"/>
          <w:sz w:val="23"/>
        </w:rPr>
        <w:t>没有当前官方报价的机构保留未知。搜索平台生成的AI总结、无日期榜单、早年媒体报价和SEO文章没有进入当前定价依据。高端婚恋套餐实际期限与介绍次数不明时，不以“几万元到几十万元”代替实价。</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服务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公开价格示例</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口径与限制</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伟事达CE/SE/KE</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148000 / 96000 / 78000元每年</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品牌索引价 待书面合同</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EO全球</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2630美元年费 首次3500美元</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地方及活动费用待核</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深圳侨商普通会员</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3000元每年</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身份条件 组织会费</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上海美商青少年项目</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3500元会员 / 6000元非会员</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两日项目 非成人社交</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耀悦南澳私享游</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49500元每人起 四人成行</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11天 内容报价 非成交</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中欧2026级EMBA</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828000元每项目</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教育产品 非社群年费</w:t>
            </w:r>
          </w:p>
        </w:tc>
      </w:tr>
    </w:tbl>
    <w:p>
      <w:pPr>
        <w:spacing w:after="40"/>
      </w:pPr>
    </w:p>
    <w:p>
      <w:pPr>
        <w:spacing w:after="240"/>
      </w:pPr>
      <w:r>
        <w:rPr>
          <w:rFonts w:ascii="Arial" w:hAnsi="Arial" w:eastAsia="Hiragino Sans GB"/>
          <w:b w:val="0"/>
          <w:color w:val="596573"/>
          <w:sz w:val="18"/>
        </w:rPr>
        <w:t>证据索引　S28 S38 S40 S41 S42；X03相关逐篇来源</w:t>
      </w:r>
    </w:p>
    <w:p>
      <w:pPr>
        <w:pStyle w:val="Heading1"/>
      </w:pPr>
      <w:r>
        <w:t>11　产品组合与会员权益设计</w:t>
      </w:r>
    </w:p>
    <w:p>
      <w:r>
        <w:rPr>
          <w:rFonts w:ascii="Arial" w:hAnsi="Arial" w:eastAsia="Hiragino Sans GB"/>
          <w:b w:val="0"/>
          <w:color w:val="111111"/>
          <w:sz w:val="23"/>
        </w:rPr>
        <w:t>本轮观察到的持续收费基础大致有三种：随时可使用的场所和服务、定期固定小组与专业支持、明确有期限的课程与活动权益。旅行和婚恋也可由顾问持续服务，但每笔交易的范围必须清楚。</w:t>
      </w:r>
    </w:p>
    <w:p>
      <w:r>
        <w:rPr>
          <w:rFonts w:ascii="Arial" w:hAnsi="Arial" w:eastAsia="Hiragino Sans GB"/>
          <w:b w:val="0"/>
          <w:color w:val="111111"/>
          <w:sz w:val="23"/>
        </w:rPr>
        <w:t>对拟公司而言，六个产品名称可以共用品牌，但不必共用一个参加名单。婚恋的择偶信息不应默认流入伴侣或家庭社群；商业议题的保密规则也不适合开放给一次性游客。</w:t>
      </w:r>
    </w:p>
    <w:p>
      <w:r>
        <w:rPr>
          <w:rFonts w:ascii="Arial" w:hAnsi="Arial" w:eastAsia="Hiragino Sans GB"/>
          <w:b w:val="0"/>
          <w:color w:val="111111"/>
          <w:sz w:val="23"/>
        </w:rPr>
        <w:t>建议把公开体验、经过筛选的连续活动、专业分支产品、顾问定制四种关系分开定义。是否做年费，应由重复参与和预订需求决定；年费购买的是可交付的权益，而不是抽象的“资源无限”。</w:t>
      </w:r>
    </w:p>
    <w:p>
      <w:r>
        <w:rPr>
          <w:rFonts w:ascii="Arial" w:hAnsi="Arial" w:eastAsia="Hiragino Sans GB"/>
          <w:b w:val="0"/>
          <w:color w:val="111111"/>
          <w:sz w:val="23"/>
        </w:rPr>
        <w:t>交叉销售仍是待验证假设。公开页面同时列出旅行和晚宴，不能证明同一会员会购买两者。下一阶段需要观察客户从第一次付费到第二个产品的真实路径和增量交付成本。</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业务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适合共用的部分</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需独立的部分</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社交与兴趣体验</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品牌 组织团队 会员联系</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主题名单与参加目的</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旅行与游学</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内容兴趣 顾问沟通</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合同 供应链 安全与退改</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私董会与参访</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企业家主题与渠道</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教练 能力 准入与保密</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婚恋与一般社交</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自愿接触品牌入口</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匹配资料 目标与服务合同</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伴侣与家庭活动</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场景 主题及同伴关系</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家庭票 年龄与照护安排</w:t>
            </w:r>
          </w:p>
        </w:tc>
      </w:tr>
    </w:tbl>
    <w:p>
      <w:pPr>
        <w:spacing w:after="40"/>
      </w:pPr>
    </w:p>
    <w:p>
      <w:pPr>
        <w:spacing w:after="240"/>
      </w:pPr>
      <w:r>
        <w:rPr>
          <w:rFonts w:ascii="Arial" w:hAnsi="Arial" w:eastAsia="Hiragino Sans GB"/>
          <w:b w:val="0"/>
          <w:color w:val="596573"/>
          <w:sz w:val="18"/>
        </w:rPr>
        <w:t>证据索引　S22 S28 S33 S41 S67 S70；产品矩阵及研究建议</w:t>
      </w:r>
    </w:p>
    <w:p>
      <w:pPr>
        <w:pStyle w:val="Heading1"/>
      </w:pPr>
      <w:r>
        <w:t>12　客户画像与购买过程</w:t>
      </w:r>
    </w:p>
    <w:p>
      <w:r>
        <w:rPr>
          <w:rFonts w:ascii="Arial" w:hAnsi="Arial" w:eastAsia="Hiragino Sans GB"/>
          <w:b w:val="0"/>
          <w:color w:val="111111"/>
          <w:sz w:val="23"/>
        </w:rPr>
        <w:t>客户画像按“谁在什么场景为哪种结果付费”组织。附件列六类需求人群，并区分机构公开定位与研究假设。年龄、性别、城市和职业只是基础标签，不能替代参与动机。</w:t>
      </w:r>
    </w:p>
    <w:p>
      <w:r>
        <w:rPr>
          <w:rFonts w:ascii="Arial" w:hAnsi="Arial" w:eastAsia="Hiragino Sans GB"/>
          <w:b w:val="0"/>
          <w:color w:val="111111"/>
          <w:sz w:val="23"/>
        </w:rPr>
        <w:t>例如经营者可能在经营问题出现时选择私董会；夫妻可能更愿购买共同旅行，单身者则可能希望明确的择偶匹配。购买触发、预算、夫妻共同决定和退出原因，本轮缺少高端定向一手资料，不写成确定比例。</w:t>
      </w:r>
    </w:p>
    <w:p>
      <w:r>
        <w:rPr>
          <w:rFonts w:ascii="Arial" w:hAnsi="Arial" w:eastAsia="Hiragino Sans GB"/>
          <w:b w:val="0"/>
          <w:color w:val="111111"/>
          <w:sz w:val="23"/>
        </w:rPr>
        <w:t>我们建议访谈时追溯最近三次真实活动或旅行：谁推荐、付多少钱、有什么额外费用、为什么选择、之后是否再联系同伴、有没有复购，以及拒绝过哪些替代方案。只问“你愿不愿参加高端活动”容易获得礼貌性赞同。</w:t>
      </w:r>
    </w:p>
    <w:p>
      <w:r>
        <w:rPr>
          <w:rFonts w:ascii="Arial" w:hAnsi="Arial" w:eastAsia="Hiragino Sans GB"/>
          <w:b w:val="0"/>
          <w:color w:val="111111"/>
          <w:sz w:val="23"/>
        </w:rPr>
        <w:t>公司也应允许“不需要婚恋”“不希望被推销”“只想与现有伴侣同行”等明确选择。把不同目的的人强行聚到一起，可能增加组织冲突，而非提高关系质量。</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需求人群</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需求及选择标准</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证据与未验证点</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忙碌企业经营者</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能否接触合适同行；讨论保密；时间成本</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职业客群有机构准入证据；预算及触发为待验假设</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品质体验组织需求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内容质量、同行适配、交付稳定</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旅行产品供给支持；付费社交需求未验证</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严肃婚恋需求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真实性、匹配、次数、退费</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目标定位有证据；具体预算和转化未知</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青年家族成员</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氛围、边界、品牌、隐私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仅品牌自述，不能确认实际资产与年龄结构</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家庭延伸需求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家庭友好、安排透明、时间兼容</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供给存在；夫妻付费和独立参与意愿待验</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同兴趣轻社交</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兴趣、节奏、消费观、地理距离</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大众样本与理论支持，不代表高净值群体</w:t>
            </w:r>
          </w:p>
        </w:tc>
      </w:tr>
    </w:tbl>
    <w:p>
      <w:pPr>
        <w:spacing w:after="40"/>
      </w:pPr>
    </w:p>
    <w:p>
      <w:pPr>
        <w:spacing w:after="240"/>
      </w:pPr>
      <w:r>
        <w:rPr>
          <w:rFonts w:ascii="Arial" w:hAnsi="Arial" w:eastAsia="Hiragino Sans GB"/>
          <w:b w:val="0"/>
          <w:color w:val="596573"/>
          <w:sz w:val="18"/>
        </w:rPr>
        <w:t>证据索引　S17—S19 S28 S33 S37 S41 S53 S65 S67—S70</w:t>
      </w:r>
    </w:p>
    <w:p>
      <w:pPr>
        <w:pStyle w:val="Heading1"/>
      </w:pPr>
      <w:r>
        <w:t>13　获客渠道与成交路径</w:t>
      </w:r>
    </w:p>
    <w:p>
      <w:r>
        <w:rPr>
          <w:rFonts w:ascii="Arial" w:hAnsi="Arial" w:eastAsia="Hiragino Sans GB"/>
          <w:b w:val="0"/>
          <w:color w:val="111111"/>
          <w:sz w:val="23"/>
        </w:rPr>
        <w:t>公开渠道可以验证入口和内容，却往往看不到成交。附件将官网、APP、社交内容、合作方与转介绍分开记录，不把“出现过小红书内容”认定为企业主动投放。第三方用户或供应商笔记更不能自动归属品牌广告。</w:t>
      </w:r>
    </w:p>
    <w:p>
      <w:r>
        <w:rPr>
          <w:rFonts w:ascii="Arial" w:hAnsi="Arial" w:eastAsia="Hiragino Sans GB"/>
          <w:b w:val="0"/>
          <w:color w:val="111111"/>
          <w:sz w:val="23"/>
        </w:rPr>
        <w:t>伟事达的可见链条是内容与体验入口、教练面试、组员认可及年度产品；耀悦是目的地和资源内容、顾问或品牌账号、行程与报价；京城俱乐部是会员权益与场景、联系和会籍服务。实际销售话术、付款和CRM转化均未亲历。</w:t>
      </w:r>
    </w:p>
    <w:p>
      <w:r>
        <w:rPr>
          <w:rFonts w:ascii="Arial" w:hAnsi="Arial" w:eastAsia="Hiragino Sans GB"/>
          <w:b w:val="0"/>
          <w:color w:val="111111"/>
          <w:sz w:val="23"/>
        </w:rPr>
        <w:t>小红书的品牌内容样本呈现三类常见任务：解释为什么选择品牌、给出具体主题及行程、利用假期或促销促使咨询。只有进一步取得有效咨询和成交数据，才能比较它们的商业效果。</w:t>
      </w:r>
    </w:p>
    <w:p>
      <w:r>
        <w:rPr>
          <w:rFonts w:ascii="Arial" w:hAnsi="Arial" w:eastAsia="Hiragino Sans GB"/>
          <w:b w:val="0"/>
          <w:color w:val="111111"/>
          <w:sz w:val="23"/>
        </w:rPr>
        <w:t>对新公司，熟人邀请、合作机构与公域内容可以并行试验，但应给每条线索保留首次接触、推荐者及成交来源。若客户经历多个入口，不能让每个渠道都认领同一笔成交。</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环节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本轮可见证据</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经营上需要补采</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发现</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公开内容和合作介绍</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有效触达与人群适配</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咨询</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联系 申请 私信入口</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有效线索与沟通成本</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筛选</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部分准入规则</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通过率及拒绝原因</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报名付费</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报价及报名页</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实付 取消 退款</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再次参加</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少量故事或同组记录</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同批客户复购</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推荐</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推荐入口或制度</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归因与真实成交</w:t>
            </w:r>
          </w:p>
        </w:tc>
      </w:tr>
    </w:tbl>
    <w:p>
      <w:pPr>
        <w:spacing w:after="40"/>
      </w:pPr>
    </w:p>
    <w:p>
      <w:pPr>
        <w:spacing w:after="240"/>
      </w:pPr>
      <w:r>
        <w:rPr>
          <w:rFonts w:ascii="Arial" w:hAnsi="Arial" w:eastAsia="Hiragino Sans GB"/>
          <w:b w:val="0"/>
          <w:color w:val="596573"/>
          <w:sz w:val="18"/>
        </w:rPr>
        <w:t>证据索引　S23 S28—S34；X01—X03；获客表</w:t>
      </w:r>
    </w:p>
    <w:p>
      <w:pPr>
        <w:pStyle w:val="Heading1"/>
      </w:pPr>
      <w:r>
        <w:t>14　小红书内容研究的实际发现</w:t>
      </w:r>
    </w:p>
    <w:p>
      <w:r>
        <w:rPr>
          <w:rFonts w:ascii="Arial" w:hAnsi="Arial" w:eastAsia="Hiragino Sans GB"/>
          <w:b w:val="0"/>
          <w:color w:val="111111"/>
          <w:sz w:val="23"/>
        </w:rPr>
        <w:t>本轮直接打开站内搜索和笔记。泛词“高端社交”同时包含技巧、身份想象、普通活动和商业推广，关键词热度不能代表目标客户需求。品牌搜索也有同名误配，耀悦搜索混入羽毛球和婚礼业务，京城俱乐部混入汽车和足球。</w:t>
      </w:r>
    </w:p>
    <w:p>
      <w:r>
        <w:rPr>
          <w:rFonts w:ascii="Arial" w:hAnsi="Arial" w:eastAsia="Hiragino Sans GB"/>
          <w:b w:val="0"/>
          <w:color w:val="111111"/>
          <w:sz w:val="23"/>
        </w:rPr>
        <w:t>耀悦高端旅行账号在采集时显示9507粉丝、4.3万获赞与收藏，这是单个账号快照，不是品牌总粉丝、活跃客户或成交数据。品牌身份依据账号自述，未额外取得工商认证页面，因此保留这一限制。</w:t>
      </w:r>
    </w:p>
    <w:p>
      <w:r>
        <w:rPr>
          <w:rFonts w:ascii="Arial" w:hAnsi="Arial" w:eastAsia="Hiragino Sans GB"/>
          <w:b w:val="0"/>
          <w:color w:val="111111"/>
          <w:sz w:val="23"/>
        </w:rPr>
        <w:t>该账号取得20篇非置顶内容的正文和日期显示，覆盖目的地资源、科考、人文、美食、邮轮及假期规划等主题。月日显示按采集时年份解释，编辑日期不一定等于首次发布日期；互动数若正文仍在加载，不记零。</w:t>
      </w:r>
    </w:p>
    <w:p>
      <w:r>
        <w:rPr>
          <w:rFonts w:ascii="Arial" w:hAnsi="Arial" w:eastAsia="Hiragino Sans GB"/>
          <w:b w:val="0"/>
          <w:color w:val="111111"/>
          <w:sz w:val="23"/>
        </w:rPr>
        <w:t>一个需额外核实的异常是：某非洲高奢三国线路的正文显示1.38万元/人，但同时描述多家高奢资源。我们不擅自改成13.8万，也不把这个异常价格当低价锚，而将其列入报价复核。</w:t>
      </w:r>
    </w:p>
    <w:p>
      <w:r>
        <w:rPr>
          <w:rFonts w:ascii="Arial" w:hAnsi="Arial" w:eastAsia="Hiragino Sans GB"/>
          <w:b w:val="0"/>
          <w:color w:val="111111"/>
          <w:sz w:val="23"/>
        </w:rPr>
        <w:t>京城与伟事达当前可见内容不足以形成同等规模、严格近90天的可靠比较样本。因此只讨论内容类型与可见入口，不做声量排名，也不把未发现大量内容解读为业务不活跃。</w:t>
      </w:r>
    </w:p>
    <w:p>
      <w:pPr>
        <w:spacing w:after="240"/>
      </w:pPr>
      <w:r>
        <w:rPr>
          <w:rFonts w:ascii="Arial" w:hAnsi="Arial" w:eastAsia="Hiragino Sans GB"/>
          <w:b w:val="0"/>
          <w:color w:val="596573"/>
          <w:sz w:val="18"/>
        </w:rPr>
        <w:t>证据索引　X01 X02 X03；内容样本表；报价异常另见证据缺口</w:t>
      </w:r>
    </w:p>
    <w:p>
      <w:pPr>
        <w:pStyle w:val="Heading1"/>
      </w:pPr>
      <w:r>
        <w:t>15　活动流程与交付质量</w:t>
      </w:r>
    </w:p>
    <w:p>
      <w:r>
        <w:rPr>
          <w:rFonts w:ascii="Arial" w:hAnsi="Arial" w:eastAsia="Hiragino Sans GB"/>
          <w:b w:val="0"/>
          <w:color w:val="111111"/>
          <w:sz w:val="23"/>
        </w:rPr>
        <w:t>一次活动的交付链条包括设计、筛选、行前、接待、破冰、主体、自由交流和回访。附件对六个观察记录逐环节填事实或未知，共48条。记录的存在不等于活动完整被观察。</w:t>
      </w:r>
    </w:p>
    <w:p>
      <w:r>
        <w:rPr>
          <w:rFonts w:ascii="Arial" w:hAnsi="Arial" w:eastAsia="Hiragino Sans GB"/>
          <w:b w:val="0"/>
          <w:color w:val="111111"/>
          <w:sz w:val="23"/>
        </w:rPr>
        <w:t>京城案例有会员新春回顾和合作会面；伟事达有海外小组游学及深圳大会同期私董会；旅行案例有逐日或阶段行程介绍。会面、招募产品、实际举办回顾分开，不把它们都计入活动频率。</w:t>
      </w:r>
    </w:p>
    <w:p>
      <w:r>
        <w:rPr>
          <w:rFonts w:ascii="Arial" w:hAnsi="Arial" w:eastAsia="Hiragino Sans GB"/>
          <w:b w:val="0"/>
          <w:color w:val="111111"/>
          <w:sz w:val="23"/>
        </w:rPr>
        <w:t>公开资料最容易缺的恰是关键服务：怎样拒绝不适合者、怎样安排破冰与独处、如何照顾新成员、谁处理取消与投诉、活动后是否促成自愿联系。照片只能说明某个场景，不能证明这些环节有效。</w:t>
      </w:r>
    </w:p>
    <w:p>
      <w:r>
        <w:rPr>
          <w:rFonts w:ascii="Arial" w:hAnsi="Arial" w:eastAsia="Hiragino Sans GB"/>
          <w:b w:val="0"/>
          <w:color w:val="111111"/>
          <w:sz w:val="23"/>
        </w:rPr>
        <w:t>对拟公司的流程建议与竞品事实分开。建议每场活动明确参与目的、人数和资格、总费用、主持与交付责任；自愿交换联系方式，另行同意摄影和公开使用；活动后收集是否愿意再次同场及具体改进意见。</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活动类别</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重点交付</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需要观察的失败表现</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私董会</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保密 提问 讨论 承诺跟踪</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演讲替代讨论 强推销</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社交晚宴</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人群适配与主持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熟人小圈排斥新人</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旅行</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资源 行程 安全与退改</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临时变更 费用不明</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婚恋</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真实性 自愿匹配与反馈</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保证成功 目的不透明</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游学参访</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学习目标 接待与交流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只有拍照 没有学习内容</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伴侣家庭</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共同参与与家庭便利</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默认所有人有同样生活安排</w:t>
            </w:r>
          </w:p>
        </w:tc>
      </w:tr>
    </w:tbl>
    <w:p>
      <w:pPr>
        <w:spacing w:after="40"/>
      </w:pPr>
    </w:p>
    <w:p>
      <w:pPr>
        <w:spacing w:after="240"/>
      </w:pPr>
      <w:r>
        <w:rPr>
          <w:rFonts w:ascii="Arial" w:hAnsi="Arial" w:eastAsia="Hiragino Sans GB"/>
          <w:b w:val="0"/>
          <w:color w:val="596573"/>
          <w:sz w:val="18"/>
        </w:rPr>
        <w:t>证据索引　S24—S35；六个活动记录及流程表；建议为研究者设计</w:t>
      </w:r>
    </w:p>
    <w:p>
      <w:pPr>
        <w:pStyle w:val="Heading1"/>
      </w:pPr>
      <w:r>
        <w:t>16　用户规模活跃与经营结果</w:t>
      </w:r>
    </w:p>
    <w:p>
      <w:r>
        <w:rPr>
          <w:rFonts w:ascii="Arial" w:hAnsi="Arial" w:eastAsia="Hiragino Sans GB"/>
          <w:b w:val="0"/>
          <w:color w:val="111111"/>
          <w:sz w:val="23"/>
        </w:rPr>
        <w:t>三家深度案例均未取得当前中国分城有效付费会员、续费和获客成本的完整证据。伟事达全球会员数不能作为中国会员；京城单场百余出席含外交和合作嘉宾；耀悦伙伴网络数不能作为客户数。</w:t>
      </w:r>
    </w:p>
    <w:p>
      <w:r>
        <w:rPr>
          <w:rFonts w:ascii="Arial" w:hAnsi="Arial" w:eastAsia="Hiragino Sans GB"/>
          <w:b w:val="0"/>
          <w:color w:val="111111"/>
          <w:sz w:val="23"/>
        </w:rPr>
        <w:t>活跃率至少要定义观察期、有效会员分母与活跃动作。本项目优先使用“90天至少一次实际到场的有效会员比例”，但当前缺分母和全量参与记录，附件按未知处理。续费必须以到期且具备续费资格的人为分母。</w:t>
      </w:r>
    </w:p>
    <w:p>
      <w:r>
        <w:rPr>
          <w:rFonts w:ascii="Arial" w:hAnsi="Arial" w:eastAsia="Hiragino Sans GB"/>
          <w:b w:val="0"/>
          <w:color w:val="111111"/>
          <w:sz w:val="23"/>
        </w:rPr>
        <w:t>对比经营效果应按可验证程度逐项判断：是否有近期经营线索，是否有具体可交易产品，是否有实际参与，是否有同批客户复购，是否有经济结果。前面几项有证据不能自动替代后面几项。</w:t>
      </w:r>
    </w:p>
    <w:p>
      <w:r>
        <w:rPr>
          <w:rFonts w:ascii="Arial" w:hAnsi="Arial" w:eastAsia="Hiragino Sans GB"/>
          <w:b w:val="0"/>
          <w:color w:val="111111"/>
          <w:sz w:val="23"/>
        </w:rPr>
        <w:t>我们不从中青旅集团收入或股权损益倒推耀悦品牌利润，也不以多个平台的自述客户相加作为行业人数。未来公司自己的数据台账应从第一场活动开始去重，区分人、人次、家庭、企业与订单。</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案例</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有证据的部分</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仍不能判断</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京城俱乐部</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会员设施 规则 活动及合作线索</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有效付费 续费 盈利</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伟事达中国</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分组及年度服务 标价 近期活动</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中国会员 续费 CAC</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耀悦</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产品与具体内容 顾问入口</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成交人数 复购 品牌利润</w:t>
            </w:r>
          </w:p>
        </w:tc>
      </w:tr>
    </w:tbl>
    <w:p>
      <w:pPr>
        <w:spacing w:after="40"/>
      </w:pPr>
    </w:p>
    <w:p>
      <w:pPr>
        <w:spacing w:after="240"/>
      </w:pPr>
      <w:r>
        <w:rPr>
          <w:rFonts w:ascii="Arial" w:hAnsi="Arial" w:eastAsia="Hiragino Sans GB"/>
          <w:b w:val="0"/>
          <w:color w:val="596573"/>
          <w:sz w:val="18"/>
        </w:rPr>
        <w:t>证据索引　S22—S36；用户与活跃表</w:t>
      </w:r>
    </w:p>
    <w:p>
      <w:pPr>
        <w:pStyle w:val="Heading1"/>
      </w:pPr>
      <w:r>
        <w:t>17　案例一 京城俱乐部</w:t>
      </w:r>
    </w:p>
    <w:p>
      <w:r>
        <w:rPr>
          <w:rFonts w:ascii="Arial" w:hAnsi="Arial" w:eastAsia="Hiragino Sans GB"/>
          <w:b w:val="0"/>
          <w:color w:val="111111"/>
          <w:sz w:val="23"/>
        </w:rPr>
        <w:t>京城俱乐部用于研究固定场景会员模式。官方资料把商务交流、餐饮、康乐和家庭服务结合，会员获得空间、服务与活动接触机会。其持续价值不只来自一次晚宴，也来自可重复使用的场所。</w:t>
      </w:r>
    </w:p>
    <w:p>
      <w:r>
        <w:rPr>
          <w:rFonts w:ascii="Arial" w:hAnsi="Arial" w:eastAsia="Hiragino Sans GB"/>
          <w:b w:val="0"/>
          <w:color w:val="111111"/>
          <w:sz w:val="23"/>
        </w:rPr>
        <w:t>价格方面，当前官方权益页没有取得有效会费、续费和退款条款；不采用网络旧报价。客户画像可确认的是品牌定位与家人使用场景，不能确认实际资产、婚姻结构或年龄占比。</w:t>
      </w:r>
    </w:p>
    <w:p>
      <w:r>
        <w:rPr>
          <w:rFonts w:ascii="Arial" w:hAnsi="Arial" w:eastAsia="Hiragino Sans GB"/>
          <w:b w:val="0"/>
          <w:color w:val="111111"/>
          <w:sz w:val="23"/>
        </w:rPr>
        <w:t>获客方面，可见官网会籍说明、联系及第三方场景内容；机构合作可以增加信任与接触，但没有证据给出转化率。小红书有餐饮、氛围、着装及活动摄影线索，是否为品牌投放须逐条核实。</w:t>
      </w:r>
    </w:p>
    <w:p>
      <w:r>
        <w:rPr>
          <w:rFonts w:ascii="Arial" w:hAnsi="Arial" w:eastAsia="Hiragino Sans GB"/>
          <w:b w:val="0"/>
          <w:color w:val="111111"/>
          <w:sz w:val="23"/>
        </w:rPr>
        <w:t>经营评价：有固定设施和多类服务，有近期合作与活动线索；缺有效会员和财务数据，不能下盈利良好结论。复制时需要的场地、服务人员及长期网络，对初创公司是实质条件，不能只复制外观或“高端”称谓。</w:t>
      </w:r>
    </w:p>
    <w:p>
      <w:pPr>
        <w:spacing w:after="240"/>
      </w:pPr>
      <w:r>
        <w:rPr>
          <w:rFonts w:ascii="Arial" w:hAnsi="Arial" w:eastAsia="Hiragino Sans GB"/>
          <w:b w:val="0"/>
          <w:color w:val="596573"/>
          <w:sz w:val="18"/>
        </w:rPr>
        <w:t>证据索引　S22—S27 X01；完整A—F字段见案例档案</w:t>
      </w:r>
    </w:p>
    <w:p>
      <w:pPr>
        <w:pStyle w:val="Heading1"/>
      </w:pPr>
      <w:r>
        <w:t>18　案例二 伟事达中国</w:t>
      </w:r>
    </w:p>
    <w:p>
      <w:r>
        <w:rPr>
          <w:rFonts w:ascii="Arial" w:hAnsi="Arial" w:eastAsia="Hiragino Sans GB"/>
          <w:b w:val="0"/>
          <w:color w:val="111111"/>
          <w:sz w:val="23"/>
        </w:rPr>
        <w:t>伟事达用于研究有明确服务频次的同侪年费。其核心是教练主持的非竞争企业家小组，而非自由商务聚会。品牌页区分成熟企业一号位、成长型创始人、会员企业高管及企业内部团队。</w:t>
      </w:r>
    </w:p>
    <w:p>
      <w:r>
        <w:rPr>
          <w:rFonts w:ascii="Arial" w:hAnsi="Arial" w:eastAsia="Hiragino Sans GB"/>
          <w:b w:val="0"/>
          <w:color w:val="111111"/>
          <w:sz w:val="23"/>
        </w:rPr>
        <w:t>价格与权益在品牌页搜索索引中可读，但直接正文受限。研究记录CE、SE、KE年费和首次注册费，并标为待书面核实；不能把索引中的标价当个人实际成交。客户准入基于企业阶段与角色，也不等于个人财富等级。</w:t>
      </w:r>
    </w:p>
    <w:p>
      <w:r>
        <w:rPr>
          <w:rFonts w:ascii="Arial" w:hAnsi="Arial" w:eastAsia="Hiragino Sans GB"/>
          <w:b w:val="0"/>
          <w:color w:val="111111"/>
          <w:sz w:val="23"/>
        </w:rPr>
        <w:t>面试与其他组员认可提供了可观察的筛选机制；产品说明及近期海外小组活动表明私董会可以延伸为游学。但这需要组内信任和专业主持，不是给一趟旅行加上“私董会”名称。</w:t>
      </w:r>
    </w:p>
    <w:p>
      <w:r>
        <w:rPr>
          <w:rFonts w:ascii="Arial" w:hAnsi="Arial" w:eastAsia="Hiragino Sans GB"/>
          <w:b w:val="0"/>
          <w:color w:val="111111"/>
          <w:sz w:val="23"/>
        </w:rPr>
        <w:t>经营评价：中国相关近期内容存在，全球规模为品牌自述；未取得中国付费、续费、获客和利润。研究建议是先检验公司能否稳定提供同侪讨论能力，不把合伙人的绩效管理经验自动等同于私董会教练能力。</w:t>
      </w:r>
    </w:p>
    <w:p>
      <w:pPr>
        <w:spacing w:after="240"/>
      </w:pPr>
      <w:r>
        <w:rPr>
          <w:rFonts w:ascii="Arial" w:hAnsi="Arial" w:eastAsia="Hiragino Sans GB"/>
          <w:b w:val="0"/>
          <w:color w:val="596573"/>
          <w:sz w:val="18"/>
        </w:rPr>
        <w:t>证据索引　S28—S32 X02；完整A—F字段见案例档案</w:t>
      </w:r>
    </w:p>
    <w:p>
      <w:pPr>
        <w:pStyle w:val="Heading1"/>
      </w:pPr>
      <w:r>
        <w:t>19　案例三 耀悦</w:t>
      </w:r>
    </w:p>
    <w:p>
      <w:r>
        <w:rPr>
          <w:rFonts w:ascii="Arial" w:hAnsi="Arial" w:eastAsia="Hiragino Sans GB"/>
          <w:b w:val="0"/>
          <w:color w:val="111111"/>
          <w:sz w:val="23"/>
        </w:rPr>
        <w:t>耀悦用于研究按产品付费的主题体验与顾问模式。官网有私享、招募、游学、列车邮轮及定制分类，面向个人家庭与机构。高端旅行证明专业交付有价格空间，但不是财富筛选社群的直接成功证明。</w:t>
      </w:r>
    </w:p>
    <w:p>
      <w:r>
        <w:rPr>
          <w:rFonts w:ascii="Arial" w:hAnsi="Arial" w:eastAsia="Hiragino Sans GB"/>
          <w:b w:val="0"/>
          <w:color w:val="111111"/>
          <w:sz w:val="23"/>
        </w:rPr>
        <w:t>本轮补充的南澳11天四人私享游显示49500元/人起，并有分阶段行程；南极内容给出不同海空或邮轮方案。报价的机票、舱房、单房差及取消条件仍应按具体团期核实。部分首页索引价格与更新笔记不一致，不直接当调价证据。</w:t>
      </w:r>
    </w:p>
    <w:p>
      <w:r>
        <w:rPr>
          <w:rFonts w:ascii="Arial" w:hAnsi="Arial" w:eastAsia="Hiragino Sans GB"/>
          <w:b w:val="0"/>
          <w:color w:val="111111"/>
          <w:sz w:val="23"/>
        </w:rPr>
        <w:t>获客链条有较清楚的公开前段：目的地及假期内容、品牌与资源解释、价格和行程、顾问咨询。20篇内容样本可用于分析主题策略；没有订单和流量分母，不能判断哪种内容成交最好。</w:t>
      </w:r>
    </w:p>
    <w:p>
      <w:r>
        <w:rPr>
          <w:rFonts w:ascii="Arial" w:hAnsi="Arial" w:eastAsia="Hiragino Sans GB"/>
          <w:b w:val="0"/>
          <w:color w:val="111111"/>
          <w:sz w:val="23"/>
        </w:rPr>
        <w:t>经营评价：有近期持续内容与可识别产品，单一账号粉丝可核；客户量、复购和品牌利润仍未知。对拟公司的启发是先把主题、资源、成本和责任做实，再验证客户是否愿为同行筛选额外付费。</w:t>
      </w:r>
    </w:p>
    <w:p>
      <w:pPr>
        <w:spacing w:after="240"/>
      </w:pPr>
      <w:r>
        <w:rPr>
          <w:rFonts w:ascii="Arial" w:hAnsi="Arial" w:eastAsia="Hiragino Sans GB"/>
          <w:b w:val="0"/>
          <w:color w:val="596573"/>
          <w:sz w:val="18"/>
        </w:rPr>
        <w:t>证据索引　S33—S36 X03及逐篇内容来源；完整A—F字段见案例档案</w:t>
      </w:r>
    </w:p>
    <w:p>
      <w:pPr>
        <w:pStyle w:val="Heading1"/>
      </w:pPr>
      <w:r>
        <w:t>20　经济模型与敏感因素</w:t>
      </w:r>
    </w:p>
    <w:p>
      <w:r>
        <w:rPr>
          <w:rFonts w:ascii="Arial" w:hAnsi="Arial" w:eastAsia="Hiragino Sans GB"/>
          <w:b w:val="0"/>
          <w:color w:val="111111"/>
          <w:sz w:val="23"/>
        </w:rPr>
        <w:t>工作簿提供一个可编辑的年度经营演示模型，按保守、基准、扩展三组研究假设切换。所有输入是经营设计假设，不是竞品实绩、行业平均或正式预算；默认同时测试年费和额外活动收费，需核实客户是否接受双重支付。</w:t>
      </w:r>
    </w:p>
    <w:p>
      <w:r>
        <w:rPr>
          <w:rFonts w:ascii="Arial" w:hAnsi="Arial" w:eastAsia="Hiragino Sans GB"/>
          <w:b w:val="0"/>
          <w:color w:val="111111"/>
          <w:sz w:val="23"/>
        </w:rPr>
        <w:t>另设收费模式比较表，分别计算纯按次、会费包含活动、会费加活动另收费、定制净服务费四种模式。在同一团队及获客预算下观察收入与交付差异，实际进入时还须重新配置资源。定制仅计组织净服务收入，不包含代收旅行款；会员人数与年费另作二维敏感性分析，其他条件固定。</w:t>
      </w:r>
    </w:p>
    <w:p>
      <w:r>
        <w:rPr>
          <w:rFonts w:ascii="Arial" w:hAnsi="Arial" w:eastAsia="Hiragino Sans GB"/>
          <w:b w:val="0"/>
          <w:color w:val="111111"/>
          <w:sz w:val="23"/>
        </w:rPr>
        <w:t>基准假设为100名全年等效会员、年费18000元、8%退款准备，全年36场付费活动、每场16人、票价1200元。成员交付成本、场地和单场固定费、团队及获客另计。模型不包含旅行总交易额，避免把旅行合作的代收款全额当公司收入。</w:t>
      </w:r>
    </w:p>
    <w:p>
      <w:r>
        <w:rPr>
          <w:rFonts w:ascii="Arial" w:hAnsi="Arial" w:eastAsia="Hiragino Sans GB"/>
          <w:b w:val="0"/>
          <w:color w:val="111111"/>
          <w:sz w:val="23"/>
        </w:rPr>
        <w:t>模型展示会员净收入、活动收入与直接成本、会员服务成本、团队固定成本、获客成本及税前经营余额，另列会费收款与未履约交付准备的区别。全年等效会员不是年末会员，新加入者需折算服务周期；本模型暂按整年等效化，不表示真实月度招募速度。</w:t>
      </w:r>
    </w:p>
    <w:p>
      <w:r>
        <w:rPr>
          <w:rFonts w:ascii="Arial" w:hAnsi="Arial" w:eastAsia="Hiragino Sans GB"/>
          <w:b w:val="0"/>
          <w:color w:val="111111"/>
          <w:sz w:val="23"/>
        </w:rPr>
        <w:t>盈亏平衡会员数使用净会员年费减年度服务变动成本为单位贡献，同时扣除活动贡献、加入固定和获客预算。获客预算暂固定，真实新增人数变化时应重算。把重复人数当新客户或漏掉创始人的时间成本，都会高估经济性。</w:t>
      </w:r>
    </w:p>
    <w:p>
      <w:r>
        <w:rPr>
          <w:rFonts w:ascii="Arial" w:hAnsi="Arial" w:eastAsia="Hiragino Sans GB"/>
          <w:b w:val="0"/>
          <w:color w:val="111111"/>
          <w:sz w:val="23"/>
        </w:rPr>
        <w:t>容量也要一起看。基准活动席位总计576人次，若全部供100名会员使用，平均每人每年5.76次。该算术并不保证每个人都能参加想要的时间和主题；真正约束可能是同城兴趣和日期匹配。</w:t>
      </w:r>
    </w:p>
    <w:p>
      <w:pPr>
        <w:spacing w:after="240"/>
      </w:pPr>
      <w:r>
        <w:rPr>
          <w:rFonts w:ascii="Arial" w:hAnsi="Arial" w:eastAsia="Hiragino Sans GB"/>
          <w:b w:val="0"/>
          <w:color w:val="596573"/>
          <w:sz w:val="18"/>
        </w:rPr>
        <w:t>证据索引　全部输入为研究假设；工作簿经营模型与独立校验</w:t>
      </w:r>
    </w:p>
    <w:p>
      <w:pPr>
        <w:pStyle w:val="Heading1"/>
      </w:pPr>
      <w:r>
        <w:t>21　进入条件与运营风险</w:t>
      </w:r>
    </w:p>
    <w:p>
      <w:r>
        <w:rPr>
          <w:rFonts w:ascii="Arial" w:hAnsi="Arial" w:eastAsia="Hiragino Sans GB"/>
          <w:b w:val="0"/>
          <w:color w:val="111111"/>
          <w:sz w:val="23"/>
        </w:rPr>
        <w:t>旅行服务需要按实际招徕、组织、收款、签约和交付结构核查旅游业务许可及责任，不能仅靠名称叫“游学”或合作方有资质就认为自身责任已经解决。本阶段只定位直接相关规则，不替公司尚未确定的经营结构下法律结论。</w:t>
      </w:r>
    </w:p>
    <w:p>
      <w:r>
        <w:rPr>
          <w:rFonts w:ascii="Arial" w:hAnsi="Arial" w:eastAsia="Hiragino Sans GB"/>
          <w:b w:val="0"/>
          <w:color w:val="111111"/>
          <w:sz w:val="23"/>
        </w:rPr>
        <w:t>高端入会核验可能涉及金融、身份、行踪或其他个人信息。是否需要收集、使用目的、保存期限、访问范围和对外展示应先明确；涉及敏感信息时按照法律要求处理。把个人资产证明或婚恋资料发到群里，不应作为默认筛选方式。</w:t>
      </w:r>
    </w:p>
    <w:p>
      <w:r>
        <w:rPr>
          <w:rFonts w:ascii="Arial" w:hAnsi="Arial" w:eastAsia="Hiragino Sans GB"/>
          <w:b w:val="0"/>
          <w:color w:val="111111"/>
          <w:sz w:val="23"/>
        </w:rPr>
        <w:t>合同要对应可控制交付：时间、次数、资源、替代方案和退改，而不是保证结婚、保证商业回报或保证接触某类人物。历史消保调查用于识别条款和执行风险，不推定每家机构当前违法。</w:t>
      </w:r>
    </w:p>
    <w:p>
      <w:r>
        <w:rPr>
          <w:rFonts w:ascii="Arial" w:hAnsi="Arial" w:eastAsia="Hiragino Sans GB"/>
          <w:b w:val="0"/>
          <w:color w:val="111111"/>
          <w:sz w:val="23"/>
        </w:rPr>
        <w:t>信用风险还包括合作方营销、成员向其他成员推销或借贷，以及客户对“高端”的理解不一致。公司需要明确禁止行为、投诉处置和退出规则，并核实这些安排的执行成本。</w:t>
      </w:r>
    </w:p>
    <w:tbl>
      <w:tblPr>
        <w:tblW w:type="auto" w:w="0"/>
        <w:jc w:val="center"/>
        <w:tblLayout w:type="fixed"/>
        <w:tblLook w:firstColumn="1" w:firstRow="1" w:lastColumn="0" w:lastRow="0" w:noHBand="0" w:noVBand="1" w:val="04A0"/>
      </w:tblPr>
      <w:tblGrid>
        <w:gridCol w:w="2736"/>
        <w:gridCol w:w="7258"/>
      </w:tblGrid>
      <w:tr>
        <w:trPr>
          <w:cantSplit/>
          <w:tblHeader/>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进入条件</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开业前必须回答</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专业能力</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谁主持 谁交付 谁承担替代和投诉</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场地与供应链</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是否固定投入 有无备用与取消安排</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客户与隐私</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最小必要核验和自愿公开范围</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合同与收款</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权益价格对应 预收与退款准备</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组织边界</w:t>
            </w:r>
          </w:p>
        </w:tc>
        <w:tc>
          <w:tcPr>
            <w:tcW w:type="dxa" w:w="725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婚恋 私董 家庭活动的独立规则</w:t>
            </w:r>
          </w:p>
        </w:tc>
      </w:tr>
    </w:tbl>
    <w:p>
      <w:pPr>
        <w:spacing w:after="40"/>
      </w:pPr>
    </w:p>
    <w:p>
      <w:pPr>
        <w:spacing w:after="240"/>
      </w:pPr>
      <w:r>
        <w:rPr>
          <w:rFonts w:ascii="Arial" w:hAnsi="Arial" w:eastAsia="Hiragino Sans GB"/>
          <w:b w:val="0"/>
          <w:color w:val="596573"/>
          <w:sz w:val="18"/>
        </w:rPr>
        <w:t>证据索引　S20 S21 S75 S76；研究分析</w:t>
      </w:r>
    </w:p>
    <w:p>
      <w:pPr>
        <w:pStyle w:val="Heading1"/>
      </w:pPr>
      <w:r>
        <w:t>22　三个公司方向的比较</w:t>
      </w:r>
    </w:p>
    <w:p>
      <w:r>
        <w:rPr>
          <w:rFonts w:ascii="Arial" w:hAnsi="Arial" w:eastAsia="Hiragino Sans GB"/>
          <w:b w:val="0"/>
          <w:color w:val="111111"/>
          <w:sz w:val="23"/>
        </w:rPr>
        <w:t>方向A是精选城市社交体验：以明确兴趣和参加目的组织小型活动，先按次付费，再依据实际复购决定会籍。它最贴近创始人的同层次社交与生活体验意图，也可先用现有客户圈验证。主要风险是筛选、主持和重复内容供给，不能只做场地预订。</w:t>
      </w:r>
    </w:p>
    <w:p>
      <w:r>
        <w:rPr>
          <w:rFonts w:ascii="Arial" w:hAnsi="Arial" w:eastAsia="Hiragino Sans GB"/>
          <w:b w:val="0"/>
          <w:color w:val="111111"/>
          <w:sz w:val="23"/>
        </w:rPr>
        <w:t>方向B是主题旅行与游学：以专业线路为主，叠加自愿的同行兴趣筛选。可与适合的专业服务商共同设计，但要明确合同和收入成本边界。验证重点是客户为什么不直接买现成旅行，以及额外组织服务能否获得收入。</w:t>
      </w:r>
    </w:p>
    <w:p>
      <w:r>
        <w:rPr>
          <w:rFonts w:ascii="Arial" w:hAnsi="Arial" w:eastAsia="Hiragino Sans GB"/>
          <w:b w:val="0"/>
          <w:color w:val="111111"/>
          <w:sz w:val="23"/>
        </w:rPr>
        <w:t>方向C是企业家同侪与成长：固定小组、教练和议题追踪形成连续服务，再延伸参访与游学。该模式收费依据相对明确，但需要有经验的教练和适配的一号位客户，成长咨询与生活社交的交付不能混同。</w:t>
      </w:r>
    </w:p>
    <w:p>
      <w:r>
        <w:rPr>
          <w:rFonts w:ascii="Arial" w:hAnsi="Arial" w:eastAsia="Hiragino Sans GB"/>
          <w:b w:val="0"/>
          <w:color w:val="111111"/>
          <w:sz w:val="23"/>
        </w:rPr>
        <w:t>我们优先建议验证A，把B视为合作产品，把C作为能力成熟后的独立分支。若内部资源表显示经营者客户明显集中且有合适教练，优先级可以改变。婚恋保留独立自愿服务线，不因客户单身就默认其愿为婚恋付费。</w:t>
      </w:r>
    </w:p>
    <w:tbl>
      <w:tblPr>
        <w:tblW w:type="auto" w:w="0"/>
        <w:jc w:val="center"/>
        <w:tblLayout w:type="fixed"/>
        <w:tblLook w:firstColumn="1" w:firstRow="1" w:lastColumn="0" w:lastRow="0" w:noHBand="0" w:noVBand="1" w:val="04A0"/>
      </w:tblPr>
      <w:tblGrid>
        <w:gridCol w:w="1800"/>
        <w:gridCol w:w="2664"/>
        <w:gridCol w:w="2520"/>
        <w:gridCol w:w="301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方向</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收费起点</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核心条件</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推翻判断的证据</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A城市体验</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按次 再评估年费</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可组织同城适配名单及稳定主持</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before="0" w:line="276" w:lineRule="auto"/>
            </w:pPr>
            <w:r>
              <w:rPr>
                <w:rFonts w:ascii="Arial" w:hAnsi="Arial" w:eastAsia="Hiragino Sans GB"/>
                <w:b w:val="0"/>
                <w:color w:val="111111"/>
                <w:sz w:val="21"/>
              </w:rPr>
              <w:t>重复参加低 愿付低于交付成本</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B主题旅行</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具体行程或组织服务</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专业供应链与责任安排</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keepNext/>
              <w:spacing w:after="0" w:before="0" w:line="276" w:lineRule="auto"/>
            </w:pPr>
            <w:r>
              <w:rPr>
                <w:rFonts w:ascii="Arial" w:hAnsi="Arial" w:eastAsia="Hiragino Sans GB"/>
                <w:b w:val="0"/>
                <w:color w:val="111111"/>
                <w:sz w:val="21"/>
              </w:rPr>
              <w:t>客户只为旅游买单 不愿多付筛选费</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C同侪成长</w:t>
            </w:r>
          </w:p>
        </w:tc>
        <w:tc>
          <w:tcPr>
            <w:tcW w:type="dxa" w:w="266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固定周期服务</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教练 稳定议题和非竞争小组</w:t>
            </w:r>
          </w:p>
        </w:tc>
        <w:tc>
          <w:tcPr>
            <w:tcW w:type="dxa" w:w="301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before="0" w:line="276" w:lineRule="auto"/>
            </w:pPr>
            <w:r>
              <w:rPr>
                <w:rFonts w:ascii="Arial" w:hAnsi="Arial" w:eastAsia="Hiragino Sans GB"/>
                <w:b w:val="0"/>
                <w:color w:val="111111"/>
                <w:sz w:val="21"/>
              </w:rPr>
              <w:t>客户不愿披露问题或无法持续参加</w:t>
            </w:r>
          </w:p>
        </w:tc>
      </w:tr>
    </w:tbl>
    <w:p>
      <w:pPr>
        <w:spacing w:after="40"/>
      </w:pPr>
    </w:p>
    <w:p>
      <w:pPr>
        <w:spacing w:after="240"/>
      </w:pPr>
      <w:r>
        <w:rPr>
          <w:rFonts w:ascii="Arial" w:hAnsi="Arial" w:eastAsia="Hiragino Sans GB"/>
          <w:b w:val="0"/>
          <w:color w:val="596573"/>
          <w:sz w:val="18"/>
        </w:rPr>
        <w:t>证据索引　S22 S28 S33 S40 S41；公司方向为条件性建议</w:t>
      </w:r>
    </w:p>
    <w:p>
      <w:pPr>
        <w:pStyle w:val="Heading1"/>
      </w:pPr>
      <w:r>
        <w:t>23　合伙人会谈与后续验证</w:t>
      </w:r>
    </w:p>
    <w:p>
      <w:r>
        <w:rPr>
          <w:rFonts w:ascii="Arial" w:hAnsi="Arial" w:eastAsia="Hiragino Sans GB"/>
          <w:b w:val="0"/>
          <w:color w:val="111111"/>
          <w:sz w:val="23"/>
        </w:rPr>
        <w:t>会谈第一项是共同确认公司承诺的结果：是认识合适的人、共同体验，还是经营决策或婚恋匹配。可以有多个产品，但必须能清楚解释每个产品的购买理由和交付负责人。</w:t>
      </w:r>
    </w:p>
    <w:p>
      <w:r>
        <w:rPr>
          <w:rFonts w:ascii="Arial" w:hAnsi="Arial" w:eastAsia="Hiragino Sans GB"/>
          <w:b w:val="0"/>
          <w:color w:val="111111"/>
          <w:sz w:val="23"/>
        </w:rPr>
        <w:t>第二项是内部资源盘点。按三城列可联系的去重成年人或家庭、关系强弱、职业和兴趣、是否有真实购买经历及可参加日期。不要为了研究制作含资产证明或婚恋私密资料的共享名单，优先使用匿名汇总。</w:t>
      </w:r>
    </w:p>
    <w:p>
      <w:r>
        <w:rPr>
          <w:rFonts w:ascii="Arial" w:hAnsi="Arial" w:eastAsia="Hiragino Sans GB"/>
          <w:b w:val="0"/>
          <w:color w:val="111111"/>
          <w:sz w:val="23"/>
        </w:rPr>
        <w:t>第三项是把未来验证的门槛定清楚。建议在一个城市做三轮同类付费体验，分别记录有效邀约、实付、退款、到场、再付费和总投入工时。门槛由可承受成本和容量倒推，暂不声称某个续费率是行业标准。活动执行不属于本轮任务。</w:t>
      </w:r>
    </w:p>
    <w:p>
      <w:r>
        <w:rPr>
          <w:rFonts w:ascii="Arial" w:hAnsi="Arial" w:eastAsia="Hiragino Sans GB"/>
          <w:b w:val="0"/>
          <w:color w:val="111111"/>
          <w:sz w:val="23"/>
        </w:rPr>
        <w:t>需求访谈应覆盖参加者、拒绝者和退费者，机构补证优先获取书面价目、权益、退改、真实排期及有效会员定义。不需要先追求所有公司财务，只补足会改变进入决策的问题。</w:t>
      </w:r>
    </w:p>
    <w:p>
      <w:r>
        <w:rPr>
          <w:rFonts w:ascii="Arial" w:hAnsi="Arial" w:eastAsia="Hiragino Sans GB"/>
          <w:b w:val="0"/>
          <w:color w:val="111111"/>
          <w:sz w:val="23"/>
        </w:rPr>
        <w:t>本次会谈不宜仅讨论哪个名字更高端。建议形成书面决定：优先验证哪个方向、什么条件下扩大或停止、哪个合伙人负责客户与内容、哪个负责交付与核算，以及下一阶段允许投入多少资源。</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待决定</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现有证据能支持什么</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仍需什么</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是否继续</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存在相邻付费模式 可继续验证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目标客户实付与重复购买</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先做什么</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优先比较城市体验与主题产品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现有人脉与交付能力</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怎样定价</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可比权益和成本框架</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书面报价与愿付验证</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是否会员制</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有年费模式但条件不同</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连续权益及客户留存</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是否三城同时</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不能从平均收入排序</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各城可达客户与执行团队</w:t>
            </w:r>
          </w:p>
        </w:tc>
      </w:tr>
    </w:tbl>
    <w:p>
      <w:pPr>
        <w:spacing w:after="40"/>
      </w:pPr>
    </w:p>
    <w:p>
      <w:pPr>
        <w:spacing w:after="240"/>
      </w:pPr>
      <w:r>
        <w:rPr>
          <w:rFonts w:ascii="Arial" w:hAnsi="Arial" w:eastAsia="Hiragino Sans GB"/>
          <w:b w:val="0"/>
          <w:color w:val="596573"/>
          <w:sz w:val="18"/>
        </w:rPr>
        <w:t>证据索引　研究建议；G01 G05 G06 G09</w:t>
      </w:r>
    </w:p>
    <w:p>
      <w:pPr>
        <w:pStyle w:val="Heading1"/>
      </w:pPr>
      <w:r>
        <w:t>24　经营指标的定义与绩效使用</w:t>
      </w:r>
    </w:p>
    <w:p>
      <w:r>
        <w:rPr>
          <w:rFonts w:ascii="Arial" w:hAnsi="Arial" w:eastAsia="Hiragino Sans GB"/>
          <w:b w:val="0"/>
          <w:color w:val="111111"/>
          <w:sz w:val="23"/>
        </w:rPr>
        <w:t>绩效管理先建立同口径记录，再设目标。单场收入、会员年费收款、已履约收入和旅行代收总额不是同一个指标。人数与人次、客户与家庭也不能混用。</w:t>
      </w:r>
    </w:p>
    <w:p>
      <w:r>
        <w:rPr>
          <w:rFonts w:ascii="Arial" w:hAnsi="Arial" w:eastAsia="Hiragino Sans GB"/>
          <w:b w:val="0"/>
          <w:color w:val="111111"/>
          <w:sz w:val="23"/>
        </w:rPr>
        <w:t>不要仅用拉群数、活动场次或收款考核组织者，否则可能鼓励扩大不适配名单、过度承诺和透支未来交付。应同时观察有效参与、退款、重复支付、服务成本及投诉解决。</w:t>
      </w:r>
    </w:p>
    <w:p>
      <w:r>
        <w:rPr>
          <w:rFonts w:ascii="Arial" w:hAnsi="Arial" w:eastAsia="Hiragino Sans GB"/>
          <w:b w:val="0"/>
          <w:color w:val="111111"/>
          <w:sz w:val="23"/>
        </w:rPr>
        <w:t>下表是拟公司将来使用的指标字典，不是本轮已经取得的竞品数据。数据应从报名、支付和签到系统产生，公开内容只能补充解释。</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指标</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定义</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适用限制</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有效线索</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符合已声明条件且明确表达需求的去重对象</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须先定义条件</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付费转化</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同期或同批实付客户/有效线索</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匹配观察窗口</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到场率</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实际到场/确认报名</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临时取消单列</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重复购买</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首购批次内再次实付人数/可观察首购人数</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同批次同窗口</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90天会员活跃</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90天至少一次到场会员/有效会员</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免费与付费行为分开</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续费率</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实际续费/到期且可续费会员</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未到期不入分母</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活动贡献</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净收入减直接场地餐饮人员等成本</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固定成本另列</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获客成本</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可归因费用/新增实付客户</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分摊规则一致</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转介绍成交</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可追溯推荐带来的新增实付</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去重与归因</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服务产能</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组织工时与服务量的关系</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含创始人投入</w:t>
            </w:r>
          </w:p>
        </w:tc>
      </w:tr>
    </w:tbl>
    <w:p>
      <w:pPr>
        <w:spacing w:after="40"/>
      </w:pPr>
    </w:p>
    <w:p>
      <w:pPr>
        <w:spacing w:after="240"/>
      </w:pPr>
      <w:r>
        <w:rPr>
          <w:rFonts w:ascii="Arial" w:hAnsi="Arial" w:eastAsia="Hiragino Sans GB"/>
          <w:b w:val="0"/>
          <w:color w:val="596573"/>
          <w:sz w:val="18"/>
        </w:rPr>
        <w:t>证据索引　研究者指标定义；不设无依据行业绩效目标</w:t>
      </w:r>
    </w:p>
    <w:p>
      <w:pPr>
        <w:pStyle w:val="Heading1"/>
      </w:pPr>
      <w:r>
        <w:t>25　验收结果与关键证据缺口</w:t>
      </w:r>
    </w:p>
    <w:p>
      <w:r>
        <w:rPr>
          <w:rFonts w:ascii="Arial" w:hAnsi="Arial" w:eastAsia="Hiragino Sans GB"/>
          <w:b w:val="0"/>
          <w:color w:val="111111"/>
          <w:sz w:val="23"/>
        </w:rPr>
        <w:t>本次已交付宏观连续数据、41条市场地图、15家可比产品记录、三家逐字段案例、价格与权益、客户、获客、流程、用户活跃及经济模型。字段存在不代表数据已经全部取得，附件用“未知”保留缺口。</w:t>
      </w:r>
    </w:p>
    <w:p>
      <w:r>
        <w:rPr>
          <w:rFonts w:ascii="Arial" w:hAnsi="Arial" w:eastAsia="Hiragino Sans GB"/>
          <w:b w:val="0"/>
          <w:color w:val="111111"/>
          <w:sz w:val="23"/>
        </w:rPr>
        <w:t>最重要的未解问题是：目标客户是否为社交组织而非单项资源付费，真实重复购买与续费如何，三城的初始关系密度是否足够。案头研究无法替代这些验证，因此建议只批准下一阶段验证，暂不据此做确定收入承诺。</w:t>
      </w:r>
    </w:p>
    <w:p>
      <w:r>
        <w:rPr>
          <w:rFonts w:ascii="Arial" w:hAnsi="Arial" w:eastAsia="Hiragino Sans GB"/>
          <w:b w:val="0"/>
          <w:color w:val="111111"/>
          <w:sz w:val="23"/>
        </w:rPr>
        <w:t>内容采集方面，耀悦取得20篇逐篇记录；另外两家近期合格数量不足。活动方面，两场完整实际活动的目标未在每家满足，六个记录分别标记回顾、合作会面或产品设计。报告不把这些目标标为全部完成。</w:t>
      </w:r>
    </w:p>
    <w:p>
      <w:r>
        <w:rPr>
          <w:rFonts w:ascii="Arial" w:hAnsi="Arial" w:eastAsia="Hiragino Sans GB"/>
          <w:b w:val="0"/>
          <w:color w:val="111111"/>
          <w:sz w:val="23"/>
        </w:rPr>
        <w:t>当前价格中的未知，优先用官方书面报价补证；经营结果中的未知，需要真实台账、机构访谈或付费试点补证。新增证据可能改变方向排序，因此建议把来源表作为持续维护的研究底稿。</w:t>
      </w:r>
    </w:p>
    <w:tbl>
      <w:tblPr>
        <w:tblW w:type="auto" w:w="0"/>
        <w:jc w:val="center"/>
        <w:tblLayout w:type="fixed"/>
        <w:tblLook w:firstColumn="1" w:firstRow="1" w:lastColumn="0" w:lastRow="0" w:noHBand="0" w:noVBand="1" w:val="04A0"/>
      </w:tblPr>
      <w:tblGrid>
        <w:gridCol w:w="2160"/>
        <w:gridCol w:w="3528"/>
        <w:gridCol w:w="4306"/>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领域</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本轮状态</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下一步</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需求</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高端圈层社交是否有独立支付意愿</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目标客户真实购买及退款记录访谈</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价格</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京城俱乐部现行总费用</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会籍书面报价与权益合同</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价格</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伟事达价格合同一致性</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官方书面合同或报价</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价格</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耀悦团期及费用包含</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具体团期报价与费用清单</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获客</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三家CAC和成交率</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渠道花费与CRM台账</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用户</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有效会员与续费</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分城有效会员与到期批次</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活动</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六场完整流程</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主办议程 行前书 实际回顾</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内容</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每家近90天20—30条有效样本</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机构官方账号核验与按日期逐条采集</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公司资源</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三城可动员客户及组织能力</w:t>
            </w:r>
          </w:p>
        </w:tc>
        <w:tc>
          <w:tcPr>
            <w:tcW w:type="dxa" w:w="430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内部匿名汇总客户关系与活动记录</w:t>
            </w:r>
          </w:p>
        </w:tc>
      </w:tr>
    </w:tbl>
    <w:p>
      <w:pPr>
        <w:spacing w:after="40"/>
      </w:pPr>
    </w:p>
    <w:p>
      <w:pPr>
        <w:spacing w:after="240"/>
      </w:pPr>
      <w:r>
        <w:rPr>
          <w:rFonts w:ascii="Arial" w:hAnsi="Arial" w:eastAsia="Hiragino Sans GB"/>
          <w:b w:val="0"/>
          <w:color w:val="596573"/>
          <w:sz w:val="18"/>
        </w:rPr>
        <w:t>证据索引　G01—G14及字段核验</w:t>
      </w:r>
    </w:p>
    <w:p>
      <w:pPr>
        <w:pStyle w:val="Heading1"/>
      </w:pPr>
      <w:r>
        <w:t>附件使用与验收</w:t>
      </w:r>
    </w:p>
    <w:tbl>
      <w:tblPr>
        <w:tblW w:type="auto" w:w="0"/>
        <w:jc w:val="center"/>
        <w:tblLayout w:type="fixed"/>
        <w:tblLook w:firstColumn="1" w:firstRow="1" w:lastColumn="0" w:lastRow="0" w:noHBand="0" w:noVBand="1" w:val="04A0"/>
      </w:tblPr>
      <w:tblGrid>
        <w:gridCol w:w="1944"/>
        <w:gridCol w:w="3816"/>
        <w:gridCol w:w="423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交付件</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内容</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233D55"/>
          </w:tcPr>
          <w:p>
            <w:pPr>
              <w:keepNext/>
              <w:spacing w:after="0" w:before="0" w:line="276" w:lineRule="auto"/>
            </w:pPr>
            <w:r>
              <w:rPr>
                <w:rFonts w:ascii="Arial" w:hAnsi="Arial" w:eastAsia="Hiragino Sans GB"/>
                <w:b/>
                <w:color w:val="FFFFFF"/>
                <w:sz w:val="21"/>
              </w:rPr>
              <w:t>当前边界</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正式报告</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行业与模式分析 方向条件 证据索引</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全国高端综合社交无统一统计口径</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合伙人决策摘要</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建议选择 分歧 待决定问题</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只支持下一阶段验证</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三家案例档案</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每家A—F六模块102字段与两条活动观察</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未知保留；活动并非均为实际完整记录</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数据工作簿</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17个工作表 含价格来源缺口与可调模型</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3F6F8"/>
          </w:tcPr>
          <w:p>
            <w:pPr>
              <w:spacing w:after="0" w:before="0" w:line="276" w:lineRule="auto"/>
            </w:pPr>
            <w:r>
              <w:rPr>
                <w:rFonts w:ascii="Arial" w:hAnsi="Arial" w:eastAsia="Hiragino Sans GB"/>
                <w:b w:val="0"/>
                <w:color w:val="111111"/>
                <w:sz w:val="21"/>
              </w:rPr>
              <w:t>20篇逐篇内容只覆盖耀悦</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后续验证清单</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工作簿证据缺口表与正文验证章节</w:t>
            </w:r>
          </w:p>
        </w:tc>
        <w:tc>
          <w:tcPr>
            <w:tcW w:type="dxa" w:w="4234"/>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spacing w:after="0" w:before="0" w:line="276" w:lineRule="auto"/>
            </w:pPr>
            <w:r>
              <w:rPr>
                <w:rFonts w:ascii="Arial" w:hAnsi="Arial" w:eastAsia="Hiragino Sans GB"/>
                <w:b w:val="0"/>
                <w:color w:val="111111"/>
                <w:sz w:val="21"/>
              </w:rPr>
              <w:t>不外联不购买；未执行下一阶段活动</w:t>
            </w:r>
          </w:p>
        </w:tc>
      </w:tr>
    </w:tbl>
    <w:p>
      <w:pPr>
        <w:spacing w:after="40"/>
      </w:pPr>
    </w:p>
    <w:p>
      <w:pPr>
        <w:pStyle w:val="Heading1"/>
      </w:pPr>
      <w:r>
        <w:t>来源索引</w:t>
      </w:r>
    </w:p>
    <w:p>
      <w:r>
        <w:rPr>
          <w:rFonts w:ascii="Arial" w:hAnsi="Arial" w:eastAsia="Hiragino Sans GB"/>
          <w:b w:val="0"/>
          <w:color w:val="111111"/>
          <w:sz w:val="21"/>
        </w:rPr>
        <w:t>源ID与附件工作簿一致。点击标题可访问原始页面。统计期与采集日分开；搜索索引、转载和机构自述的限制保留，来源数量不代表独立样本数。完整发现及访问说明见工作簿来源台账。</w:t>
      </w:r>
    </w:p>
    <w:p>
      <w:pPr>
        <w:spacing w:after="100" w:line="269" w:lineRule="auto"/>
      </w:pPr>
      <w:r>
        <w:rPr>
          <w:rFonts w:ascii="Arial" w:hAnsi="Arial" w:eastAsia="Hiragino Sans GB"/>
          <w:b/>
          <w:color w:val="111111"/>
          <w:sz w:val="19"/>
        </w:rPr>
        <w:t xml:space="preserve">S01　</w:t>
      </w:r>
      <w:hyperlink r:id="rId11">
        <w:r>
          <w:rPr>
            <w:color w:val="254E76"/>
            <w:sz w:val="19"/>
            <w:rFonts w:ascii="Arial" w:eastAsia="Hiragino Sans GB"/>
          </w:rPr>
          <w:t>第57次中国互联网络发展状况统计报告</w:t>
        </w:r>
      </w:hyperlink>
      <w:r>
        <w:rPr>
          <w:rFonts w:ascii="Arial" w:hAnsi="Arial" w:eastAsia="Hiragino Sans GB"/>
          <w:b w:val="0"/>
          <w:color w:val="596573"/>
          <w:sz w:val="18"/>
        </w:rPr>
        <w:br/>
        <w:t>CNNIC　|　2025-12　|　官方统计</w:t>
      </w:r>
      <w:r>
        <w:rPr>
          <w:rFonts w:ascii="Arial" w:hAnsi="Arial" w:eastAsia="Hiragino Sans GB"/>
          <w:b w:val="0"/>
          <w:color w:val="596573"/>
          <w:sz w:val="18"/>
        </w:rPr>
        <w:br/>
        <w:t>互联网使用基础，不能代表付费交友用户。</w:t>
      </w:r>
    </w:p>
    <w:p>
      <w:pPr>
        <w:spacing w:after="100" w:line="269" w:lineRule="auto"/>
      </w:pPr>
      <w:r>
        <w:rPr>
          <w:rFonts w:ascii="Arial" w:hAnsi="Arial" w:eastAsia="Hiragino Sans GB"/>
          <w:b/>
          <w:color w:val="111111"/>
          <w:sz w:val="19"/>
        </w:rPr>
        <w:t xml:space="preserve">S02　</w:t>
      </w:r>
      <w:hyperlink r:id="rId12">
        <w:r>
          <w:rPr>
            <w:color w:val="254E76"/>
            <w:sz w:val="19"/>
            <w:rFonts w:ascii="Arial" w:eastAsia="Hiragino Sans GB"/>
          </w:rPr>
          <w:t>2025年度中国数字生活市场数据报告婚恋专题</w:t>
        </w:r>
      </w:hyperlink>
      <w:r>
        <w:rPr>
          <w:rFonts w:ascii="Arial" w:hAnsi="Arial" w:eastAsia="Hiragino Sans GB"/>
          <w:b w:val="0"/>
          <w:color w:val="596573"/>
          <w:sz w:val="18"/>
        </w:rPr>
        <w:br/>
        <w:t>网经社　|　2021—2025　|　第三方估算</w:t>
      </w:r>
      <w:r>
        <w:rPr>
          <w:rFonts w:ascii="Arial" w:hAnsi="Arial" w:eastAsia="Hiragino Sans GB"/>
          <w:b w:val="0"/>
          <w:color w:val="596573"/>
          <w:sz w:val="18"/>
        </w:rPr>
        <w:br/>
        <w:t>公开页未给完整抽样、去重及收入边界，不与其他机构拼接。</w:t>
      </w:r>
    </w:p>
    <w:p>
      <w:pPr>
        <w:spacing w:after="100" w:line="269" w:lineRule="auto"/>
      </w:pPr>
      <w:r>
        <w:rPr>
          <w:rFonts w:ascii="Arial" w:hAnsi="Arial" w:eastAsia="Hiragino Sans GB"/>
          <w:b/>
          <w:color w:val="111111"/>
          <w:sz w:val="19"/>
        </w:rPr>
        <w:t xml:space="preserve">S03　</w:t>
      </w:r>
      <w:hyperlink r:id="rId13">
        <w:r>
          <w:rPr>
            <w:color w:val="254E76"/>
            <w:sz w:val="19"/>
            <w:rFonts w:ascii="Arial" w:eastAsia="Hiragino Sans GB"/>
          </w:rPr>
          <w:t>2024至2025年中国婚恋社交服务市场研究报告</w:t>
        </w:r>
      </w:hyperlink>
      <w:r>
        <w:rPr>
          <w:rFonts w:ascii="Arial" w:hAnsi="Arial" w:eastAsia="Hiragino Sans GB"/>
          <w:b w:val="0"/>
          <w:color w:val="596573"/>
          <w:sz w:val="18"/>
        </w:rPr>
        <w:br/>
        <w:t>艾媒咨询　|　2023规模及2024调研　|　第三方估算</w:t>
      </w:r>
      <w:r>
        <w:rPr>
          <w:rFonts w:ascii="Arial" w:hAnsi="Arial" w:eastAsia="Hiragino Sans GB"/>
          <w:b w:val="0"/>
          <w:color w:val="596573"/>
          <w:sz w:val="18"/>
        </w:rPr>
        <w:br/>
        <w:t>发布于2024-06-19；与网经社2023年的91亿元存在口径差异；非2025实绩。</w:t>
      </w:r>
    </w:p>
    <w:p>
      <w:pPr>
        <w:spacing w:after="100" w:line="269" w:lineRule="auto"/>
      </w:pPr>
      <w:r>
        <w:rPr>
          <w:rFonts w:ascii="Arial" w:hAnsi="Arial" w:eastAsia="Hiragino Sans GB"/>
          <w:b/>
          <w:color w:val="111111"/>
          <w:sz w:val="19"/>
        </w:rPr>
        <w:t xml:space="preserve">S04　</w:t>
      </w:r>
      <w:hyperlink r:id="rId14">
        <w:r>
          <w:rPr>
            <w:color w:val="254E76"/>
            <w:sz w:val="19"/>
            <w:rFonts w:ascii="Arial" w:eastAsia="Hiragino Sans GB"/>
          </w:rPr>
          <w:t>2025年结婚登记数据公布</w:t>
        </w:r>
      </w:hyperlink>
      <w:r>
        <w:rPr>
          <w:rFonts w:ascii="Arial" w:hAnsi="Arial" w:eastAsia="Hiragino Sans GB"/>
          <w:b w:val="0"/>
          <w:color w:val="596573"/>
          <w:sz w:val="18"/>
        </w:rPr>
        <w:br/>
        <w:t>苏州发布转引民政部　|　2025　|　政务转载</w:t>
      </w:r>
      <w:r>
        <w:rPr>
          <w:rFonts w:ascii="Arial" w:hAnsi="Arial" w:eastAsia="Hiragino Sans GB"/>
          <w:b w:val="0"/>
          <w:color w:val="596573"/>
          <w:sz w:val="18"/>
        </w:rPr>
        <w:br/>
        <w:t>转引2026年9月底年度公报，原始部委PDF未成功取得；早期季报676.3万对另列。</w:t>
      </w:r>
    </w:p>
    <w:p>
      <w:pPr>
        <w:spacing w:after="100" w:line="269" w:lineRule="auto"/>
      </w:pPr>
      <w:r>
        <w:rPr>
          <w:rFonts w:ascii="Arial" w:hAnsi="Arial" w:eastAsia="Hiragino Sans GB"/>
          <w:b/>
          <w:color w:val="111111"/>
          <w:sz w:val="19"/>
        </w:rPr>
        <w:t xml:space="preserve">S05　</w:t>
      </w:r>
      <w:hyperlink r:id="rId15">
        <w:r>
          <w:rPr>
            <w:color w:val="254E76"/>
            <w:sz w:val="19"/>
            <w:rFonts w:ascii="Arial" w:eastAsia="Hiragino Sans GB"/>
          </w:rPr>
          <w:t>民政部2024年结婚登记数据</w:t>
        </w:r>
      </w:hyperlink>
      <w:r>
        <w:rPr>
          <w:rFonts w:ascii="Arial" w:hAnsi="Arial" w:eastAsia="Hiragino Sans GB"/>
          <w:b w:val="0"/>
          <w:color w:val="596573"/>
          <w:sz w:val="18"/>
        </w:rPr>
        <w:br/>
        <w:t>中国新闻网转引民政部　|　2024　|　媒体转引官方</w:t>
      </w:r>
      <w:r>
        <w:rPr>
          <w:rFonts w:ascii="Arial" w:hAnsi="Arial" w:eastAsia="Hiragino Sans GB"/>
          <w:b w:val="0"/>
          <w:color w:val="596573"/>
          <w:sz w:val="18"/>
        </w:rPr>
        <w:br/>
        <w:t>结婚登记不是婚恋服务交易。</w:t>
      </w:r>
    </w:p>
    <w:p>
      <w:pPr>
        <w:spacing w:after="100" w:line="269" w:lineRule="auto"/>
      </w:pPr>
      <w:r>
        <w:rPr>
          <w:rFonts w:ascii="Arial" w:hAnsi="Arial" w:eastAsia="Hiragino Sans GB"/>
          <w:b/>
          <w:color w:val="111111"/>
          <w:sz w:val="19"/>
        </w:rPr>
        <w:t xml:space="preserve">S06　</w:t>
      </w:r>
      <w:hyperlink r:id="rId16">
        <w:r>
          <w:rPr>
            <w:color w:val="254E76"/>
            <w:sz w:val="19"/>
            <w:rFonts w:ascii="Arial" w:eastAsia="Hiragino Sans GB"/>
          </w:rPr>
          <w:t>2021年民政事业发展统计公报</w:t>
        </w:r>
      </w:hyperlink>
      <w:r>
        <w:rPr>
          <w:rFonts w:ascii="Arial" w:hAnsi="Arial" w:eastAsia="Hiragino Sans GB"/>
          <w:b w:val="0"/>
          <w:color w:val="596573"/>
          <w:sz w:val="18"/>
        </w:rPr>
        <w:br/>
        <w:t>民政部 中国社会保障学会留存　|　2021　|　官方文件转载</w:t>
      </w:r>
      <w:r>
        <w:rPr>
          <w:rFonts w:ascii="Arial" w:hAnsi="Arial" w:eastAsia="Hiragino Sans GB"/>
          <w:b w:val="0"/>
          <w:color w:val="596573"/>
          <w:sz w:val="18"/>
        </w:rPr>
        <w:br/>
        <w:t>原发布渠道非当前访问地址。</w:t>
      </w:r>
    </w:p>
    <w:p>
      <w:pPr>
        <w:spacing w:after="100" w:line="269" w:lineRule="auto"/>
      </w:pPr>
      <w:r>
        <w:rPr>
          <w:rFonts w:ascii="Arial" w:hAnsi="Arial" w:eastAsia="Hiragino Sans GB"/>
          <w:b/>
          <w:color w:val="111111"/>
          <w:sz w:val="19"/>
        </w:rPr>
        <w:t xml:space="preserve">S07　</w:t>
      </w:r>
      <w:hyperlink r:id="rId17">
        <w:r>
          <w:rPr>
            <w:color w:val="254E76"/>
            <w:sz w:val="19"/>
            <w:rFonts w:ascii="Arial" w:eastAsia="Hiragino Sans GB"/>
          </w:rPr>
          <w:t>2022年民政事业发展统计公报</w:t>
        </w:r>
      </w:hyperlink>
      <w:r>
        <w:rPr>
          <w:rFonts w:ascii="Arial" w:hAnsi="Arial" w:eastAsia="Hiragino Sans GB"/>
          <w:b w:val="0"/>
          <w:color w:val="596573"/>
          <w:sz w:val="18"/>
        </w:rPr>
        <w:br/>
        <w:t>民政部 中国社会保障学会留存　|　2022　|　官方文件转载</w:t>
      </w:r>
      <w:r>
        <w:rPr>
          <w:rFonts w:ascii="Arial" w:hAnsi="Arial" w:eastAsia="Hiragino Sans GB"/>
          <w:b w:val="0"/>
          <w:color w:val="596573"/>
          <w:sz w:val="18"/>
        </w:rPr>
        <w:br/>
        <w:t>历史公报。</w:t>
      </w:r>
    </w:p>
    <w:p>
      <w:pPr>
        <w:spacing w:after="100" w:line="269" w:lineRule="auto"/>
      </w:pPr>
      <w:r>
        <w:rPr>
          <w:rFonts w:ascii="Arial" w:hAnsi="Arial" w:eastAsia="Hiragino Sans GB"/>
          <w:b/>
          <w:color w:val="111111"/>
          <w:sz w:val="19"/>
        </w:rPr>
        <w:t xml:space="preserve">S08　</w:t>
      </w:r>
      <w:hyperlink r:id="rId18">
        <w:r>
          <w:rPr>
            <w:color w:val="254E76"/>
            <w:sz w:val="19"/>
            <w:rFonts w:ascii="Arial" w:eastAsia="Hiragino Sans GB"/>
          </w:rPr>
          <w:t>2023年民政事业发展统计公报</w:t>
        </w:r>
      </w:hyperlink>
      <w:r>
        <w:rPr>
          <w:rFonts w:ascii="Arial" w:hAnsi="Arial" w:eastAsia="Hiragino Sans GB"/>
          <w:b w:val="0"/>
          <w:color w:val="596573"/>
          <w:sz w:val="18"/>
        </w:rPr>
        <w:br/>
        <w:t>民政部　|　2023　|　官方统计</w:t>
      </w:r>
      <w:r>
        <w:rPr>
          <w:rFonts w:ascii="Arial" w:hAnsi="Arial" w:eastAsia="Hiragino Sans GB"/>
          <w:b w:val="0"/>
          <w:color w:val="596573"/>
          <w:sz w:val="18"/>
        </w:rPr>
        <w:br/>
        <w:t>链接由学术引文定位，正文原站抓取受限；系列图中标注核实限制。</w:t>
      </w:r>
    </w:p>
    <w:p>
      <w:pPr>
        <w:spacing w:after="100" w:line="269" w:lineRule="auto"/>
      </w:pPr>
      <w:r>
        <w:rPr>
          <w:rFonts w:ascii="Arial" w:hAnsi="Arial" w:eastAsia="Hiragino Sans GB"/>
          <w:b/>
          <w:color w:val="111111"/>
          <w:sz w:val="19"/>
        </w:rPr>
        <w:t xml:space="preserve">S09　</w:t>
      </w:r>
      <w:hyperlink r:id="rId19">
        <w:r>
          <w:rPr>
            <w:color w:val="254E76"/>
            <w:sz w:val="19"/>
            <w:rFonts w:ascii="Arial" w:eastAsia="Hiragino Sans GB"/>
          </w:rPr>
          <w:t>2025年居民收入和消费支出情况</w:t>
        </w:r>
      </w:hyperlink>
      <w:r>
        <w:rPr>
          <w:rFonts w:ascii="Arial" w:hAnsi="Arial" w:eastAsia="Hiragino Sans GB"/>
          <w:b w:val="0"/>
          <w:color w:val="596573"/>
          <w:sz w:val="18"/>
        </w:rPr>
        <w:br/>
        <w:t>国家统计局　|　2025　|　官方统计</w:t>
      </w:r>
      <w:r>
        <w:rPr>
          <w:rFonts w:ascii="Arial" w:hAnsi="Arial" w:eastAsia="Hiragino Sans GB"/>
          <w:b w:val="0"/>
          <w:color w:val="596573"/>
          <w:sz w:val="18"/>
        </w:rPr>
        <w:br/>
        <w:t>全国人均不能推断目标客户预算。</w:t>
      </w:r>
    </w:p>
    <w:p>
      <w:pPr>
        <w:spacing w:after="100" w:line="269" w:lineRule="auto"/>
      </w:pPr>
      <w:r>
        <w:rPr>
          <w:rFonts w:ascii="Arial" w:hAnsi="Arial" w:eastAsia="Hiragino Sans GB"/>
          <w:b/>
          <w:color w:val="111111"/>
          <w:sz w:val="19"/>
        </w:rPr>
        <w:t xml:space="preserve">S10　</w:t>
      </w:r>
      <w:hyperlink r:id="rId20">
        <w:r>
          <w:rPr>
            <w:color w:val="254E76"/>
            <w:sz w:val="19"/>
            <w:rFonts w:ascii="Arial" w:eastAsia="Hiragino Sans GB"/>
          </w:rPr>
          <w:t>2023中国私人财富报告</w:t>
        </w:r>
      </w:hyperlink>
      <w:r>
        <w:rPr>
          <w:rFonts w:ascii="Arial" w:hAnsi="Arial" w:eastAsia="Hiragino Sans GB"/>
          <w:b w:val="0"/>
          <w:color w:val="596573"/>
          <w:sz w:val="18"/>
        </w:rPr>
        <w:br/>
        <w:t>招商银行与贝恩　|　2022存量及2023调查　|　第三方研究</w:t>
      </w:r>
      <w:r>
        <w:rPr>
          <w:rFonts w:ascii="Arial" w:hAnsi="Arial" w:eastAsia="Hiragino Sans GB"/>
          <w:b w:val="0"/>
          <w:color w:val="596573"/>
          <w:sz w:val="18"/>
        </w:rPr>
        <w:br/>
        <w:t>个人可投资资产口径，非家庭总资产；不是2026人口数。</w:t>
      </w:r>
    </w:p>
    <w:p>
      <w:pPr>
        <w:spacing w:after="100" w:line="269" w:lineRule="auto"/>
      </w:pPr>
      <w:r>
        <w:rPr>
          <w:rFonts w:ascii="Arial" w:hAnsi="Arial" w:eastAsia="Hiragino Sans GB"/>
          <w:b/>
          <w:color w:val="111111"/>
          <w:sz w:val="19"/>
        </w:rPr>
        <w:t xml:space="preserve">S11　</w:t>
      </w:r>
      <w:hyperlink r:id="rId21">
        <w:r>
          <w:rPr>
            <w:color w:val="254E76"/>
            <w:sz w:val="19"/>
            <w:rFonts w:ascii="Arial" w:eastAsia="Hiragino Sans GB"/>
          </w:rPr>
          <w:t>2026胡润至尚优品中国高净值人群品质生活报告</w:t>
        </w:r>
      </w:hyperlink>
      <w:r>
        <w:rPr>
          <w:rFonts w:ascii="Arial" w:hAnsi="Arial" w:eastAsia="Hiragino Sans GB"/>
          <w:b w:val="0"/>
          <w:color w:val="596573"/>
          <w:sz w:val="18"/>
        </w:rPr>
        <w:br/>
        <w:t>胡润研究院　|　2025行为及2026意向　|　第三方样本调查</w:t>
      </w:r>
      <w:r>
        <w:rPr>
          <w:rFonts w:ascii="Arial" w:hAnsi="Arial" w:eastAsia="Hiragino Sans GB"/>
          <w:b w:val="0"/>
          <w:color w:val="596573"/>
          <w:sz w:val="18"/>
        </w:rPr>
        <w:br/>
        <w:t>非随机全国代表样本；意向非实付；家庭资产与可投资资产不可混用。</w:t>
      </w:r>
    </w:p>
    <w:p>
      <w:pPr>
        <w:spacing w:after="100" w:line="269" w:lineRule="auto"/>
      </w:pPr>
      <w:r>
        <w:rPr>
          <w:rFonts w:ascii="Arial" w:hAnsi="Arial" w:eastAsia="Hiragino Sans GB"/>
          <w:b/>
          <w:color w:val="111111"/>
          <w:sz w:val="19"/>
        </w:rPr>
        <w:t xml:space="preserve">S12　</w:t>
      </w:r>
      <w:hyperlink r:id="rId22">
        <w:r>
          <w:rPr>
            <w:color w:val="254E76"/>
            <w:sz w:val="19"/>
            <w:rFonts w:ascii="Arial" w:eastAsia="Hiragino Sans GB"/>
          </w:rPr>
          <w:t>挚文集团2025年度业绩发布</w:t>
        </w:r>
      </w:hyperlink>
      <w:r>
        <w:rPr>
          <w:rFonts w:ascii="Arial" w:hAnsi="Arial" w:eastAsia="Hiragino Sans GB"/>
          <w:b w:val="0"/>
          <w:color w:val="596573"/>
          <w:sz w:val="18"/>
        </w:rPr>
        <w:br/>
        <w:t>Hello Group　|　2025　|　上市公司业绩发布</w:t>
      </w:r>
      <w:r>
        <w:rPr>
          <w:rFonts w:ascii="Arial" w:hAnsi="Arial" w:eastAsia="Hiragino Sans GB"/>
          <w:b w:val="0"/>
          <w:color w:val="596573"/>
          <w:sz w:val="18"/>
        </w:rPr>
        <w:br/>
        <w:t>全球集团含海外及增值服务；非高端线下社群市场，发布数据未经审计。</w:t>
      </w:r>
    </w:p>
    <w:p>
      <w:pPr>
        <w:spacing w:after="100" w:line="269" w:lineRule="auto"/>
      </w:pPr>
      <w:r>
        <w:rPr>
          <w:rFonts w:ascii="Arial" w:hAnsi="Arial" w:eastAsia="Hiragino Sans GB"/>
          <w:b/>
          <w:color w:val="111111"/>
          <w:sz w:val="19"/>
        </w:rPr>
        <w:t xml:space="preserve">S13　</w:t>
      </w:r>
      <w:hyperlink r:id="rId23">
        <w:r>
          <w:rPr>
            <w:color w:val="254E76"/>
            <w:sz w:val="19"/>
            <w:rFonts w:ascii="Arial" w:eastAsia="Hiragino Sans GB"/>
          </w:rPr>
          <w:t>北京市2025年国民经济和社会发展统计公报</w:t>
        </w:r>
      </w:hyperlink>
      <w:r>
        <w:rPr>
          <w:rFonts w:ascii="Arial" w:hAnsi="Arial" w:eastAsia="Hiragino Sans GB"/>
          <w:b w:val="0"/>
          <w:color w:val="596573"/>
          <w:sz w:val="18"/>
        </w:rPr>
        <w:br/>
        <w:t>北京市统计部门　|　2025　|　官方统计</w:t>
      </w:r>
      <w:r>
        <w:rPr>
          <w:rFonts w:ascii="Arial" w:hAnsi="Arial" w:eastAsia="Hiragino Sans GB"/>
          <w:b w:val="0"/>
          <w:color w:val="596573"/>
          <w:sz w:val="18"/>
        </w:rPr>
        <w:br/>
        <w:t>全市总量不等于高端付费客户。</w:t>
      </w:r>
    </w:p>
    <w:p>
      <w:pPr>
        <w:spacing w:after="100" w:line="269" w:lineRule="auto"/>
      </w:pPr>
      <w:r>
        <w:rPr>
          <w:rFonts w:ascii="Arial" w:hAnsi="Arial" w:eastAsia="Hiragino Sans GB"/>
          <w:b/>
          <w:color w:val="111111"/>
          <w:sz w:val="19"/>
        </w:rPr>
        <w:t xml:space="preserve">S14　</w:t>
      </w:r>
      <w:hyperlink r:id="rId24">
        <w:r>
          <w:rPr>
            <w:color w:val="254E76"/>
            <w:sz w:val="19"/>
            <w:rFonts w:ascii="Arial" w:eastAsia="Hiragino Sans GB"/>
          </w:rPr>
          <w:t>2025年北京居民收入</w:t>
        </w:r>
      </w:hyperlink>
      <w:r>
        <w:rPr>
          <w:rFonts w:ascii="Arial" w:hAnsi="Arial" w:eastAsia="Hiragino Sans GB"/>
          <w:b w:val="0"/>
          <w:color w:val="596573"/>
          <w:sz w:val="18"/>
        </w:rPr>
        <w:br/>
        <w:t>北京市统计局　|　2025　|　官方统计</w:t>
      </w:r>
      <w:r>
        <w:rPr>
          <w:rFonts w:ascii="Arial" w:hAnsi="Arial" w:eastAsia="Hiragino Sans GB"/>
          <w:b w:val="0"/>
          <w:color w:val="596573"/>
          <w:sz w:val="18"/>
        </w:rPr>
        <w:br/>
        <w:t>人均，非家庭，非高净值样本。</w:t>
      </w:r>
    </w:p>
    <w:p>
      <w:pPr>
        <w:spacing w:after="100" w:line="269" w:lineRule="auto"/>
      </w:pPr>
      <w:r>
        <w:rPr>
          <w:rFonts w:ascii="Arial" w:hAnsi="Arial" w:eastAsia="Hiragino Sans GB"/>
          <w:b/>
          <w:color w:val="111111"/>
          <w:sz w:val="19"/>
        </w:rPr>
        <w:t xml:space="preserve">S15　</w:t>
      </w:r>
      <w:hyperlink r:id="rId25">
        <w:r>
          <w:rPr>
            <w:color w:val="254E76"/>
            <w:sz w:val="19"/>
            <w:rFonts w:ascii="Arial" w:eastAsia="Hiragino Sans GB"/>
          </w:rPr>
          <w:t>2025年上海市国民经济和社会发展统计公报</w:t>
        </w:r>
      </w:hyperlink>
      <w:r>
        <w:rPr>
          <w:rFonts w:ascii="Arial" w:hAnsi="Arial" w:eastAsia="Hiragino Sans GB"/>
          <w:b w:val="0"/>
          <w:color w:val="596573"/>
          <w:sz w:val="18"/>
        </w:rPr>
        <w:br/>
        <w:t>上海市统计局　|　2025　|　官方统计</w:t>
      </w:r>
      <w:r>
        <w:rPr>
          <w:rFonts w:ascii="Arial" w:hAnsi="Arial" w:eastAsia="Hiragino Sans GB"/>
          <w:b w:val="0"/>
          <w:color w:val="596573"/>
          <w:sz w:val="18"/>
        </w:rPr>
        <w:br/>
        <w:t>全市口径。</w:t>
      </w:r>
    </w:p>
    <w:p>
      <w:pPr>
        <w:spacing w:after="100" w:line="269" w:lineRule="auto"/>
      </w:pPr>
      <w:r>
        <w:rPr>
          <w:rFonts w:ascii="Arial" w:hAnsi="Arial" w:eastAsia="Hiragino Sans GB"/>
          <w:b/>
          <w:color w:val="111111"/>
          <w:sz w:val="19"/>
        </w:rPr>
        <w:t xml:space="preserve">S16　</w:t>
      </w:r>
      <w:hyperlink r:id="rId26">
        <w:r>
          <w:rPr>
            <w:color w:val="254E76"/>
            <w:sz w:val="19"/>
            <w:rFonts w:ascii="Arial" w:eastAsia="Hiragino Sans GB"/>
          </w:rPr>
          <w:t>深圳市2025年国民经济和社会发展统计公报</w:t>
        </w:r>
      </w:hyperlink>
      <w:r>
        <w:rPr>
          <w:rFonts w:ascii="Arial" w:hAnsi="Arial" w:eastAsia="Hiragino Sans GB"/>
          <w:b w:val="0"/>
          <w:color w:val="596573"/>
          <w:sz w:val="18"/>
        </w:rPr>
        <w:br/>
        <w:t>深圳市统计局　|　2025　|　官方统计</w:t>
      </w:r>
      <w:r>
        <w:rPr>
          <w:rFonts w:ascii="Arial" w:hAnsi="Arial" w:eastAsia="Hiragino Sans GB"/>
          <w:b w:val="0"/>
          <w:color w:val="596573"/>
          <w:sz w:val="18"/>
        </w:rPr>
        <w:br/>
        <w:t>城镇人口不与其他城市总人口直接同列比较。</w:t>
      </w:r>
    </w:p>
    <w:p>
      <w:pPr>
        <w:spacing w:after="100" w:line="269" w:lineRule="auto"/>
      </w:pPr>
      <w:r>
        <w:rPr>
          <w:rFonts w:ascii="Arial" w:hAnsi="Arial" w:eastAsia="Hiragino Sans GB"/>
          <w:b/>
          <w:color w:val="111111"/>
          <w:sz w:val="19"/>
        </w:rPr>
        <w:t xml:space="preserve">S17　</w:t>
      </w:r>
      <w:hyperlink r:id="rId27">
        <w:r>
          <w:rPr>
            <w:color w:val="254E76"/>
            <w:sz w:val="19"/>
            <w:rFonts w:ascii="Arial" w:eastAsia="Hiragino Sans GB"/>
          </w:rPr>
          <w:t>年轻人社交新方式调查</w:t>
        </w:r>
      </w:hyperlink>
      <w:r>
        <w:rPr>
          <w:rFonts w:ascii="Arial" w:hAnsi="Arial" w:eastAsia="Hiragino Sans GB"/>
          <w:b w:val="0"/>
          <w:color w:val="596573"/>
          <w:sz w:val="18"/>
        </w:rPr>
        <w:br/>
        <w:t>中国青年报社会调查中心与问卷网　|　2023　|　媒体样本调查</w:t>
      </w:r>
      <w:r>
        <w:rPr>
          <w:rFonts w:ascii="Arial" w:hAnsi="Arial" w:eastAsia="Hiragino Sans GB"/>
          <w:b w:val="0"/>
          <w:color w:val="596573"/>
          <w:sz w:val="18"/>
        </w:rPr>
        <w:br/>
        <w:t>非高净值定向调查，不外推全国比例。</w:t>
      </w:r>
    </w:p>
    <w:p>
      <w:pPr>
        <w:spacing w:after="100" w:line="269" w:lineRule="auto"/>
      </w:pPr>
      <w:r>
        <w:rPr>
          <w:rFonts w:ascii="Arial" w:hAnsi="Arial" w:eastAsia="Hiragino Sans GB"/>
          <w:b/>
          <w:color w:val="111111"/>
          <w:sz w:val="19"/>
        </w:rPr>
        <w:t xml:space="preserve">S18　</w:t>
      </w:r>
      <w:hyperlink r:id="rId28">
        <w:r>
          <w:rPr>
            <w:color w:val="254E76"/>
            <w:sz w:val="19"/>
            <w:rFonts w:ascii="Arial" w:eastAsia="Hiragino Sans GB"/>
          </w:rPr>
          <w:t>社交平台中的搭子社交现象研究</w:t>
        </w:r>
      </w:hyperlink>
      <w:r>
        <w:rPr>
          <w:rFonts w:ascii="Arial" w:hAnsi="Arial" w:eastAsia="Hiragino Sans GB"/>
          <w:b w:val="0"/>
          <w:color w:val="596573"/>
          <w:sz w:val="18"/>
        </w:rPr>
        <w:br/>
        <w:t>王慧 新媒体研究　|　2025 11卷5期67—70页　|　学术研究</w:t>
      </w:r>
      <w:r>
        <w:rPr>
          <w:rFonts w:ascii="Arial" w:hAnsi="Arial" w:eastAsia="Hiragino Sans GB"/>
          <w:b w:val="0"/>
          <w:color w:val="596573"/>
          <w:sz w:val="18"/>
        </w:rPr>
        <w:br/>
        <w:t>已核实摘要和书目信息，不从摘要推算市场规模。</w:t>
      </w:r>
    </w:p>
    <w:p>
      <w:pPr>
        <w:spacing w:after="100" w:line="269" w:lineRule="auto"/>
      </w:pPr>
      <w:r>
        <w:rPr>
          <w:rFonts w:ascii="Arial" w:hAnsi="Arial" w:eastAsia="Hiragino Sans GB"/>
          <w:b/>
          <w:color w:val="111111"/>
          <w:sz w:val="19"/>
        </w:rPr>
        <w:t xml:space="preserve">S19　</w:t>
      </w:r>
      <w:hyperlink r:id="rId29">
        <w:r>
          <w:rPr>
            <w:color w:val="254E76"/>
            <w:sz w:val="19"/>
            <w:rFonts w:ascii="Arial" w:eastAsia="Hiragino Sans GB"/>
          </w:rPr>
          <w:t>搭子社交青年社交模式的新表征</w:t>
        </w:r>
      </w:hyperlink>
      <w:r>
        <w:rPr>
          <w:rFonts w:ascii="Arial" w:hAnsi="Arial" w:eastAsia="Hiragino Sans GB"/>
          <w:b w:val="0"/>
          <w:color w:val="596573"/>
          <w:sz w:val="18"/>
        </w:rPr>
        <w:br/>
        <w:t>廉思 人民论坛　|　2024-05　|　理论分析</w:t>
      </w:r>
      <w:r>
        <w:rPr>
          <w:rFonts w:ascii="Arial" w:hAnsi="Arial" w:eastAsia="Hiragino Sans GB"/>
          <w:b w:val="0"/>
          <w:color w:val="596573"/>
          <w:sz w:val="18"/>
        </w:rPr>
        <w:br/>
        <w:t>理论解释不是付费验证。</w:t>
      </w:r>
    </w:p>
    <w:p>
      <w:pPr>
        <w:spacing w:after="100" w:line="269" w:lineRule="auto"/>
      </w:pPr>
      <w:r>
        <w:rPr>
          <w:rFonts w:ascii="Arial" w:hAnsi="Arial" w:eastAsia="Hiragino Sans GB"/>
          <w:b/>
          <w:color w:val="111111"/>
          <w:sz w:val="19"/>
        </w:rPr>
        <w:t xml:space="preserve">S20　</w:t>
      </w:r>
      <w:hyperlink r:id="rId30">
        <w:r>
          <w:rPr>
            <w:color w:val="254E76"/>
            <w:sz w:val="19"/>
            <w:rFonts w:ascii="Arial" w:eastAsia="Hiragino Sans GB"/>
          </w:rPr>
          <w:t>婚介服务消费调查</w:t>
        </w:r>
      </w:hyperlink>
      <w:r>
        <w:rPr>
          <w:rFonts w:ascii="Arial" w:hAnsi="Arial" w:eastAsia="Hiragino Sans GB"/>
          <w:b w:val="0"/>
          <w:color w:val="596573"/>
          <w:sz w:val="18"/>
        </w:rPr>
        <w:br/>
        <w:t>广州市消费者委员会　|　2023　|　消保调查</w:t>
      </w:r>
      <w:r>
        <w:rPr>
          <w:rFonts w:ascii="Arial" w:hAnsi="Arial" w:eastAsia="Hiragino Sans GB"/>
          <w:b w:val="0"/>
          <w:color w:val="596573"/>
          <w:sz w:val="18"/>
        </w:rPr>
        <w:br/>
        <w:t>历史抽样，不能推定所有机构当前违规。</w:t>
      </w:r>
    </w:p>
    <w:p>
      <w:pPr>
        <w:spacing w:after="100" w:line="269" w:lineRule="auto"/>
      </w:pPr>
      <w:r>
        <w:rPr>
          <w:rFonts w:ascii="Arial" w:hAnsi="Arial" w:eastAsia="Hiragino Sans GB"/>
          <w:b/>
          <w:color w:val="111111"/>
          <w:sz w:val="19"/>
        </w:rPr>
        <w:t xml:space="preserve">S21　</w:t>
      </w:r>
      <w:hyperlink r:id="rId31">
        <w:r>
          <w:rPr>
            <w:color w:val="254E76"/>
            <w:sz w:val="19"/>
            <w:rFonts w:ascii="Arial" w:eastAsia="Hiragino Sans GB"/>
          </w:rPr>
          <w:t>婚恋平台格式条款调查</w:t>
        </w:r>
      </w:hyperlink>
      <w:r>
        <w:rPr>
          <w:rFonts w:ascii="Arial" w:hAnsi="Arial" w:eastAsia="Hiragino Sans GB"/>
          <w:b w:val="0"/>
          <w:color w:val="596573"/>
          <w:sz w:val="18"/>
        </w:rPr>
        <w:br/>
        <w:t>安徽省消保委　|　2022　|　消保调查</w:t>
      </w:r>
      <w:r>
        <w:rPr>
          <w:rFonts w:ascii="Arial" w:hAnsi="Arial" w:eastAsia="Hiragino Sans GB"/>
          <w:b w:val="0"/>
          <w:color w:val="596573"/>
          <w:sz w:val="18"/>
        </w:rPr>
        <w:br/>
        <w:t>合同风险样本，不能推算投诉率。</w:t>
      </w:r>
    </w:p>
    <w:p>
      <w:pPr>
        <w:spacing w:after="100" w:line="269" w:lineRule="auto"/>
      </w:pPr>
      <w:r>
        <w:rPr>
          <w:rFonts w:ascii="Arial" w:hAnsi="Arial" w:eastAsia="Hiragino Sans GB"/>
          <w:b/>
          <w:color w:val="111111"/>
          <w:sz w:val="19"/>
        </w:rPr>
        <w:t xml:space="preserve">S22　</w:t>
      </w:r>
      <w:hyperlink r:id="rId32">
        <w:r>
          <w:rPr>
            <w:color w:val="254E76"/>
            <w:sz w:val="19"/>
            <w:rFonts w:ascii="Arial" w:eastAsia="Hiragino Sans GB"/>
          </w:rPr>
          <w:t>京城俱乐部简介</w:t>
        </w:r>
      </w:hyperlink>
      <w:r>
        <w:rPr>
          <w:rFonts w:ascii="Arial" w:hAnsi="Arial" w:eastAsia="Hiragino Sans GB"/>
          <w:b w:val="0"/>
          <w:color w:val="596573"/>
          <w:sz w:val="18"/>
        </w:rPr>
        <w:br/>
        <w:t>京城俱乐部　|　页面无发布日期　|　机构自述</w:t>
      </w:r>
      <w:r>
        <w:rPr>
          <w:rFonts w:ascii="Arial" w:hAnsi="Arial" w:eastAsia="Hiragino Sans GB"/>
          <w:b w:val="0"/>
          <w:color w:val="596573"/>
          <w:sz w:val="18"/>
        </w:rPr>
        <w:br/>
        <w:t>网络资源数量与其他页面有差异，不作为规模统计。</w:t>
      </w:r>
    </w:p>
    <w:p>
      <w:pPr>
        <w:spacing w:after="100" w:line="269" w:lineRule="auto"/>
      </w:pPr>
      <w:r>
        <w:rPr>
          <w:rFonts w:ascii="Arial" w:hAnsi="Arial" w:eastAsia="Hiragino Sans GB"/>
          <w:b/>
          <w:color w:val="111111"/>
          <w:sz w:val="19"/>
        </w:rPr>
        <w:t xml:space="preserve">S23　</w:t>
      </w:r>
      <w:hyperlink r:id="rId33">
        <w:r>
          <w:rPr>
            <w:color w:val="254E76"/>
            <w:sz w:val="19"/>
            <w:rFonts w:ascii="Arial" w:eastAsia="Hiragino Sans GB"/>
          </w:rPr>
          <w:t>京城俱乐部会员权益</w:t>
        </w:r>
      </w:hyperlink>
      <w:r>
        <w:rPr>
          <w:rFonts w:ascii="Arial" w:hAnsi="Arial" w:eastAsia="Hiragino Sans GB"/>
          <w:b w:val="0"/>
          <w:color w:val="596573"/>
          <w:sz w:val="18"/>
        </w:rPr>
        <w:br/>
        <w:t>京城俱乐部　|　采集时可访问　|　机构自述</w:t>
      </w:r>
      <w:r>
        <w:rPr>
          <w:rFonts w:ascii="Arial" w:hAnsi="Arial" w:eastAsia="Hiragino Sans GB"/>
          <w:b w:val="0"/>
          <w:color w:val="596573"/>
          <w:sz w:val="18"/>
        </w:rPr>
        <w:br/>
        <w:t>未披露当前会费及续费。</w:t>
      </w:r>
    </w:p>
    <w:p>
      <w:pPr>
        <w:spacing w:after="100" w:line="269" w:lineRule="auto"/>
      </w:pPr>
      <w:r>
        <w:rPr>
          <w:rFonts w:ascii="Arial" w:hAnsi="Arial" w:eastAsia="Hiragino Sans GB"/>
          <w:b/>
          <w:color w:val="111111"/>
          <w:sz w:val="19"/>
        </w:rPr>
        <w:t xml:space="preserve">S24　</w:t>
      </w:r>
      <w:hyperlink r:id="rId34">
        <w:r>
          <w:rPr>
            <w:color w:val="254E76"/>
            <w:sz w:val="19"/>
            <w:rFonts w:ascii="Arial" w:eastAsia="Hiragino Sans GB"/>
          </w:rPr>
          <w:t>京城俱乐部活动</w:t>
        </w:r>
      </w:hyperlink>
      <w:r>
        <w:rPr>
          <w:rFonts w:ascii="Arial" w:hAnsi="Arial" w:eastAsia="Hiragino Sans GB"/>
          <w:b w:val="0"/>
          <w:color w:val="596573"/>
          <w:sz w:val="18"/>
        </w:rPr>
        <w:br/>
        <w:t>京城俱乐部　|　未标时间　|　机构自述</w:t>
      </w:r>
      <w:r>
        <w:rPr>
          <w:rFonts w:ascii="Arial" w:hAnsi="Arial" w:eastAsia="Hiragino Sans GB"/>
          <w:b w:val="0"/>
          <w:color w:val="596573"/>
          <w:sz w:val="18"/>
        </w:rPr>
        <w:br/>
        <w:t>类别清单不是近期实际举办场次。</w:t>
      </w:r>
    </w:p>
    <w:p>
      <w:pPr>
        <w:spacing w:after="100" w:line="269" w:lineRule="auto"/>
      </w:pPr>
      <w:r>
        <w:rPr>
          <w:rFonts w:ascii="Arial" w:hAnsi="Arial" w:eastAsia="Hiragino Sans GB"/>
          <w:b/>
          <w:color w:val="111111"/>
          <w:sz w:val="19"/>
        </w:rPr>
        <w:t xml:space="preserve">S25　</w:t>
      </w:r>
      <w:hyperlink r:id="rId35">
        <w:r>
          <w:rPr>
            <w:color w:val="254E76"/>
            <w:sz w:val="19"/>
            <w:rFonts w:ascii="Arial" w:eastAsia="Hiragino Sans GB"/>
          </w:rPr>
          <w:t>京城俱乐部规章制度</w:t>
        </w:r>
      </w:hyperlink>
      <w:r>
        <w:rPr>
          <w:rFonts w:ascii="Arial" w:hAnsi="Arial" w:eastAsia="Hiragino Sans GB"/>
          <w:b w:val="0"/>
          <w:color w:val="596573"/>
          <w:sz w:val="18"/>
        </w:rPr>
        <w:br/>
        <w:t>京城俱乐部　|　未标时间　|　机构规则</w:t>
      </w:r>
      <w:r>
        <w:rPr>
          <w:rFonts w:ascii="Arial" w:hAnsi="Arial" w:eastAsia="Hiragino Sans GB"/>
          <w:b w:val="0"/>
          <w:color w:val="596573"/>
          <w:sz w:val="18"/>
        </w:rPr>
        <w:br/>
        <w:t>不是完整合同。</w:t>
      </w:r>
    </w:p>
    <w:p>
      <w:pPr>
        <w:spacing w:after="100" w:line="269" w:lineRule="auto"/>
      </w:pPr>
      <w:r>
        <w:rPr>
          <w:rFonts w:ascii="Arial" w:hAnsi="Arial" w:eastAsia="Hiragino Sans GB"/>
          <w:b/>
          <w:color w:val="111111"/>
          <w:sz w:val="19"/>
        </w:rPr>
        <w:t xml:space="preserve">S26　</w:t>
      </w:r>
      <w:hyperlink r:id="rId36">
        <w:r>
          <w:rPr>
            <w:color w:val="254E76"/>
            <w:sz w:val="19"/>
            <w:rFonts w:ascii="Arial" w:eastAsia="Hiragino Sans GB"/>
          </w:rPr>
          <w:t>京城俱乐部会员新春活动</w:t>
        </w:r>
      </w:hyperlink>
      <w:r>
        <w:rPr>
          <w:rFonts w:ascii="Arial" w:hAnsi="Arial" w:eastAsia="Hiragino Sans GB"/>
          <w:b w:val="0"/>
          <w:color w:val="596573"/>
          <w:sz w:val="18"/>
        </w:rPr>
        <w:br/>
        <w:t>京津冀消息通　|　2026-02-06活动　|　第三方活动转载</w:t>
      </w:r>
      <w:r>
        <w:rPr>
          <w:rFonts w:ascii="Arial" w:hAnsi="Arial" w:eastAsia="Hiragino Sans GB"/>
          <w:b w:val="0"/>
          <w:color w:val="596573"/>
          <w:sz w:val="18"/>
        </w:rPr>
        <w:br/>
        <w:t>总出席含嘉宾，不等于会员数；非原始主办方数据。</w:t>
      </w:r>
    </w:p>
    <w:p>
      <w:pPr>
        <w:spacing w:after="100" w:line="269" w:lineRule="auto"/>
      </w:pPr>
      <w:r>
        <w:rPr>
          <w:rFonts w:ascii="Arial" w:hAnsi="Arial" w:eastAsia="Hiragino Sans GB"/>
          <w:b/>
          <w:color w:val="111111"/>
          <w:sz w:val="19"/>
        </w:rPr>
        <w:t xml:space="preserve">S27　</w:t>
      </w:r>
      <w:hyperlink r:id="rId37">
        <w:r>
          <w:rPr>
            <w:color w:val="254E76"/>
            <w:sz w:val="19"/>
            <w:rFonts w:ascii="Arial" w:eastAsia="Hiragino Sans GB"/>
          </w:rPr>
          <w:t>国际奥艺机构与京城俱乐部合作新闻</w:t>
        </w:r>
      </w:hyperlink>
      <w:r>
        <w:rPr>
          <w:rFonts w:ascii="Arial" w:hAnsi="Arial" w:eastAsia="Hiragino Sans GB"/>
          <w:b w:val="0"/>
          <w:color w:val="596573"/>
          <w:sz w:val="18"/>
        </w:rPr>
        <w:br/>
        <w:t>WVADC　|　2026-01-15会面　|　合作方自述</w:t>
      </w:r>
      <w:r>
        <w:rPr>
          <w:rFonts w:ascii="Arial" w:hAnsi="Arial" w:eastAsia="Hiragino Sans GB"/>
          <w:b w:val="0"/>
          <w:color w:val="596573"/>
          <w:sz w:val="18"/>
        </w:rPr>
        <w:br/>
        <w:t>合作会议，不等于公开售票社交活动。</w:t>
      </w:r>
    </w:p>
    <w:p>
      <w:pPr>
        <w:spacing w:after="100" w:line="269" w:lineRule="auto"/>
      </w:pPr>
      <w:r>
        <w:rPr>
          <w:rFonts w:ascii="Arial" w:hAnsi="Arial" w:eastAsia="Hiragino Sans GB"/>
          <w:b/>
          <w:color w:val="111111"/>
          <w:sz w:val="19"/>
        </w:rPr>
        <w:t xml:space="preserve">S28　</w:t>
      </w:r>
      <w:hyperlink r:id="rId38">
        <w:r>
          <w:rPr>
            <w:color w:val="254E76"/>
            <w:sz w:val="19"/>
            <w:rFonts w:ascii="Arial" w:eastAsia="Hiragino Sans GB"/>
          </w:rPr>
          <w:t>伟事达中国产品价格体系</w:t>
        </w:r>
      </w:hyperlink>
      <w:r>
        <w:rPr>
          <w:rFonts w:ascii="Arial" w:hAnsi="Arial" w:eastAsia="Hiragino Sans GB"/>
          <w:b w:val="0"/>
          <w:color w:val="596573"/>
          <w:sz w:val="18"/>
        </w:rPr>
        <w:br/>
        <w:t>伟事达品牌产品页　|　页面标2026　|　机构标价</w:t>
      </w:r>
      <w:r>
        <w:rPr>
          <w:rFonts w:ascii="Arial" w:hAnsi="Arial" w:eastAsia="Hiragino Sans GB"/>
          <w:b w:val="0"/>
          <w:color w:val="596573"/>
          <w:sz w:val="18"/>
        </w:rPr>
        <w:br/>
        <w:t>仅搜索索引可读，正文超时；未验证合同、成交与退改。</w:t>
      </w:r>
    </w:p>
    <w:p>
      <w:pPr>
        <w:spacing w:after="100" w:line="269" w:lineRule="auto"/>
      </w:pPr>
      <w:r>
        <w:rPr>
          <w:rFonts w:ascii="Arial" w:hAnsi="Arial" w:eastAsia="Hiragino Sans GB"/>
          <w:b/>
          <w:color w:val="111111"/>
          <w:sz w:val="19"/>
        </w:rPr>
        <w:t xml:space="preserve">S29　</w:t>
      </w:r>
      <w:hyperlink r:id="rId39">
        <w:r>
          <w:rPr>
            <w:color w:val="254E76"/>
            <w:sz w:val="19"/>
            <w:rFonts w:ascii="Arial" w:eastAsia="Hiragino Sans GB"/>
          </w:rPr>
          <w:t>伟事达中国机构说明</w:t>
        </w:r>
      </w:hyperlink>
      <w:r>
        <w:rPr>
          <w:rFonts w:ascii="Arial" w:hAnsi="Arial" w:eastAsia="Hiragino Sans GB"/>
          <w:b w:val="0"/>
          <w:color w:val="596573"/>
          <w:sz w:val="18"/>
        </w:rPr>
        <w:br/>
        <w:t>伟事达中国　|　近2026-09资讯　|　机构自述</w:t>
      </w:r>
      <w:r>
        <w:rPr>
          <w:rFonts w:ascii="Arial" w:hAnsi="Arial" w:eastAsia="Hiragino Sans GB"/>
          <w:b w:val="0"/>
          <w:color w:val="596573"/>
          <w:sz w:val="18"/>
        </w:rPr>
        <w:br/>
        <w:t>全球会员不是中国会员；增长对比不构成因果证据。</w:t>
      </w:r>
    </w:p>
    <w:p>
      <w:pPr>
        <w:spacing w:after="100" w:line="269" w:lineRule="auto"/>
      </w:pPr>
      <w:r>
        <w:rPr>
          <w:rFonts w:ascii="Arial" w:hAnsi="Arial" w:eastAsia="Hiragino Sans GB"/>
          <w:b/>
          <w:color w:val="111111"/>
          <w:sz w:val="19"/>
        </w:rPr>
        <w:t xml:space="preserve">S30　</w:t>
      </w:r>
      <w:hyperlink r:id="rId40">
        <w:r>
          <w:rPr>
            <w:color w:val="254E76"/>
            <w:sz w:val="19"/>
            <w:rFonts w:ascii="Arial" w:eastAsia="Hiragino Sans GB"/>
          </w:rPr>
          <w:t>伟事达私董会小组产品说明书</w:t>
        </w:r>
      </w:hyperlink>
      <w:r>
        <w:rPr>
          <w:rFonts w:ascii="Arial" w:hAnsi="Arial" w:eastAsia="Hiragino Sans GB"/>
          <w:b w:val="0"/>
          <w:color w:val="596573"/>
          <w:sz w:val="18"/>
        </w:rPr>
        <w:br/>
        <w:t>伟事达中国　|　历史产品页　|　机构自述</w:t>
      </w:r>
      <w:r>
        <w:rPr>
          <w:rFonts w:ascii="Arial" w:hAnsi="Arial" w:eastAsia="Hiragino Sans GB"/>
          <w:b w:val="0"/>
          <w:color w:val="596573"/>
          <w:sz w:val="18"/>
        </w:rPr>
        <w:br/>
        <w:t>索引阅读；与2026价格页分开。</w:t>
      </w:r>
    </w:p>
    <w:p>
      <w:pPr>
        <w:spacing w:after="100" w:line="269" w:lineRule="auto"/>
      </w:pPr>
      <w:r>
        <w:rPr>
          <w:rFonts w:ascii="Arial" w:hAnsi="Arial" w:eastAsia="Hiragino Sans GB"/>
          <w:b/>
          <w:color w:val="111111"/>
          <w:sz w:val="19"/>
        </w:rPr>
        <w:t xml:space="preserve">S31　</w:t>
      </w:r>
      <w:hyperlink r:id="rId41">
        <w:r>
          <w:rPr>
            <w:color w:val="254E76"/>
            <w:sz w:val="19"/>
            <w:rFonts w:ascii="Arial" w:eastAsia="Hiragino Sans GB"/>
          </w:rPr>
          <w:t>伟事达068组马来西亚游学</w:t>
        </w:r>
      </w:hyperlink>
      <w:r>
        <w:rPr>
          <w:rFonts w:ascii="Arial" w:hAnsi="Arial" w:eastAsia="Hiragino Sans GB"/>
          <w:b w:val="0"/>
          <w:color w:val="596573"/>
          <w:sz w:val="18"/>
        </w:rPr>
        <w:br/>
        <w:t>伟事达中国　|　2026-06-03至07　|　机构活动自述</w:t>
      </w:r>
      <w:r>
        <w:rPr>
          <w:rFonts w:ascii="Arial" w:hAnsi="Arial" w:eastAsia="Hiragino Sans GB"/>
          <w:b w:val="0"/>
          <w:color w:val="596573"/>
          <w:sz w:val="18"/>
        </w:rPr>
        <w:br/>
        <w:t>无公开售票价、完整名单与复购数据。</w:t>
      </w:r>
    </w:p>
    <w:p>
      <w:pPr>
        <w:spacing w:after="100" w:line="269" w:lineRule="auto"/>
      </w:pPr>
      <w:r>
        <w:rPr>
          <w:rFonts w:ascii="Arial" w:hAnsi="Arial" w:eastAsia="Hiragino Sans GB"/>
          <w:b/>
          <w:color w:val="111111"/>
          <w:sz w:val="19"/>
        </w:rPr>
        <w:t xml:space="preserve">S32　</w:t>
      </w:r>
      <w:hyperlink r:id="rId42">
        <w:r>
          <w:rPr>
            <w:color w:val="254E76"/>
            <w:sz w:val="19"/>
            <w:rFonts w:ascii="Arial" w:eastAsia="Hiragino Sans GB"/>
          </w:rPr>
          <w:t>GEIA GBA活动回顾</w:t>
        </w:r>
      </w:hyperlink>
      <w:r>
        <w:rPr>
          <w:rFonts w:ascii="Arial" w:hAnsi="Arial" w:eastAsia="Hiragino Sans GB"/>
          <w:b w:val="0"/>
          <w:color w:val="596573"/>
          <w:sz w:val="18"/>
        </w:rPr>
        <w:br/>
        <w:t>GEIA全球会展转载　|　2026-09-09至11　|　活动主办方自述</w:t>
      </w:r>
      <w:r>
        <w:rPr>
          <w:rFonts w:ascii="Arial" w:hAnsi="Arial" w:eastAsia="Hiragino Sans GB"/>
          <w:b w:val="0"/>
          <w:color w:val="596573"/>
          <w:sz w:val="18"/>
        </w:rPr>
        <w:br/>
        <w:t>大会1687人不能归为私董会到场。</w:t>
      </w:r>
    </w:p>
    <w:p>
      <w:pPr>
        <w:spacing w:after="100" w:line="269" w:lineRule="auto"/>
      </w:pPr>
      <w:r>
        <w:rPr>
          <w:rFonts w:ascii="Arial" w:hAnsi="Arial" w:eastAsia="Hiragino Sans GB"/>
          <w:b/>
          <w:color w:val="111111"/>
          <w:sz w:val="19"/>
        </w:rPr>
        <w:t xml:space="preserve">S33　</w:t>
      </w:r>
      <w:hyperlink r:id="rId43">
        <w:r>
          <w:rPr>
            <w:color w:val="254E76"/>
            <w:sz w:val="19"/>
            <w:rFonts w:ascii="Arial" w:eastAsia="Hiragino Sans GB"/>
          </w:rPr>
          <w:t>耀悦产品与起价</w:t>
        </w:r>
      </w:hyperlink>
      <w:r>
        <w:rPr>
          <w:rFonts w:ascii="Arial" w:hAnsi="Arial" w:eastAsia="Hiragino Sans GB"/>
          <w:b w:val="0"/>
          <w:color w:val="596573"/>
          <w:sz w:val="18"/>
        </w:rPr>
        <w:br/>
        <w:t>耀悦　|　页面未标团期　|　机构标价</w:t>
      </w:r>
      <w:r>
        <w:rPr>
          <w:rFonts w:ascii="Arial" w:hAnsi="Arial" w:eastAsia="Hiragino Sans GB"/>
          <w:b w:val="0"/>
          <w:color w:val="596573"/>
          <w:sz w:val="18"/>
        </w:rPr>
        <w:br/>
        <w:t>首页团期未标，完整包含未得；新笔记报价单列，不作为直接调价证据。</w:t>
      </w:r>
    </w:p>
    <w:p>
      <w:pPr>
        <w:spacing w:after="100" w:line="269" w:lineRule="auto"/>
      </w:pPr>
      <w:r>
        <w:rPr>
          <w:rFonts w:ascii="Arial" w:hAnsi="Arial" w:eastAsia="Hiragino Sans GB"/>
          <w:b/>
          <w:color w:val="111111"/>
          <w:sz w:val="19"/>
        </w:rPr>
        <w:t xml:space="preserve">S34　</w:t>
      </w:r>
      <w:hyperlink r:id="rId44">
        <w:r>
          <w:rPr>
            <w:color w:val="254E76"/>
            <w:sz w:val="19"/>
            <w:rFonts w:ascii="Arial" w:eastAsia="Hiragino Sans GB"/>
          </w:rPr>
          <w:t>耀悦服务介绍</w:t>
        </w:r>
      </w:hyperlink>
      <w:r>
        <w:rPr>
          <w:rFonts w:ascii="Arial" w:hAnsi="Arial" w:eastAsia="Hiragino Sans GB"/>
          <w:b w:val="0"/>
          <w:color w:val="596573"/>
          <w:sz w:val="18"/>
        </w:rPr>
        <w:br/>
        <w:t>耀悦　|　采集时　|　机构自述</w:t>
      </w:r>
      <w:r>
        <w:rPr>
          <w:rFonts w:ascii="Arial" w:hAnsi="Arial" w:eastAsia="Hiragino Sans GB"/>
          <w:b w:val="0"/>
          <w:color w:val="596573"/>
          <w:sz w:val="18"/>
        </w:rPr>
        <w:br/>
        <w:t>服务伙伴数不是客户数。</w:t>
      </w:r>
    </w:p>
    <w:p>
      <w:pPr>
        <w:spacing w:after="100" w:line="269" w:lineRule="auto"/>
      </w:pPr>
      <w:r>
        <w:rPr>
          <w:rFonts w:ascii="Arial" w:hAnsi="Arial" w:eastAsia="Hiragino Sans GB"/>
          <w:b/>
          <w:color w:val="111111"/>
          <w:sz w:val="19"/>
        </w:rPr>
        <w:t xml:space="preserve">S35　</w:t>
      </w:r>
      <w:hyperlink r:id="rId45">
        <w:r>
          <w:rPr>
            <w:color w:val="254E76"/>
            <w:sz w:val="19"/>
            <w:rFonts w:ascii="Arial" w:eastAsia="Hiragino Sans GB"/>
          </w:rPr>
          <w:t>耀悦私人定制案例</w:t>
        </w:r>
      </w:hyperlink>
      <w:r>
        <w:rPr>
          <w:rFonts w:ascii="Arial" w:hAnsi="Arial" w:eastAsia="Hiragino Sans GB"/>
          <w:b w:val="0"/>
          <w:color w:val="596573"/>
          <w:sz w:val="18"/>
        </w:rPr>
        <w:br/>
        <w:t>耀悦　|　2018—2019案例　|　机构历史案例</w:t>
      </w:r>
      <w:r>
        <w:rPr>
          <w:rFonts w:ascii="Arial" w:hAnsi="Arial" w:eastAsia="Hiragino Sans GB"/>
          <w:b w:val="0"/>
          <w:color w:val="596573"/>
          <w:sz w:val="18"/>
        </w:rPr>
        <w:br/>
        <w:t>历史示范案例，不证明当前排期。</w:t>
      </w:r>
    </w:p>
    <w:p>
      <w:pPr>
        <w:spacing w:after="100" w:line="269" w:lineRule="auto"/>
      </w:pPr>
      <w:r>
        <w:rPr>
          <w:rFonts w:ascii="Arial" w:hAnsi="Arial" w:eastAsia="Hiragino Sans GB"/>
          <w:b/>
          <w:color w:val="111111"/>
          <w:sz w:val="19"/>
        </w:rPr>
        <w:t xml:space="preserve">S36　</w:t>
      </w:r>
      <w:hyperlink r:id="rId46">
        <w:r>
          <w:rPr>
            <w:color w:val="254E76"/>
            <w:sz w:val="19"/>
            <w:rFonts w:ascii="Arial" w:eastAsia="Hiragino Sans GB"/>
          </w:rPr>
          <w:t>中青旅2025年度报告</w:t>
        </w:r>
      </w:hyperlink>
      <w:r>
        <w:rPr>
          <w:rFonts w:ascii="Arial" w:hAnsi="Arial" w:eastAsia="Hiragino Sans GB"/>
          <w:b w:val="0"/>
          <w:color w:val="596573"/>
          <w:sz w:val="18"/>
        </w:rPr>
        <w:br/>
        <w:t>中青旅 巨潮资讯披露　|　2025　|　上市公司披露</w:t>
      </w:r>
      <w:r>
        <w:rPr>
          <w:rFonts w:ascii="Arial" w:hAnsi="Arial" w:eastAsia="Hiragino Sans GB"/>
          <w:b w:val="0"/>
          <w:color w:val="596573"/>
          <w:sz w:val="18"/>
        </w:rPr>
        <w:br/>
        <w:t>集团收入不能归为耀悦品牌收入，股权收益不等于品牌收入。</w:t>
      </w:r>
    </w:p>
    <w:p>
      <w:pPr>
        <w:spacing w:after="100" w:line="269" w:lineRule="auto"/>
      </w:pPr>
      <w:r>
        <w:rPr>
          <w:rFonts w:ascii="Arial" w:hAnsi="Arial" w:eastAsia="Hiragino Sans GB"/>
          <w:b/>
          <w:color w:val="111111"/>
          <w:sz w:val="19"/>
        </w:rPr>
        <w:t xml:space="preserve">S37　</w:t>
      </w:r>
      <w:hyperlink r:id="rId47">
        <w:r>
          <w:rPr>
            <w:color w:val="254E76"/>
            <w:sz w:val="19"/>
            <w:rFonts w:ascii="Arial" w:eastAsia="Hiragino Sans GB"/>
          </w:rPr>
          <w:t>HIGHER CLUB机构介绍</w:t>
        </w:r>
      </w:hyperlink>
      <w:r>
        <w:rPr>
          <w:rFonts w:ascii="Arial" w:hAnsi="Arial" w:eastAsia="Hiragino Sans GB"/>
          <w:b w:val="0"/>
          <w:color w:val="596573"/>
          <w:sz w:val="18"/>
        </w:rPr>
        <w:br/>
        <w:t>HIGHER CLUB　|　采集时　|　机构自述</w:t>
      </w:r>
      <w:r>
        <w:rPr>
          <w:rFonts w:ascii="Arial" w:hAnsi="Arial" w:eastAsia="Hiragino Sans GB"/>
          <w:b w:val="0"/>
          <w:color w:val="596573"/>
          <w:sz w:val="18"/>
        </w:rPr>
        <w:br/>
        <w:t>资产、成员质量及150+资源未经独立验证；未披露付费会员。</w:t>
      </w:r>
    </w:p>
    <w:p>
      <w:pPr>
        <w:spacing w:after="100" w:line="269" w:lineRule="auto"/>
      </w:pPr>
      <w:r>
        <w:rPr>
          <w:rFonts w:ascii="Arial" w:hAnsi="Arial" w:eastAsia="Hiragino Sans GB"/>
          <w:b/>
          <w:color w:val="111111"/>
          <w:sz w:val="19"/>
        </w:rPr>
        <w:t xml:space="preserve">S38　</w:t>
      </w:r>
      <w:hyperlink r:id="rId48">
        <w:r>
          <w:rPr>
            <w:color w:val="254E76"/>
            <w:sz w:val="19"/>
            <w:rFonts w:ascii="Arial" w:eastAsia="Hiragino Sans GB"/>
          </w:rPr>
          <w:t>EO China East Fact Sheet</w:t>
        </w:r>
      </w:hyperlink>
      <w:r>
        <w:rPr>
          <w:rFonts w:ascii="Arial" w:hAnsi="Arial" w:eastAsia="Hiragino Sans GB"/>
          <w:b w:val="0"/>
          <w:color w:val="596573"/>
          <w:sz w:val="18"/>
        </w:rPr>
        <w:br/>
        <w:t>EO　|　2026-09-30　|　组织自述</w:t>
      </w:r>
      <w:r>
        <w:rPr>
          <w:rFonts w:ascii="Arial" w:hAnsi="Arial" w:eastAsia="Hiragino Sans GB"/>
          <w:b w:val="0"/>
          <w:color w:val="596573"/>
          <w:sz w:val="18"/>
        </w:rPr>
        <w:br/>
        <w:t>地方0可能缺项，员工数据明显异常；不能宣称分会免费。</w:t>
      </w:r>
    </w:p>
    <w:p>
      <w:pPr>
        <w:spacing w:after="100" w:line="269" w:lineRule="auto"/>
      </w:pPr>
      <w:r>
        <w:rPr>
          <w:rFonts w:ascii="Arial" w:hAnsi="Arial" w:eastAsia="Hiragino Sans GB"/>
          <w:b/>
          <w:color w:val="111111"/>
          <w:sz w:val="19"/>
        </w:rPr>
        <w:t xml:space="preserve">S39　</w:t>
      </w:r>
      <w:hyperlink r:id="rId49">
        <w:r>
          <w:rPr>
            <w:color w:val="254E76"/>
            <w:sz w:val="19"/>
            <w:rFonts w:ascii="Arial" w:eastAsia="Hiragino Sans GB"/>
          </w:rPr>
          <w:t>正和岛官方开发者介绍</w:t>
        </w:r>
      </w:hyperlink>
      <w:r>
        <w:rPr>
          <w:rFonts w:ascii="Arial" w:hAnsi="Arial" w:eastAsia="Hiragino Sans GB"/>
          <w:b w:val="0"/>
          <w:color w:val="596573"/>
          <w:sz w:val="18"/>
        </w:rPr>
        <w:br/>
        <w:t>正和岛 App Store　|　采集时　|　开发者自述</w:t>
      </w:r>
      <w:r>
        <w:rPr>
          <w:rFonts w:ascii="Arial" w:hAnsi="Arial" w:eastAsia="Hiragino Sans GB"/>
          <w:b w:val="0"/>
          <w:color w:val="596573"/>
          <w:sz w:val="18"/>
        </w:rPr>
        <w:br/>
        <w:t>服务企业、APP用户和媒体触达是不同口径。</w:t>
      </w:r>
    </w:p>
    <w:p>
      <w:pPr>
        <w:spacing w:after="100" w:line="269" w:lineRule="auto"/>
      </w:pPr>
      <w:r>
        <w:rPr>
          <w:rFonts w:ascii="Arial" w:hAnsi="Arial" w:eastAsia="Hiragino Sans GB"/>
          <w:b/>
          <w:color w:val="111111"/>
          <w:sz w:val="19"/>
        </w:rPr>
        <w:t xml:space="preserve">S40　</w:t>
      </w:r>
      <w:hyperlink r:id="rId50">
        <w:r>
          <w:rPr>
            <w:color w:val="254E76"/>
            <w:sz w:val="19"/>
            <w:rFonts w:ascii="Arial" w:eastAsia="Hiragino Sans GB"/>
          </w:rPr>
          <w:t>深圳侨商会籍与价格</w:t>
        </w:r>
      </w:hyperlink>
      <w:r>
        <w:rPr>
          <w:rFonts w:ascii="Arial" w:hAnsi="Arial" w:eastAsia="Hiragino Sans GB"/>
          <w:b w:val="0"/>
          <w:color w:val="596573"/>
          <w:sz w:val="18"/>
        </w:rPr>
        <w:br/>
        <w:t>深圳市侨商国际联合会　|　未标生效期　|　组织标价</w:t>
      </w:r>
      <w:r>
        <w:rPr>
          <w:rFonts w:ascii="Arial" w:hAnsi="Arial" w:eastAsia="Hiragino Sans GB"/>
          <w:b w:val="0"/>
          <w:color w:val="596573"/>
          <w:sz w:val="18"/>
        </w:rPr>
        <w:br/>
        <w:t>有身份准入，职务层级不等于高端社交服务等级；非营利组织对标。</w:t>
      </w:r>
    </w:p>
    <w:p>
      <w:pPr>
        <w:spacing w:after="100" w:line="269" w:lineRule="auto"/>
      </w:pPr>
      <w:r>
        <w:rPr>
          <w:rFonts w:ascii="Arial" w:hAnsi="Arial" w:eastAsia="Hiragino Sans GB"/>
          <w:b/>
          <w:color w:val="111111"/>
          <w:sz w:val="19"/>
        </w:rPr>
        <w:t xml:space="preserve">S41　</w:t>
      </w:r>
      <w:hyperlink r:id="rId51">
        <w:r>
          <w:rPr>
            <w:color w:val="254E76"/>
            <w:sz w:val="19"/>
            <w:rFonts w:ascii="Arial" w:eastAsia="Hiragino Sans GB"/>
          </w:rPr>
          <w:t>上海美国商会青少年项目</w:t>
        </w:r>
      </w:hyperlink>
      <w:r>
        <w:rPr>
          <w:rFonts w:ascii="Arial" w:hAnsi="Arial" w:eastAsia="Hiragino Sans GB"/>
          <w:b w:val="0"/>
          <w:color w:val="596573"/>
          <w:sz w:val="18"/>
        </w:rPr>
        <w:br/>
        <w:t>上海美国商会官方报名平台　|　2026-07-09至10　|　组织活动标价</w:t>
      </w:r>
      <w:r>
        <w:rPr>
          <w:rFonts w:ascii="Arial" w:hAnsi="Arial" w:eastAsia="Hiragino Sans GB"/>
          <w:b w:val="0"/>
          <w:color w:val="596573"/>
          <w:sz w:val="18"/>
        </w:rPr>
        <w:br/>
        <w:t>是青少年企业学习项目，不代表成人社交定价。</w:t>
      </w:r>
    </w:p>
    <w:p>
      <w:pPr>
        <w:spacing w:after="100" w:line="269" w:lineRule="auto"/>
      </w:pPr>
      <w:r>
        <w:rPr>
          <w:rFonts w:ascii="Arial" w:hAnsi="Arial" w:eastAsia="Hiragino Sans GB"/>
          <w:b/>
          <w:color w:val="111111"/>
          <w:sz w:val="19"/>
        </w:rPr>
        <w:t xml:space="preserve">S42　</w:t>
      </w:r>
      <w:hyperlink r:id="rId52">
        <w:r>
          <w:rPr>
            <w:color w:val="254E76"/>
            <w:sz w:val="19"/>
            <w:rFonts w:ascii="Arial" w:eastAsia="Hiragino Sans GB"/>
          </w:rPr>
          <w:t>中欧EMBA学费信息</w:t>
        </w:r>
      </w:hyperlink>
      <w:r>
        <w:rPr>
          <w:rFonts w:ascii="Arial" w:hAnsi="Arial" w:eastAsia="Hiragino Sans GB"/>
          <w:b w:val="0"/>
          <w:color w:val="596573"/>
          <w:sz w:val="18"/>
        </w:rPr>
        <w:br/>
        <w:t>中欧国际工商学院　|　2026级　|　机构标价</w:t>
      </w:r>
      <w:r>
        <w:rPr>
          <w:rFonts w:ascii="Arial" w:hAnsi="Arial" w:eastAsia="Hiragino Sans GB"/>
          <w:b w:val="0"/>
          <w:color w:val="596573"/>
          <w:sz w:val="18"/>
        </w:rPr>
        <w:br/>
        <w:t>学历及课程替代品，不能直接作为社群年费锚。</w:t>
      </w:r>
    </w:p>
    <w:p>
      <w:pPr>
        <w:spacing w:after="100" w:line="269" w:lineRule="auto"/>
      </w:pPr>
      <w:r>
        <w:rPr>
          <w:rFonts w:ascii="Arial" w:hAnsi="Arial" w:eastAsia="Hiragino Sans GB"/>
          <w:b/>
          <w:color w:val="111111"/>
          <w:sz w:val="19"/>
        </w:rPr>
        <w:t xml:space="preserve">S43　</w:t>
      </w:r>
      <w:hyperlink r:id="rId53">
        <w:r>
          <w:rPr>
            <w:color w:val="254E76"/>
            <w:sz w:val="19"/>
            <w:rFonts w:ascii="Arial" w:eastAsia="Hiragino Sans GB"/>
          </w:rPr>
          <w:t>长江EMBA常见问题</w:t>
        </w:r>
      </w:hyperlink>
      <w:r>
        <w:rPr>
          <w:rFonts w:ascii="Arial" w:hAnsi="Arial" w:eastAsia="Hiragino Sans GB"/>
          <w:b w:val="0"/>
          <w:color w:val="596573"/>
          <w:sz w:val="18"/>
        </w:rPr>
        <w:br/>
        <w:t>长江商学院　|　2026级　|　机构标价</w:t>
      </w:r>
      <w:r>
        <w:rPr>
          <w:rFonts w:ascii="Arial" w:hAnsi="Arial" w:eastAsia="Hiragino Sans GB"/>
          <w:b w:val="0"/>
          <w:color w:val="596573"/>
          <w:sz w:val="18"/>
        </w:rPr>
        <w:br/>
        <w:t>两年项目；退款与日期相关。</w:t>
      </w:r>
    </w:p>
    <w:p>
      <w:pPr>
        <w:spacing w:after="100" w:line="269" w:lineRule="auto"/>
      </w:pPr>
      <w:r>
        <w:rPr>
          <w:rFonts w:ascii="Arial" w:hAnsi="Arial" w:eastAsia="Hiragino Sans GB"/>
          <w:b/>
          <w:color w:val="111111"/>
          <w:sz w:val="19"/>
        </w:rPr>
        <w:t xml:space="preserve">S44　</w:t>
      </w:r>
      <w:hyperlink r:id="rId54">
        <w:r>
          <w:rPr>
            <w:color w:val="254E76"/>
            <w:sz w:val="19"/>
            <w:rFonts w:ascii="Arial" w:eastAsia="Hiragino Sans GB"/>
          </w:rPr>
          <w:t>高金金融EMBA招生</w:t>
        </w:r>
      </w:hyperlink>
      <w:r>
        <w:rPr>
          <w:rFonts w:ascii="Arial" w:hAnsi="Arial" w:eastAsia="Hiragino Sans GB"/>
          <w:b w:val="0"/>
          <w:color w:val="596573"/>
          <w:sz w:val="18"/>
        </w:rPr>
        <w:br/>
        <w:t>上海交通大学高金　|　2026级　|　机构标价</w:t>
      </w:r>
      <w:r>
        <w:rPr>
          <w:rFonts w:ascii="Arial" w:hAnsi="Arial" w:eastAsia="Hiragino Sans GB"/>
          <w:b w:val="0"/>
          <w:color w:val="596573"/>
          <w:sz w:val="18"/>
        </w:rPr>
        <w:br/>
        <w:t>教育产品，不是社交会员费。</w:t>
      </w:r>
    </w:p>
    <w:p>
      <w:pPr>
        <w:spacing w:after="100" w:line="269" w:lineRule="auto"/>
      </w:pPr>
      <w:r>
        <w:rPr>
          <w:rFonts w:ascii="Arial" w:hAnsi="Arial" w:eastAsia="Hiragino Sans GB"/>
          <w:b/>
          <w:color w:val="111111"/>
          <w:sz w:val="19"/>
        </w:rPr>
        <w:t xml:space="preserve">S45　</w:t>
      </w:r>
      <w:hyperlink r:id="rId55">
        <w:r>
          <w:rPr>
            <w:color w:val="254E76"/>
            <w:sz w:val="19"/>
            <w:rFonts w:ascii="Arial" w:eastAsia="Hiragino Sans GB"/>
          </w:rPr>
          <w:t>上海财经金融EMBA</w:t>
        </w:r>
      </w:hyperlink>
      <w:r>
        <w:rPr>
          <w:rFonts w:ascii="Arial" w:hAnsi="Arial" w:eastAsia="Hiragino Sans GB"/>
          <w:b w:val="0"/>
          <w:color w:val="596573"/>
          <w:sz w:val="18"/>
        </w:rPr>
        <w:br/>
        <w:t>上海财经大学　|　2026级　|　机构自述</w:t>
      </w:r>
      <w:r>
        <w:rPr>
          <w:rFonts w:ascii="Arial" w:hAnsi="Arial" w:eastAsia="Hiragino Sans GB"/>
          <w:b w:val="0"/>
          <w:color w:val="596573"/>
          <w:sz w:val="18"/>
        </w:rPr>
        <w:br/>
        <w:t>未提取价格。</w:t>
      </w:r>
    </w:p>
    <w:p>
      <w:pPr>
        <w:spacing w:after="100" w:line="269" w:lineRule="auto"/>
      </w:pPr>
      <w:r>
        <w:rPr>
          <w:rFonts w:ascii="Arial" w:hAnsi="Arial" w:eastAsia="Hiragino Sans GB"/>
          <w:b/>
          <w:color w:val="111111"/>
          <w:sz w:val="19"/>
        </w:rPr>
        <w:t xml:space="preserve">S46　</w:t>
      </w:r>
      <w:hyperlink r:id="rId56">
        <w:r>
          <w:rPr>
            <w:color w:val="254E76"/>
            <w:sz w:val="19"/>
            <w:rFonts w:ascii="Arial" w:eastAsia="Hiragino Sans GB"/>
          </w:rPr>
          <w:t>清华五道口金融EMBA</w:t>
        </w:r>
      </w:hyperlink>
      <w:r>
        <w:rPr>
          <w:rFonts w:ascii="Arial" w:hAnsi="Arial" w:eastAsia="Hiragino Sans GB"/>
          <w:b w:val="0"/>
          <w:color w:val="596573"/>
          <w:sz w:val="18"/>
        </w:rPr>
        <w:br/>
        <w:t>清华大学五道口金融学院　|　采集时　|　机构自述</w:t>
      </w:r>
      <w:r>
        <w:rPr>
          <w:rFonts w:ascii="Arial" w:hAnsi="Arial" w:eastAsia="Hiragino Sans GB"/>
          <w:b w:val="0"/>
          <w:color w:val="596573"/>
          <w:sz w:val="18"/>
        </w:rPr>
        <w:br/>
        <w:t>与商业俱乐部的学历和资源条件不同。</w:t>
      </w:r>
    </w:p>
    <w:p>
      <w:pPr>
        <w:spacing w:after="100" w:line="269" w:lineRule="auto"/>
      </w:pPr>
      <w:r>
        <w:rPr>
          <w:rFonts w:ascii="Arial" w:hAnsi="Arial" w:eastAsia="Hiragino Sans GB"/>
          <w:b/>
          <w:color w:val="111111"/>
          <w:sz w:val="19"/>
        </w:rPr>
        <w:t xml:space="preserve">S47　</w:t>
      </w:r>
      <w:hyperlink r:id="rId57">
        <w:r>
          <w:rPr>
            <w:color w:val="254E76"/>
            <w:sz w:val="19"/>
            <w:rFonts w:ascii="Arial" w:eastAsia="Hiragino Sans GB"/>
          </w:rPr>
          <w:t>北大汇丰高管教育</w:t>
        </w:r>
      </w:hyperlink>
      <w:r>
        <w:rPr>
          <w:rFonts w:ascii="Arial" w:hAnsi="Arial" w:eastAsia="Hiragino Sans GB"/>
          <w:b w:val="0"/>
          <w:color w:val="596573"/>
          <w:sz w:val="18"/>
        </w:rPr>
        <w:br/>
        <w:t>北京大学汇丰商学院　|　采集时及2025活动　|　机构自述</w:t>
      </w:r>
      <w:r>
        <w:rPr>
          <w:rFonts w:ascii="Arial" w:hAnsi="Arial" w:eastAsia="Hiragino Sans GB"/>
          <w:b w:val="0"/>
          <w:color w:val="596573"/>
          <w:sz w:val="18"/>
        </w:rPr>
        <w:br/>
        <w:t>未核实当前项目费用。</w:t>
      </w:r>
    </w:p>
    <w:p>
      <w:pPr>
        <w:spacing w:after="100" w:line="269" w:lineRule="auto"/>
      </w:pPr>
      <w:r>
        <w:rPr>
          <w:rFonts w:ascii="Arial" w:hAnsi="Arial" w:eastAsia="Hiragino Sans GB"/>
          <w:b/>
          <w:color w:val="111111"/>
          <w:sz w:val="19"/>
        </w:rPr>
        <w:t xml:space="preserve">S48　</w:t>
      </w:r>
      <w:hyperlink r:id="rId58">
        <w:r>
          <w:rPr>
            <w:color w:val="254E76"/>
            <w:sz w:val="19"/>
            <w:rFonts w:ascii="Arial" w:eastAsia="Hiragino Sans GB"/>
          </w:rPr>
          <w:t>深商联介绍</w:t>
        </w:r>
      </w:hyperlink>
      <w:r>
        <w:rPr>
          <w:rFonts w:ascii="Arial" w:hAnsi="Arial" w:eastAsia="Hiragino Sans GB"/>
          <w:b w:val="0"/>
          <w:color w:val="596573"/>
          <w:sz w:val="18"/>
        </w:rPr>
        <w:br/>
        <w:t>深圳市商业联合会　|　采集时　|　组织自述</w:t>
      </w:r>
      <w:r>
        <w:rPr>
          <w:rFonts w:ascii="Arial" w:hAnsi="Arial" w:eastAsia="Hiragino Sans GB"/>
          <w:b w:val="0"/>
          <w:color w:val="596573"/>
          <w:sz w:val="18"/>
        </w:rPr>
        <w:br/>
        <w:t>3000多家服务企业非有效付费会员。</w:t>
      </w:r>
    </w:p>
    <w:p>
      <w:pPr>
        <w:spacing w:after="100" w:line="269" w:lineRule="auto"/>
      </w:pPr>
      <w:r>
        <w:rPr>
          <w:rFonts w:ascii="Arial" w:hAnsi="Arial" w:eastAsia="Hiragino Sans GB"/>
          <w:b/>
          <w:color w:val="111111"/>
          <w:sz w:val="19"/>
        </w:rPr>
        <w:t xml:space="preserve">S49　</w:t>
      </w:r>
      <w:hyperlink r:id="rId59">
        <w:r>
          <w:rPr>
            <w:color w:val="254E76"/>
            <w:sz w:val="19"/>
            <w:rFonts w:ascii="Arial" w:eastAsia="Hiragino Sans GB"/>
          </w:rPr>
          <w:t>亚布力中国企业家论坛介绍</w:t>
        </w:r>
      </w:hyperlink>
      <w:r>
        <w:rPr>
          <w:rFonts w:ascii="Arial" w:hAnsi="Arial" w:eastAsia="Hiragino Sans GB"/>
          <w:b w:val="0"/>
          <w:color w:val="596573"/>
          <w:sz w:val="18"/>
        </w:rPr>
        <w:br/>
        <w:t>亚布力论坛　|　采集时　|　组织自述</w:t>
      </w:r>
      <w:r>
        <w:rPr>
          <w:rFonts w:ascii="Arial" w:hAnsi="Arial" w:eastAsia="Hiragino Sans GB"/>
          <w:b w:val="0"/>
          <w:color w:val="596573"/>
          <w:sz w:val="18"/>
        </w:rPr>
        <w:br/>
        <w:t>论坛与长期付费社交权益不同。</w:t>
      </w:r>
    </w:p>
    <w:p>
      <w:pPr>
        <w:spacing w:after="100" w:line="269" w:lineRule="auto"/>
      </w:pPr>
      <w:r>
        <w:rPr>
          <w:rFonts w:ascii="Arial" w:hAnsi="Arial" w:eastAsia="Hiragino Sans GB"/>
          <w:b/>
          <w:color w:val="111111"/>
          <w:sz w:val="19"/>
        </w:rPr>
        <w:t xml:space="preserve">S50　</w:t>
      </w:r>
      <w:hyperlink r:id="rId60">
        <w:r>
          <w:rPr>
            <w:color w:val="254E76"/>
            <w:sz w:val="19"/>
            <w:rFonts w:ascii="Arial" w:eastAsia="Hiragino Sans GB"/>
          </w:rPr>
          <w:t>混沌企业学习</w:t>
        </w:r>
      </w:hyperlink>
      <w:r>
        <w:rPr>
          <w:rFonts w:ascii="Arial" w:hAnsi="Arial" w:eastAsia="Hiragino Sans GB"/>
          <w:b w:val="0"/>
          <w:color w:val="596573"/>
          <w:sz w:val="18"/>
        </w:rPr>
        <w:br/>
        <w:t>混沌　|　采集时　|　机构自述</w:t>
      </w:r>
      <w:r>
        <w:rPr>
          <w:rFonts w:ascii="Arial" w:hAnsi="Arial" w:eastAsia="Hiragino Sans GB"/>
          <w:b w:val="0"/>
          <w:color w:val="596573"/>
          <w:sz w:val="18"/>
        </w:rPr>
        <w:br/>
        <w:t>线上学习用户不是线下社群付费会员。</w:t>
      </w:r>
    </w:p>
    <w:p>
      <w:pPr>
        <w:spacing w:after="100" w:line="269" w:lineRule="auto"/>
      </w:pPr>
      <w:r>
        <w:rPr>
          <w:rFonts w:ascii="Arial" w:hAnsi="Arial" w:eastAsia="Hiragino Sans GB"/>
          <w:b/>
          <w:color w:val="111111"/>
          <w:sz w:val="19"/>
        </w:rPr>
        <w:t xml:space="preserve">S51　</w:t>
      </w:r>
      <w:hyperlink r:id="rId61">
        <w:r>
          <w:rPr>
            <w:color w:val="254E76"/>
            <w:sz w:val="19"/>
            <w:rFonts w:ascii="Arial" w:eastAsia="Hiragino Sans GB"/>
          </w:rPr>
          <w:t>德申汇平台介绍</w:t>
        </w:r>
      </w:hyperlink>
      <w:r>
        <w:rPr>
          <w:rFonts w:ascii="Arial" w:hAnsi="Arial" w:eastAsia="Hiragino Sans GB"/>
          <w:b w:val="0"/>
          <w:color w:val="596573"/>
          <w:sz w:val="18"/>
        </w:rPr>
        <w:br/>
        <w:t>德申汇　|　采集时　|　机构自述</w:t>
      </w:r>
      <w:r>
        <w:rPr>
          <w:rFonts w:ascii="Arial" w:hAnsi="Arial" w:eastAsia="Hiragino Sans GB"/>
          <w:b w:val="0"/>
          <w:color w:val="596573"/>
          <w:sz w:val="18"/>
        </w:rPr>
        <w:br/>
        <w:t>德申京城俱乐部不是The Capital Club，必须消歧。</w:t>
      </w:r>
    </w:p>
    <w:p>
      <w:pPr>
        <w:spacing w:after="100" w:line="269" w:lineRule="auto"/>
      </w:pPr>
      <w:r>
        <w:rPr>
          <w:rFonts w:ascii="Arial" w:hAnsi="Arial" w:eastAsia="Hiragino Sans GB"/>
          <w:b/>
          <w:color w:val="111111"/>
          <w:sz w:val="19"/>
        </w:rPr>
        <w:t xml:space="preserve">S52　</w:t>
      </w:r>
      <w:hyperlink r:id="rId62">
        <w:r>
          <w:rPr>
            <w:color w:val="254E76"/>
            <w:sz w:val="19"/>
            <w:rFonts w:ascii="Arial" w:eastAsia="Hiragino Sans GB"/>
          </w:rPr>
          <w:t>黑骑士球员俱乐部会籍</w:t>
        </w:r>
      </w:hyperlink>
      <w:r>
        <w:rPr>
          <w:rFonts w:ascii="Arial" w:hAnsi="Arial" w:eastAsia="Hiragino Sans GB"/>
          <w:b w:val="0"/>
          <w:color w:val="596573"/>
          <w:sz w:val="18"/>
        </w:rPr>
        <w:br/>
        <w:t>黑骑士球员俱乐部　|　采集时　|　机构自述</w:t>
      </w:r>
      <w:r>
        <w:rPr>
          <w:rFonts w:ascii="Arial" w:hAnsi="Arial" w:eastAsia="Hiragino Sans GB"/>
          <w:b w:val="0"/>
          <w:color w:val="596573"/>
          <w:sz w:val="18"/>
        </w:rPr>
        <w:br/>
        <w:t>会籍价格未公开。</w:t>
      </w:r>
    </w:p>
    <w:p>
      <w:pPr>
        <w:spacing w:after="100" w:line="269" w:lineRule="auto"/>
      </w:pPr>
      <w:r>
        <w:rPr>
          <w:rFonts w:ascii="Arial" w:hAnsi="Arial" w:eastAsia="Hiragino Sans GB"/>
          <w:b/>
          <w:color w:val="111111"/>
          <w:sz w:val="19"/>
        </w:rPr>
        <w:t xml:space="preserve">S53　</w:t>
      </w:r>
      <w:hyperlink r:id="rId63">
        <w:r>
          <w:rPr>
            <w:color w:val="254E76"/>
            <w:sz w:val="19"/>
            <w:rFonts w:ascii="Arial" w:eastAsia="Hiragino Sans GB"/>
          </w:rPr>
          <w:t>北京香港马会会所介绍</w:t>
        </w:r>
      </w:hyperlink>
      <w:r>
        <w:rPr>
          <w:rFonts w:ascii="Arial" w:hAnsi="Arial" w:eastAsia="Hiragino Sans GB"/>
          <w:b w:val="0"/>
          <w:color w:val="596573"/>
          <w:sz w:val="18"/>
        </w:rPr>
        <w:br/>
        <w:t>北京香港马会会所　|　采集时　|　机构自述</w:t>
      </w:r>
      <w:r>
        <w:rPr>
          <w:rFonts w:ascii="Arial" w:hAnsi="Arial" w:eastAsia="Hiragino Sans GB"/>
          <w:b w:val="0"/>
          <w:color w:val="596573"/>
          <w:sz w:val="18"/>
        </w:rPr>
        <w:br/>
        <w:t>不等于香港全部会籍权益。</w:t>
      </w:r>
    </w:p>
    <w:p>
      <w:pPr>
        <w:spacing w:after="100" w:line="269" w:lineRule="auto"/>
      </w:pPr>
      <w:r>
        <w:rPr>
          <w:rFonts w:ascii="Arial" w:hAnsi="Arial" w:eastAsia="Hiragino Sans GB"/>
          <w:b/>
          <w:color w:val="111111"/>
          <w:sz w:val="19"/>
        </w:rPr>
        <w:t xml:space="preserve">S54　</w:t>
      </w:r>
      <w:hyperlink r:id="rId64">
        <w:r>
          <w:rPr>
            <w:color w:val="254E76"/>
            <w:sz w:val="19"/>
            <w:rFonts w:ascii="Arial" w:eastAsia="Hiragino Sans GB"/>
          </w:rPr>
          <w:t>雍福会服务介绍</w:t>
        </w:r>
      </w:hyperlink>
      <w:r>
        <w:rPr>
          <w:rFonts w:ascii="Arial" w:hAnsi="Arial" w:eastAsia="Hiragino Sans GB"/>
          <w:b w:val="0"/>
          <w:color w:val="596573"/>
          <w:sz w:val="18"/>
        </w:rPr>
        <w:br/>
        <w:t>上海文旅推广网　|　采集时　|　目的地机构介绍</w:t>
      </w:r>
      <w:r>
        <w:rPr>
          <w:rFonts w:ascii="Arial" w:hAnsi="Arial" w:eastAsia="Hiragino Sans GB"/>
          <w:b w:val="0"/>
          <w:color w:val="596573"/>
          <w:sz w:val="18"/>
        </w:rPr>
        <w:br/>
        <w:t>不证明现行付费会员制。</w:t>
      </w:r>
    </w:p>
    <w:p>
      <w:pPr>
        <w:spacing w:after="100" w:line="269" w:lineRule="auto"/>
      </w:pPr>
      <w:r>
        <w:rPr>
          <w:rFonts w:ascii="Arial" w:hAnsi="Arial" w:eastAsia="Hiragino Sans GB"/>
          <w:b/>
          <w:color w:val="111111"/>
          <w:sz w:val="19"/>
        </w:rPr>
        <w:t xml:space="preserve">S55　</w:t>
      </w:r>
      <w:hyperlink r:id="rId65">
        <w:r>
          <w:rPr>
            <w:color w:val="254E76"/>
            <w:sz w:val="19"/>
            <w:rFonts w:ascii="Arial" w:eastAsia="Hiragino Sans GB"/>
          </w:rPr>
          <w:t>KEE Club介绍</w:t>
        </w:r>
      </w:hyperlink>
      <w:r>
        <w:rPr>
          <w:rFonts w:ascii="Arial" w:hAnsi="Arial" w:eastAsia="Hiragino Sans GB"/>
          <w:b w:val="0"/>
          <w:color w:val="596573"/>
          <w:sz w:val="18"/>
        </w:rPr>
        <w:br/>
        <w:t>Condé Nast Traveler　|　页面未标　|　媒体观察</w:t>
      </w:r>
      <w:r>
        <w:rPr>
          <w:rFonts w:ascii="Arial" w:hAnsi="Arial" w:eastAsia="Hiragino Sans GB"/>
          <w:b w:val="0"/>
          <w:color w:val="596573"/>
          <w:sz w:val="18"/>
        </w:rPr>
        <w:br/>
        <w:t>价格历史信息不用于当前定价；经营状态需进一步核实。</w:t>
      </w:r>
    </w:p>
    <w:p>
      <w:pPr>
        <w:spacing w:after="100" w:line="269" w:lineRule="auto"/>
      </w:pPr>
      <w:r>
        <w:rPr>
          <w:rFonts w:ascii="Arial" w:hAnsi="Arial" w:eastAsia="Hiragino Sans GB"/>
          <w:b/>
          <w:color w:val="111111"/>
          <w:sz w:val="19"/>
        </w:rPr>
        <w:t xml:space="preserve">S56　</w:t>
      </w:r>
      <w:hyperlink r:id="rId66">
        <w:r>
          <w:rPr>
            <w:color w:val="254E76"/>
            <w:sz w:val="19"/>
            <w:rFonts w:ascii="Arial" w:eastAsia="Hiragino Sans GB"/>
          </w:rPr>
          <w:t>上海卫智马术</w:t>
        </w:r>
      </w:hyperlink>
      <w:r>
        <w:rPr>
          <w:rFonts w:ascii="Arial" w:hAnsi="Arial" w:eastAsia="Hiragino Sans GB"/>
          <w:b w:val="0"/>
          <w:color w:val="596573"/>
          <w:sz w:val="18"/>
        </w:rPr>
        <w:br/>
        <w:t>上海卫智马术　|　采集时　|　机构自述</w:t>
      </w:r>
      <w:r>
        <w:rPr>
          <w:rFonts w:ascii="Arial" w:hAnsi="Arial" w:eastAsia="Hiragino Sans GB"/>
          <w:b w:val="0"/>
          <w:color w:val="596573"/>
          <w:sz w:val="18"/>
        </w:rPr>
        <w:br/>
        <w:t>兴趣设施类替代品，不推定客户资产。</w:t>
      </w:r>
    </w:p>
    <w:p>
      <w:pPr>
        <w:spacing w:after="100" w:line="269" w:lineRule="auto"/>
      </w:pPr>
      <w:r>
        <w:rPr>
          <w:rFonts w:ascii="Arial" w:hAnsi="Arial" w:eastAsia="Hiragino Sans GB"/>
          <w:b/>
          <w:color w:val="111111"/>
          <w:sz w:val="19"/>
        </w:rPr>
        <w:t xml:space="preserve">S57　</w:t>
      </w:r>
      <w:hyperlink r:id="rId67">
        <w:r>
          <w:rPr>
            <w:color w:val="254E76"/>
            <w:sz w:val="19"/>
            <w:rFonts w:ascii="Arial" w:eastAsia="Hiragino Sans GB"/>
          </w:rPr>
          <w:t>鸿鹄逸游</w:t>
        </w:r>
      </w:hyperlink>
      <w:r>
        <w:rPr>
          <w:rFonts w:ascii="Arial" w:hAnsi="Arial" w:eastAsia="Hiragino Sans GB"/>
          <w:b w:val="0"/>
          <w:color w:val="596573"/>
          <w:sz w:val="18"/>
        </w:rPr>
        <w:br/>
        <w:t>鸿鹄逸游 携程　|　采集时　|　机构自述</w:t>
      </w:r>
      <w:r>
        <w:rPr>
          <w:rFonts w:ascii="Arial" w:hAnsi="Arial" w:eastAsia="Hiragino Sans GB"/>
          <w:b w:val="0"/>
          <w:color w:val="596573"/>
          <w:sz w:val="18"/>
        </w:rPr>
        <w:br/>
        <w:t>动态页面价格未取得。</w:t>
      </w:r>
    </w:p>
    <w:p>
      <w:pPr>
        <w:spacing w:after="100" w:line="269" w:lineRule="auto"/>
      </w:pPr>
      <w:r>
        <w:rPr>
          <w:rFonts w:ascii="Arial" w:hAnsi="Arial" w:eastAsia="Hiragino Sans GB"/>
          <w:b/>
          <w:color w:val="111111"/>
          <w:sz w:val="19"/>
        </w:rPr>
        <w:t xml:space="preserve">S58　</w:t>
      </w:r>
      <w:hyperlink r:id="rId68">
        <w:r>
          <w:rPr>
            <w:color w:val="254E76"/>
            <w:sz w:val="19"/>
            <w:rFonts w:ascii="Arial" w:eastAsia="Hiragino Sans GB"/>
          </w:rPr>
          <w:t>碧山旅行</w:t>
        </w:r>
      </w:hyperlink>
      <w:r>
        <w:rPr>
          <w:rFonts w:ascii="Arial" w:hAnsi="Arial" w:eastAsia="Hiragino Sans GB"/>
          <w:b w:val="0"/>
          <w:color w:val="596573"/>
          <w:sz w:val="18"/>
        </w:rPr>
        <w:br/>
        <w:t>碧山旅行　|　采集时　|　机构自述</w:t>
      </w:r>
      <w:r>
        <w:rPr>
          <w:rFonts w:ascii="Arial" w:hAnsi="Arial" w:eastAsia="Hiragino Sans GB"/>
          <w:b w:val="0"/>
          <w:color w:val="596573"/>
          <w:sz w:val="18"/>
        </w:rPr>
        <w:br/>
        <w:t>WildChina与碧山同品牌体系，不重复计算独立机构。</w:t>
      </w:r>
    </w:p>
    <w:p>
      <w:pPr>
        <w:spacing w:after="100" w:line="269" w:lineRule="auto"/>
      </w:pPr>
      <w:r>
        <w:rPr>
          <w:rFonts w:ascii="Arial" w:hAnsi="Arial" w:eastAsia="Hiragino Sans GB"/>
          <w:b/>
          <w:color w:val="111111"/>
          <w:sz w:val="19"/>
        </w:rPr>
        <w:t xml:space="preserve">S59　</w:t>
      </w:r>
      <w:hyperlink r:id="rId69">
        <w:r>
          <w:rPr>
            <w:color w:val="254E76"/>
            <w:sz w:val="19"/>
            <w:rFonts w:ascii="Arial" w:eastAsia="Hiragino Sans GB"/>
          </w:rPr>
          <w:t>德迈国际旅行</w:t>
        </w:r>
      </w:hyperlink>
      <w:r>
        <w:rPr>
          <w:rFonts w:ascii="Arial" w:hAnsi="Arial" w:eastAsia="Hiragino Sans GB"/>
          <w:b w:val="0"/>
          <w:color w:val="596573"/>
          <w:sz w:val="18"/>
        </w:rPr>
        <w:br/>
        <w:t>德迈　|　采集时　|　机构自述</w:t>
      </w:r>
      <w:r>
        <w:rPr>
          <w:rFonts w:ascii="Arial" w:hAnsi="Arial" w:eastAsia="Hiragino Sans GB"/>
          <w:b w:val="0"/>
          <w:color w:val="596573"/>
          <w:sz w:val="18"/>
        </w:rPr>
        <w:br/>
        <w:t>具体报价与人数未公开核实。</w:t>
      </w:r>
    </w:p>
    <w:p>
      <w:pPr>
        <w:spacing w:after="100" w:line="269" w:lineRule="auto"/>
      </w:pPr>
      <w:r>
        <w:rPr>
          <w:rFonts w:ascii="Arial" w:hAnsi="Arial" w:eastAsia="Hiragino Sans GB"/>
          <w:b/>
          <w:color w:val="111111"/>
          <w:sz w:val="19"/>
        </w:rPr>
        <w:t xml:space="preserve">S60　</w:t>
      </w:r>
      <w:hyperlink r:id="rId70">
        <w:r>
          <w:rPr>
            <w:color w:val="254E76"/>
            <w:sz w:val="19"/>
            <w:rFonts w:ascii="Arial" w:eastAsia="Hiragino Sans GB"/>
          </w:rPr>
          <w:t>赞那度</w:t>
        </w:r>
      </w:hyperlink>
      <w:r>
        <w:rPr>
          <w:rFonts w:ascii="Arial" w:hAnsi="Arial" w:eastAsia="Hiragino Sans GB"/>
          <w:b w:val="0"/>
          <w:color w:val="596573"/>
          <w:sz w:val="18"/>
        </w:rPr>
        <w:br/>
        <w:t>赞那度　|　采集时　|　机构自述</w:t>
      </w:r>
      <w:r>
        <w:rPr>
          <w:rFonts w:ascii="Arial" w:hAnsi="Arial" w:eastAsia="Hiragino Sans GB"/>
          <w:b w:val="0"/>
          <w:color w:val="596573"/>
          <w:sz w:val="18"/>
        </w:rPr>
        <w:br/>
        <w:t>索引可读，部分动态和访问受限。</w:t>
      </w:r>
    </w:p>
    <w:p>
      <w:pPr>
        <w:spacing w:after="100" w:line="269" w:lineRule="auto"/>
      </w:pPr>
      <w:r>
        <w:rPr>
          <w:rFonts w:ascii="Arial" w:hAnsi="Arial" w:eastAsia="Hiragino Sans GB"/>
          <w:b/>
          <w:color w:val="111111"/>
          <w:sz w:val="19"/>
        </w:rPr>
        <w:t xml:space="preserve">S61　</w:t>
      </w:r>
      <w:hyperlink r:id="rId71">
        <w:r>
          <w:rPr>
            <w:color w:val="254E76"/>
            <w:sz w:val="19"/>
            <w:rFonts w:ascii="Arial" w:eastAsia="Hiragino Sans GB"/>
          </w:rPr>
          <w:t>无二之旅介绍</w:t>
        </w:r>
      </w:hyperlink>
      <w:r>
        <w:rPr>
          <w:rFonts w:ascii="Arial" w:hAnsi="Arial" w:eastAsia="Hiragino Sans GB"/>
          <w:b w:val="0"/>
          <w:color w:val="596573"/>
          <w:sz w:val="18"/>
        </w:rPr>
        <w:br/>
        <w:t>无二之旅　|　采集时　|　机构自述</w:t>
      </w:r>
      <w:r>
        <w:rPr>
          <w:rFonts w:ascii="Arial" w:hAnsi="Arial" w:eastAsia="Hiragino Sans GB"/>
          <w:b w:val="0"/>
          <w:color w:val="596573"/>
          <w:sz w:val="18"/>
        </w:rPr>
        <w:br/>
        <w:t>不预设都是高净值客户。</w:t>
      </w:r>
    </w:p>
    <w:p>
      <w:pPr>
        <w:spacing w:after="100" w:line="269" w:lineRule="auto"/>
      </w:pPr>
      <w:r>
        <w:rPr>
          <w:rFonts w:ascii="Arial" w:hAnsi="Arial" w:eastAsia="Hiragino Sans GB"/>
          <w:b/>
          <w:color w:val="111111"/>
          <w:sz w:val="19"/>
        </w:rPr>
        <w:t xml:space="preserve">S62　</w:t>
      </w:r>
      <w:hyperlink r:id="rId72">
        <w:r>
          <w:rPr>
            <w:color w:val="254E76"/>
            <w:sz w:val="19"/>
            <w:rFonts w:ascii="Arial" w:eastAsia="Hiragino Sans GB"/>
          </w:rPr>
          <w:t>佰悦会</w:t>
        </w:r>
      </w:hyperlink>
      <w:r>
        <w:rPr>
          <w:rFonts w:ascii="Arial" w:hAnsi="Arial" w:eastAsia="Hiragino Sans GB"/>
          <w:b w:val="0"/>
          <w:color w:val="596573"/>
          <w:sz w:val="18"/>
        </w:rPr>
        <w:br/>
        <w:t>佰悦会　|　采集时　|　机构自述</w:t>
      </w:r>
      <w:r>
        <w:rPr>
          <w:rFonts w:ascii="Arial" w:hAnsi="Arial" w:eastAsia="Hiragino Sans GB"/>
          <w:b w:val="0"/>
          <w:color w:val="596573"/>
          <w:sz w:val="18"/>
        </w:rPr>
        <w:br/>
        <w:t>100.travel与baitravel同品牌，只计一次。</w:t>
      </w:r>
    </w:p>
    <w:p>
      <w:pPr>
        <w:spacing w:after="100" w:line="269" w:lineRule="auto"/>
      </w:pPr>
      <w:r>
        <w:rPr>
          <w:rFonts w:ascii="Arial" w:hAnsi="Arial" w:eastAsia="Hiragino Sans GB"/>
          <w:b/>
          <w:color w:val="111111"/>
          <w:sz w:val="19"/>
        </w:rPr>
        <w:t xml:space="preserve">S63　</w:t>
      </w:r>
      <w:hyperlink r:id="rId73">
        <w:r>
          <w:rPr>
            <w:color w:val="254E76"/>
            <w:sz w:val="19"/>
            <w:rFonts w:ascii="Arial" w:eastAsia="Hiragino Sans GB"/>
          </w:rPr>
          <w:t>八大洲旅游</w:t>
        </w:r>
      </w:hyperlink>
      <w:r>
        <w:rPr>
          <w:rFonts w:ascii="Arial" w:hAnsi="Arial" w:eastAsia="Hiragino Sans GB"/>
          <w:b w:val="0"/>
          <w:color w:val="596573"/>
          <w:sz w:val="18"/>
        </w:rPr>
        <w:br/>
        <w:t>八大洲旅游　|　采集时　|　机构自述</w:t>
      </w:r>
      <w:r>
        <w:rPr>
          <w:rFonts w:ascii="Arial" w:hAnsi="Arial" w:eastAsia="Hiragino Sans GB"/>
          <w:b w:val="0"/>
          <w:color w:val="596573"/>
          <w:sz w:val="18"/>
        </w:rPr>
        <w:br/>
        <w:t>未取得客户及留存。</w:t>
      </w:r>
    </w:p>
    <w:p>
      <w:pPr>
        <w:spacing w:after="100" w:line="269" w:lineRule="auto"/>
      </w:pPr>
      <w:r>
        <w:rPr>
          <w:rFonts w:ascii="Arial" w:hAnsi="Arial" w:eastAsia="Hiragino Sans GB"/>
          <w:b/>
          <w:color w:val="111111"/>
          <w:sz w:val="19"/>
        </w:rPr>
        <w:t xml:space="preserve">S64　</w:t>
      </w:r>
      <w:hyperlink r:id="rId74">
        <w:r>
          <w:rPr>
            <w:color w:val="254E76"/>
            <w:sz w:val="19"/>
            <w:rFonts w:ascii="Arial" w:eastAsia="Hiragino Sans GB"/>
          </w:rPr>
          <w:t>松赞</w:t>
        </w:r>
      </w:hyperlink>
      <w:r>
        <w:rPr>
          <w:rFonts w:ascii="Arial" w:hAnsi="Arial" w:eastAsia="Hiragino Sans GB"/>
          <w:b w:val="0"/>
          <w:color w:val="596573"/>
          <w:sz w:val="18"/>
        </w:rPr>
        <w:br/>
        <w:t>松赞　|　采集时　|　机构自述</w:t>
      </w:r>
      <w:r>
        <w:rPr>
          <w:rFonts w:ascii="Arial" w:hAnsi="Arial" w:eastAsia="Hiragino Sans GB"/>
          <w:b w:val="0"/>
          <w:color w:val="596573"/>
          <w:sz w:val="18"/>
        </w:rPr>
        <w:br/>
        <w:t>住客不等于付费社交会员。</w:t>
      </w:r>
    </w:p>
    <w:p>
      <w:pPr>
        <w:spacing w:after="100" w:line="269" w:lineRule="auto"/>
      </w:pPr>
      <w:r>
        <w:rPr>
          <w:rFonts w:ascii="Arial" w:hAnsi="Arial" w:eastAsia="Hiragino Sans GB"/>
          <w:b/>
          <w:color w:val="111111"/>
          <w:sz w:val="19"/>
        </w:rPr>
        <w:t xml:space="preserve">S65　</w:t>
      </w:r>
      <w:hyperlink r:id="rId75">
        <w:r>
          <w:rPr>
            <w:color w:val="254E76"/>
            <w:sz w:val="19"/>
            <w:rFonts w:ascii="Arial" w:eastAsia="Hiragino Sans GB"/>
          </w:rPr>
          <w:t>Club Med中国</w:t>
        </w:r>
      </w:hyperlink>
      <w:r>
        <w:rPr>
          <w:rFonts w:ascii="Arial" w:hAnsi="Arial" w:eastAsia="Hiragino Sans GB"/>
          <w:b w:val="0"/>
          <w:color w:val="596573"/>
          <w:sz w:val="18"/>
        </w:rPr>
        <w:br/>
        <w:t>Club Med　|　采集时　|　机构自述</w:t>
      </w:r>
      <w:r>
        <w:rPr>
          <w:rFonts w:ascii="Arial" w:hAnsi="Arial" w:eastAsia="Hiragino Sans GB"/>
          <w:b w:val="0"/>
          <w:color w:val="596573"/>
          <w:sz w:val="18"/>
        </w:rPr>
        <w:br/>
        <w:t>积分会员不同于收费社交会籍。</w:t>
      </w:r>
    </w:p>
    <w:p>
      <w:pPr>
        <w:spacing w:after="100" w:line="269" w:lineRule="auto"/>
      </w:pPr>
      <w:r>
        <w:rPr>
          <w:rFonts w:ascii="Arial" w:hAnsi="Arial" w:eastAsia="Hiragino Sans GB"/>
          <w:b/>
          <w:color w:val="111111"/>
          <w:sz w:val="19"/>
        </w:rPr>
        <w:t xml:space="preserve">S66　</w:t>
      </w:r>
      <w:hyperlink r:id="rId76">
        <w:r>
          <w:rPr>
            <w:color w:val="254E76"/>
            <w:sz w:val="19"/>
            <w:rFonts w:ascii="Arial" w:eastAsia="Hiragino Sans GB"/>
          </w:rPr>
          <w:t>野去自然旅行</w:t>
        </w:r>
      </w:hyperlink>
      <w:r>
        <w:rPr>
          <w:rFonts w:ascii="Arial" w:hAnsi="Arial" w:eastAsia="Hiragino Sans GB"/>
          <w:b w:val="0"/>
          <w:color w:val="596573"/>
          <w:sz w:val="18"/>
        </w:rPr>
        <w:br/>
        <w:t>野去　|　页面含2021历史资讯　|　机构自述</w:t>
      </w:r>
      <w:r>
        <w:rPr>
          <w:rFonts w:ascii="Arial" w:hAnsi="Arial" w:eastAsia="Hiragino Sans GB"/>
          <w:b w:val="0"/>
          <w:color w:val="596573"/>
          <w:sz w:val="18"/>
        </w:rPr>
        <w:br/>
        <w:t>展示人数缺少时间与定义，不用于当前规模。</w:t>
      </w:r>
    </w:p>
    <w:p>
      <w:pPr>
        <w:spacing w:after="100" w:line="269" w:lineRule="auto"/>
      </w:pPr>
      <w:r>
        <w:rPr>
          <w:rFonts w:ascii="Arial" w:hAnsi="Arial" w:eastAsia="Hiragino Sans GB"/>
          <w:b/>
          <w:color w:val="111111"/>
          <w:sz w:val="19"/>
        </w:rPr>
        <w:t xml:space="preserve">S67　</w:t>
      </w:r>
      <w:hyperlink r:id="rId77">
        <w:r>
          <w:rPr>
            <w:color w:val="254E76"/>
            <w:sz w:val="19"/>
            <w:rFonts w:ascii="Arial" w:eastAsia="Hiragino Sans GB"/>
          </w:rPr>
          <w:t>我主良缘机构介绍</w:t>
        </w:r>
      </w:hyperlink>
      <w:r>
        <w:rPr>
          <w:rFonts w:ascii="Arial" w:hAnsi="Arial" w:eastAsia="Hiragino Sans GB"/>
          <w:b w:val="0"/>
          <w:color w:val="596573"/>
          <w:sz w:val="18"/>
        </w:rPr>
        <w:br/>
        <w:t>我主良缘　|　页面未标　|　机构自述</w:t>
      </w:r>
      <w:r>
        <w:rPr>
          <w:rFonts w:ascii="Arial" w:hAnsi="Arial" w:eastAsia="Hiragino Sans GB"/>
          <w:b w:val="0"/>
          <w:color w:val="596573"/>
          <w:sz w:val="18"/>
        </w:rPr>
        <w:br/>
        <w:t>门店数量时点不明；无付费客户或续费数据。</w:t>
      </w:r>
    </w:p>
    <w:p>
      <w:pPr>
        <w:spacing w:after="100" w:line="269" w:lineRule="auto"/>
      </w:pPr>
      <w:r>
        <w:rPr>
          <w:rFonts w:ascii="Arial" w:hAnsi="Arial" w:eastAsia="Hiragino Sans GB"/>
          <w:b/>
          <w:color w:val="111111"/>
          <w:sz w:val="19"/>
        </w:rPr>
        <w:t xml:space="preserve">S68　</w:t>
      </w:r>
      <w:hyperlink r:id="rId78">
        <w:r>
          <w:rPr>
            <w:color w:val="254E76"/>
            <w:sz w:val="19"/>
            <w:rFonts w:ascii="Arial" w:eastAsia="Hiragino Sans GB"/>
          </w:rPr>
          <w:t>珍爱网</w:t>
        </w:r>
      </w:hyperlink>
      <w:r>
        <w:rPr>
          <w:rFonts w:ascii="Arial" w:hAnsi="Arial" w:eastAsia="Hiragino Sans GB"/>
          <w:b w:val="0"/>
          <w:color w:val="596573"/>
          <w:sz w:val="18"/>
        </w:rPr>
        <w:br/>
        <w:t>珍爱网　|　采集时　|　机构自述</w:t>
      </w:r>
      <w:r>
        <w:rPr>
          <w:rFonts w:ascii="Arial" w:hAnsi="Arial" w:eastAsia="Hiragino Sans GB"/>
          <w:b w:val="0"/>
          <w:color w:val="596573"/>
          <w:sz w:val="18"/>
        </w:rPr>
        <w:br/>
        <w:t>当前线下套餐价未公开核实。</w:t>
      </w:r>
    </w:p>
    <w:p>
      <w:pPr>
        <w:spacing w:after="100" w:line="269" w:lineRule="auto"/>
      </w:pPr>
      <w:r>
        <w:rPr>
          <w:rFonts w:ascii="Arial" w:hAnsi="Arial" w:eastAsia="Hiragino Sans GB"/>
          <w:b/>
          <w:color w:val="111111"/>
          <w:sz w:val="19"/>
        </w:rPr>
        <w:t xml:space="preserve">S69　</w:t>
      </w:r>
      <w:hyperlink r:id="rId79">
        <w:r>
          <w:rPr>
            <w:color w:val="254E76"/>
            <w:sz w:val="19"/>
            <w:rFonts w:ascii="Arial" w:eastAsia="Hiragino Sans GB"/>
          </w:rPr>
          <w:t>世纪佳缘登录</w:t>
        </w:r>
      </w:hyperlink>
      <w:r>
        <w:rPr>
          <w:rFonts w:ascii="Arial" w:hAnsi="Arial" w:eastAsia="Hiragino Sans GB"/>
          <w:b w:val="0"/>
          <w:color w:val="596573"/>
          <w:sz w:val="18"/>
        </w:rPr>
        <w:br/>
        <w:t>世纪佳缘　|　采集时　|　机构自述</w:t>
      </w:r>
      <w:r>
        <w:rPr>
          <w:rFonts w:ascii="Arial" w:hAnsi="Arial" w:eastAsia="Hiragino Sans GB"/>
          <w:b w:val="0"/>
          <w:color w:val="596573"/>
          <w:sz w:val="18"/>
        </w:rPr>
        <w:br/>
        <w:t>百合与佳缘属于同集团线索，地图合并列示；不以注册页推断经营健康。</w:t>
      </w:r>
    </w:p>
    <w:p>
      <w:pPr>
        <w:spacing w:after="100" w:line="269" w:lineRule="auto"/>
      </w:pPr>
      <w:r>
        <w:rPr>
          <w:rFonts w:ascii="Arial" w:hAnsi="Arial" w:eastAsia="Hiragino Sans GB"/>
          <w:b/>
          <w:color w:val="111111"/>
          <w:sz w:val="19"/>
        </w:rPr>
        <w:t xml:space="preserve">S70　</w:t>
      </w:r>
      <w:hyperlink r:id="rId80">
        <w:r>
          <w:rPr>
            <w:color w:val="254E76"/>
            <w:sz w:val="19"/>
            <w:rFonts w:ascii="Arial" w:eastAsia="Hiragino Sans GB"/>
          </w:rPr>
          <w:t>MarryU官方产品介绍</w:t>
        </w:r>
      </w:hyperlink>
      <w:r>
        <w:rPr>
          <w:rFonts w:ascii="Arial" w:hAnsi="Arial" w:eastAsia="Hiragino Sans GB"/>
          <w:b w:val="0"/>
          <w:color w:val="596573"/>
          <w:sz w:val="18"/>
        </w:rPr>
        <w:br/>
        <w:t>MarryU　|　页面含2018资料　|　机构自述</w:t>
      </w:r>
      <w:r>
        <w:rPr>
          <w:rFonts w:ascii="Arial" w:hAnsi="Arial" w:eastAsia="Hiragino Sans GB"/>
          <w:b w:val="0"/>
          <w:color w:val="596573"/>
          <w:sz w:val="18"/>
        </w:rPr>
        <w:br/>
        <w:t>累计用户滚动数字不可视为活跃，门店是历史描述。</w:t>
      </w:r>
    </w:p>
    <w:p>
      <w:pPr>
        <w:spacing w:after="100" w:line="269" w:lineRule="auto"/>
      </w:pPr>
      <w:r>
        <w:rPr>
          <w:rFonts w:ascii="Arial" w:hAnsi="Arial" w:eastAsia="Hiragino Sans GB"/>
          <w:b/>
          <w:color w:val="111111"/>
          <w:sz w:val="19"/>
        </w:rPr>
        <w:t xml:space="preserve">S71　</w:t>
      </w:r>
      <w:hyperlink r:id="rId81">
        <w:r>
          <w:rPr>
            <w:color w:val="254E76"/>
            <w:sz w:val="19"/>
            <w:rFonts w:ascii="Arial" w:eastAsia="Hiragino Sans GB"/>
          </w:rPr>
          <w:t>网易花田上线报道</w:t>
        </w:r>
      </w:hyperlink>
      <w:r>
        <w:rPr>
          <w:rFonts w:ascii="Arial" w:hAnsi="Arial" w:eastAsia="Hiragino Sans GB"/>
          <w:b w:val="0"/>
          <w:color w:val="596573"/>
          <w:sz w:val="18"/>
        </w:rPr>
        <w:br/>
        <w:t>中国广播网　|　2012　|　历史媒体采访</w:t>
      </w:r>
      <w:r>
        <w:rPr>
          <w:rFonts w:ascii="Arial" w:hAnsi="Arial" w:eastAsia="Hiragino Sans GB"/>
          <w:b w:val="0"/>
          <w:color w:val="596573"/>
          <w:sz w:val="18"/>
        </w:rPr>
        <w:br/>
        <w:t>仅历史替代案例，不代表当前收费或经营状态。</w:t>
      </w:r>
    </w:p>
    <w:p>
      <w:pPr>
        <w:spacing w:after="100" w:line="269" w:lineRule="auto"/>
      </w:pPr>
      <w:r>
        <w:rPr>
          <w:rFonts w:ascii="Arial" w:hAnsi="Arial" w:eastAsia="Hiragino Sans GB"/>
          <w:b/>
          <w:color w:val="111111"/>
          <w:sz w:val="19"/>
        </w:rPr>
        <w:t xml:space="preserve">S72　</w:t>
      </w:r>
      <w:hyperlink r:id="rId82">
        <w:r>
          <w:rPr>
            <w:color w:val="254E76"/>
            <w:sz w:val="19"/>
            <w:rFonts w:ascii="Arial" w:eastAsia="Hiragino Sans GB"/>
          </w:rPr>
          <w:t>Soul官方产品</w:t>
        </w:r>
      </w:hyperlink>
      <w:r>
        <w:rPr>
          <w:rFonts w:ascii="Arial" w:hAnsi="Arial" w:eastAsia="Hiragino Sans GB"/>
          <w:b w:val="0"/>
          <w:color w:val="596573"/>
          <w:sz w:val="18"/>
        </w:rPr>
        <w:br/>
        <w:t>Soul　|　采集时　|　机构自述</w:t>
      </w:r>
      <w:r>
        <w:rPr>
          <w:rFonts w:ascii="Arial" w:hAnsi="Arial" w:eastAsia="Hiragino Sans GB"/>
          <w:b w:val="0"/>
          <w:color w:val="596573"/>
          <w:sz w:val="18"/>
        </w:rPr>
        <w:br/>
        <w:t>大众线上替代，不等于高端客户。</w:t>
      </w:r>
    </w:p>
    <w:p>
      <w:pPr>
        <w:spacing w:after="100" w:line="269" w:lineRule="auto"/>
      </w:pPr>
      <w:r>
        <w:rPr>
          <w:rFonts w:ascii="Arial" w:hAnsi="Arial" w:eastAsia="Hiragino Sans GB"/>
          <w:b/>
          <w:color w:val="111111"/>
          <w:sz w:val="19"/>
        </w:rPr>
        <w:t xml:space="preserve">S73　</w:t>
      </w:r>
      <w:hyperlink r:id="rId83">
        <w:r>
          <w:rPr>
            <w:color w:val="254E76"/>
            <w:sz w:val="19"/>
            <w:rFonts w:ascii="Arial" w:eastAsia="Hiragino Sans GB"/>
          </w:rPr>
          <w:t>上海美国商会项目</w:t>
        </w:r>
      </w:hyperlink>
      <w:r>
        <w:rPr>
          <w:rFonts w:ascii="Arial" w:hAnsi="Arial" w:eastAsia="Hiragino Sans GB"/>
          <w:b w:val="0"/>
          <w:color w:val="596573"/>
          <w:sz w:val="18"/>
        </w:rPr>
        <w:br/>
        <w:t>上海美国商会　|　采集时　|　组织自述</w:t>
      </w:r>
      <w:r>
        <w:rPr>
          <w:rFonts w:ascii="Arial" w:hAnsi="Arial" w:eastAsia="Hiragino Sans GB"/>
          <w:b w:val="0"/>
          <w:color w:val="596573"/>
          <w:sz w:val="18"/>
        </w:rPr>
        <w:br/>
        <w:t>组织型替代，非面向所有人的商业社交俱乐部。</w:t>
      </w:r>
    </w:p>
    <w:p>
      <w:pPr>
        <w:spacing w:after="100" w:line="269" w:lineRule="auto"/>
      </w:pPr>
      <w:r>
        <w:rPr>
          <w:rFonts w:ascii="Arial" w:hAnsi="Arial" w:eastAsia="Hiragino Sans GB"/>
          <w:b/>
          <w:color w:val="111111"/>
          <w:sz w:val="19"/>
        </w:rPr>
        <w:t xml:space="preserve">S74　</w:t>
      </w:r>
      <w:hyperlink r:id="rId84">
        <w:r>
          <w:rPr>
            <w:color w:val="254E76"/>
            <w:sz w:val="19"/>
            <w:rFonts w:ascii="Arial" w:eastAsia="Hiragino Sans GB"/>
          </w:rPr>
          <w:t>中国美国商会四川交流活动</w:t>
        </w:r>
      </w:hyperlink>
      <w:r>
        <w:rPr>
          <w:rFonts w:ascii="Arial" w:hAnsi="Arial" w:eastAsia="Hiragino Sans GB"/>
          <w:b w:val="0"/>
          <w:color w:val="596573"/>
          <w:sz w:val="18"/>
        </w:rPr>
        <w:br/>
        <w:t>中国美国商会　|　2026-06-25至26　|　组织活动标价</w:t>
      </w:r>
      <w:r>
        <w:rPr>
          <w:rFonts w:ascii="Arial" w:hAnsi="Arial" w:eastAsia="Hiragino Sans GB"/>
          <w:b w:val="0"/>
          <w:color w:val="596573"/>
          <w:sz w:val="18"/>
        </w:rPr>
        <w:br/>
        <w:t>含审批环节，活动地四川，不能当京沪深本地报价。</w:t>
      </w:r>
    </w:p>
    <w:p>
      <w:pPr>
        <w:spacing w:after="100" w:line="269" w:lineRule="auto"/>
      </w:pPr>
      <w:r>
        <w:rPr>
          <w:rFonts w:ascii="Arial" w:hAnsi="Arial" w:eastAsia="Hiragino Sans GB"/>
          <w:b/>
          <w:color w:val="111111"/>
          <w:sz w:val="19"/>
        </w:rPr>
        <w:t xml:space="preserve">S75　</w:t>
      </w:r>
      <w:hyperlink r:id="rId85">
        <w:r>
          <w:rPr>
            <w:color w:val="254E76"/>
            <w:sz w:val="19"/>
            <w:rFonts w:ascii="Arial" w:eastAsia="Hiragino Sans GB"/>
          </w:rPr>
          <w:t>个人信息保护法</w:t>
        </w:r>
      </w:hyperlink>
      <w:r>
        <w:rPr>
          <w:rFonts w:ascii="Arial" w:hAnsi="Arial" w:eastAsia="Hiragino Sans GB"/>
          <w:b w:val="0"/>
          <w:color w:val="596573"/>
          <w:sz w:val="18"/>
        </w:rPr>
        <w:br/>
        <w:t>工信部法律文本　|　2021法律　|　法律原文</w:t>
      </w:r>
      <w:r>
        <w:rPr>
          <w:rFonts w:ascii="Arial" w:hAnsi="Arial" w:eastAsia="Hiragino Sans GB"/>
          <w:b w:val="0"/>
          <w:color w:val="596573"/>
          <w:sz w:val="18"/>
        </w:rPr>
        <w:br/>
        <w:t>入会具体方案需结合数据与用途进一步审查。</w:t>
      </w:r>
    </w:p>
    <w:p>
      <w:pPr>
        <w:spacing w:after="100" w:line="269" w:lineRule="auto"/>
      </w:pPr>
      <w:r>
        <w:rPr>
          <w:rFonts w:ascii="Arial" w:hAnsi="Arial" w:eastAsia="Hiragino Sans GB"/>
          <w:b/>
          <w:color w:val="111111"/>
          <w:sz w:val="19"/>
        </w:rPr>
        <w:t xml:space="preserve">S76　</w:t>
      </w:r>
      <w:hyperlink r:id="rId86">
        <w:r>
          <w:rPr>
            <w:color w:val="254E76"/>
            <w:sz w:val="19"/>
            <w:rFonts w:ascii="Arial" w:eastAsia="Hiragino Sans GB"/>
          </w:rPr>
          <w:t>旅行社条例</w:t>
        </w:r>
      </w:hyperlink>
      <w:r>
        <w:rPr>
          <w:rFonts w:ascii="Arial" w:hAnsi="Arial" w:eastAsia="Hiragino Sans GB"/>
          <w:b w:val="0"/>
          <w:color w:val="596573"/>
          <w:sz w:val="18"/>
        </w:rPr>
        <w:br/>
        <w:t>市场监管总局法规文本　|　公开现行文本　|　法规原文</w:t>
      </w:r>
      <w:r>
        <w:rPr>
          <w:rFonts w:ascii="Arial" w:hAnsi="Arial" w:eastAsia="Hiragino Sans GB"/>
          <w:b w:val="0"/>
          <w:color w:val="596573"/>
          <w:sz w:val="18"/>
        </w:rPr>
        <w:br/>
        <w:t>具体许可范围和合作责任需按经营结构核实。</w:t>
      </w:r>
    </w:p>
    <w:p>
      <w:pPr>
        <w:spacing w:after="100" w:line="269" w:lineRule="auto"/>
      </w:pPr>
      <w:r>
        <w:rPr>
          <w:rFonts w:ascii="Arial" w:hAnsi="Arial" w:eastAsia="Hiragino Sans GB"/>
          <w:b/>
          <w:color w:val="111111"/>
          <w:sz w:val="19"/>
        </w:rPr>
        <w:t xml:space="preserve">S77　</w:t>
      </w:r>
      <w:hyperlink r:id="rId87">
        <w:r>
          <w:rPr>
            <w:color w:val="254E76"/>
            <w:sz w:val="19"/>
            <w:rFonts w:ascii="Arial" w:eastAsia="Hiragino Sans GB"/>
          </w:rPr>
          <w:t>市场研究与竞争分析</w:t>
        </w:r>
      </w:hyperlink>
      <w:r>
        <w:rPr>
          <w:rFonts w:ascii="Arial" w:hAnsi="Arial" w:eastAsia="Hiragino Sans GB"/>
          <w:b w:val="0"/>
          <w:color w:val="596573"/>
          <w:sz w:val="18"/>
        </w:rPr>
        <w:br/>
        <w:t>SBA　|　方法　|　方法指南</w:t>
      </w:r>
      <w:r>
        <w:rPr>
          <w:rFonts w:ascii="Arial" w:hAnsi="Arial" w:eastAsia="Hiragino Sans GB"/>
          <w:b w:val="0"/>
          <w:color w:val="596573"/>
          <w:sz w:val="18"/>
        </w:rPr>
        <w:br/>
        <w:t>方法参考，非中国行业数据。</w:t>
      </w:r>
    </w:p>
    <w:p>
      <w:pPr>
        <w:spacing w:after="100" w:line="269" w:lineRule="auto"/>
      </w:pPr>
      <w:r>
        <w:rPr>
          <w:rFonts w:ascii="Arial" w:hAnsi="Arial" w:eastAsia="Hiragino Sans GB"/>
          <w:b/>
          <w:color w:val="111111"/>
          <w:sz w:val="19"/>
        </w:rPr>
        <w:t xml:space="preserve">S78　</w:t>
      </w:r>
      <w:hyperlink r:id="rId88">
        <w:r>
          <w:rPr>
            <w:color w:val="254E76"/>
            <w:sz w:val="19"/>
            <w:rFonts w:ascii="Arial" w:eastAsia="Hiragino Sans GB"/>
          </w:rPr>
          <w:t>二手数据研究讨论文件</w:t>
        </w:r>
      </w:hyperlink>
      <w:r>
        <w:rPr>
          <w:rFonts w:ascii="Arial" w:hAnsi="Arial" w:eastAsia="Hiragino Sans GB"/>
          <w:b w:val="0"/>
          <w:color w:val="596573"/>
          <w:sz w:val="18"/>
        </w:rPr>
        <w:br/>
        <w:t>ESOMAR GRBN　|　2018　|　方法指南</w:t>
      </w:r>
      <w:r>
        <w:rPr>
          <w:rFonts w:ascii="Arial" w:hAnsi="Arial" w:eastAsia="Hiragino Sans GB"/>
          <w:b w:val="0"/>
          <w:color w:val="596573"/>
          <w:sz w:val="18"/>
        </w:rPr>
        <w:br/>
        <w:t>讨论文件，不作为中国监管标准。</w:t>
      </w:r>
    </w:p>
    <w:p>
      <w:pPr>
        <w:spacing w:after="100" w:line="269" w:lineRule="auto"/>
      </w:pPr>
      <w:r>
        <w:rPr>
          <w:rFonts w:ascii="Arial" w:hAnsi="Arial" w:eastAsia="Hiragino Sans GB"/>
          <w:b/>
          <w:color w:val="111111"/>
          <w:sz w:val="19"/>
        </w:rPr>
        <w:t xml:space="preserve">X01　</w:t>
      </w:r>
      <w:hyperlink r:id="rId89">
        <w:r>
          <w:rPr>
            <w:color w:val="254E76"/>
            <w:sz w:val="19"/>
            <w:rFonts w:ascii="Arial" w:eastAsia="Hiragino Sans GB"/>
          </w:rPr>
          <w:t>京城俱乐部小红书搜索观察</w:t>
        </w:r>
      </w:hyperlink>
      <w:r>
        <w:rPr>
          <w:rFonts w:ascii="Arial" w:hAnsi="Arial" w:eastAsia="Hiragino Sans GB"/>
          <w:b w:val="0"/>
          <w:color w:val="596573"/>
          <w:sz w:val="18"/>
        </w:rPr>
        <w:br/>
        <w:t>小红书公开搜索　|　采集2026-10-21　|　平台搜索观察</w:t>
      </w:r>
      <w:r>
        <w:rPr>
          <w:rFonts w:ascii="Arial" w:hAnsi="Arial" w:eastAsia="Hiragino Sans GB"/>
          <w:b w:val="0"/>
          <w:color w:val="596573"/>
          <w:sz w:val="18"/>
        </w:rPr>
        <w:br/>
        <w:t>搜索排序不代表全量，除个别记录外未逐篇阅读全文。</w:t>
      </w:r>
    </w:p>
    <w:p>
      <w:pPr>
        <w:spacing w:after="100" w:line="269" w:lineRule="auto"/>
      </w:pPr>
      <w:r>
        <w:rPr>
          <w:rFonts w:ascii="Arial" w:hAnsi="Arial" w:eastAsia="Hiragino Sans GB"/>
          <w:b/>
          <w:color w:val="111111"/>
          <w:sz w:val="19"/>
        </w:rPr>
        <w:t xml:space="preserve">X02　</w:t>
      </w:r>
      <w:hyperlink r:id="rId90">
        <w:r>
          <w:rPr>
            <w:color w:val="254E76"/>
            <w:sz w:val="19"/>
            <w:rFonts w:ascii="Arial" w:eastAsia="Hiragino Sans GB"/>
          </w:rPr>
          <w:t>伟事达小红书搜索观察</w:t>
        </w:r>
      </w:hyperlink>
      <w:r>
        <w:rPr>
          <w:rFonts w:ascii="Arial" w:hAnsi="Arial" w:eastAsia="Hiragino Sans GB"/>
          <w:b w:val="0"/>
          <w:color w:val="596573"/>
          <w:sz w:val="18"/>
        </w:rPr>
        <w:br/>
        <w:t>小红书公开搜索　|　采集2026-10-21　|　平台搜索观察</w:t>
      </w:r>
      <w:r>
        <w:rPr>
          <w:rFonts w:ascii="Arial" w:hAnsi="Arial" w:eastAsia="Hiragino Sans GB"/>
          <w:b w:val="0"/>
          <w:color w:val="596573"/>
          <w:sz w:val="18"/>
        </w:rPr>
        <w:br/>
        <w:t>含历史及相似名字，不能作为全量近期活跃。</w:t>
      </w:r>
    </w:p>
    <w:p>
      <w:pPr>
        <w:spacing w:after="100" w:line="269" w:lineRule="auto"/>
      </w:pPr>
      <w:r>
        <w:rPr>
          <w:rFonts w:ascii="Arial" w:hAnsi="Arial" w:eastAsia="Hiragino Sans GB"/>
          <w:b/>
          <w:color w:val="111111"/>
          <w:sz w:val="19"/>
        </w:rPr>
        <w:t xml:space="preserve">X03　</w:t>
      </w:r>
      <w:hyperlink r:id="rId91">
        <w:r>
          <w:rPr>
            <w:color w:val="254E76"/>
            <w:sz w:val="19"/>
            <w:rFonts w:ascii="Arial" w:eastAsia="Hiragino Sans GB"/>
          </w:rPr>
          <w:t>耀悦高端旅行账号公开页</w:t>
        </w:r>
      </w:hyperlink>
      <w:r>
        <w:rPr>
          <w:rFonts w:ascii="Arial" w:hAnsi="Arial" w:eastAsia="Hiragino Sans GB"/>
          <w:b w:val="0"/>
          <w:color w:val="596573"/>
          <w:sz w:val="18"/>
        </w:rPr>
        <w:br/>
        <w:t>小红书账号自述　|　采集2026-10-21　|　平台账号快照</w:t>
      </w:r>
      <w:r>
        <w:rPr>
          <w:rFonts w:ascii="Arial" w:hAnsi="Arial" w:eastAsia="Hiragino Sans GB"/>
          <w:b w:val="0"/>
          <w:color w:val="596573"/>
          <w:sz w:val="18"/>
        </w:rPr>
        <w:br/>
        <w:t>单一账号，非会员或客户；品牌认证主体未额外取得。</w:t>
      </w:r>
    </w:p>
    <w:p>
      <w:pPr>
        <w:spacing w:after="100" w:line="269" w:lineRule="auto"/>
      </w:pPr>
      <w:r>
        <w:rPr>
          <w:rFonts w:ascii="Arial" w:hAnsi="Arial" w:eastAsia="Hiragino Sans GB"/>
          <w:b/>
          <w:color w:val="111111"/>
          <w:sz w:val="19"/>
        </w:rPr>
        <w:t xml:space="preserve">X03-01　</w:t>
      </w:r>
      <w:hyperlink r:id="rId92">
        <w:r>
          <w:rPr>
            <w:color w:val="254E76"/>
            <w:sz w:val="19"/>
            <w:rFonts w:ascii="Arial" w:eastAsia="Hiragino Sans GB"/>
          </w:rPr>
          <w:t>春节出发，住顶奢营地，乘小飞机闯入非洲</w:t>
        </w:r>
      </w:hyperlink>
      <w:r>
        <w:rPr>
          <w:rFonts w:ascii="Arial" w:hAnsi="Arial" w:eastAsia="Hiragino Sans GB"/>
          <w:b w:val="0"/>
          <w:color w:val="596573"/>
          <w:sz w:val="18"/>
        </w:rPr>
        <w:br/>
        <w:t>耀悦高端旅行账号　|　1天前 北京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X03-02　</w:t>
      </w:r>
      <w:hyperlink r:id="rId93">
        <w:r>
          <w:rPr>
            <w:color w:val="254E76"/>
            <w:sz w:val="19"/>
            <w:rFonts w:ascii="Arial" w:eastAsia="Hiragino Sans GB"/>
          </w:rPr>
          <w:t>神奇秘境，在南澳州遇见海鲜牧场+浪漫粉湖</w:t>
        </w:r>
      </w:hyperlink>
      <w:r>
        <w:rPr>
          <w:rFonts w:ascii="Arial" w:hAnsi="Arial" w:eastAsia="Hiragino Sans GB"/>
          <w:b w:val="0"/>
          <w:color w:val="596573"/>
          <w:sz w:val="18"/>
        </w:rPr>
        <w:br/>
        <w:t>耀悦高端旅行账号　|　10-10 北京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X03-03　</w:t>
      </w:r>
      <w:hyperlink r:id="rId94">
        <w:r>
          <w:rPr>
            <w:color w:val="254E76"/>
            <w:sz w:val="19"/>
            <w:rFonts w:ascii="Arial" w:eastAsia="Hiragino Sans GB"/>
          </w:rPr>
          <w:t>一生必去的南极，如何选船？ 5条路线攻略</w:t>
        </w:r>
      </w:hyperlink>
      <w:r>
        <w:rPr>
          <w:rFonts w:ascii="Arial" w:hAnsi="Arial" w:eastAsia="Hiragino Sans GB"/>
          <w:b w:val="0"/>
          <w:color w:val="596573"/>
          <w:sz w:val="18"/>
        </w:rPr>
        <w:br/>
        <w:t>耀悦高端旅行账号　|　10-09 北京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X03-04　</w:t>
      </w:r>
      <w:hyperlink r:id="rId95">
        <w:r>
          <w:rPr>
            <w:color w:val="254E76"/>
            <w:sz w:val="19"/>
            <w:rFonts w:ascii="Arial" w:eastAsia="Hiragino Sans GB"/>
          </w:rPr>
          <w:t>首条冰岛定期航线开通，追寻蓝冰与极光</w:t>
        </w:r>
      </w:hyperlink>
      <w:r>
        <w:rPr>
          <w:rFonts w:ascii="Arial" w:hAnsi="Arial" w:eastAsia="Hiragino Sans GB"/>
          <w:b w:val="0"/>
          <w:color w:val="596573"/>
          <w:sz w:val="18"/>
        </w:rPr>
        <w:br/>
        <w:t>耀悦高端旅行账号　|　09-22 北京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X03-05　</w:t>
      </w:r>
      <w:hyperlink r:id="rId96">
        <w:r>
          <w:rPr>
            <w:color w:val="254E76"/>
            <w:sz w:val="19"/>
            <w:rFonts w:ascii="Arial" w:eastAsia="Hiragino Sans GB"/>
          </w:rPr>
          <w:t>走进秦岭科考，与一线守护者共赴国家公园</w:t>
        </w:r>
      </w:hyperlink>
      <w:r>
        <w:rPr>
          <w:rFonts w:ascii="Arial" w:hAnsi="Arial" w:eastAsia="Hiragino Sans GB"/>
          <w:b w:val="0"/>
          <w:color w:val="596573"/>
          <w:sz w:val="18"/>
        </w:rPr>
        <w:br/>
        <w:t>耀悦高端旅行账号　|　09-21 北京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X03-06　</w:t>
      </w:r>
      <w:hyperlink r:id="rId97">
        <w:r>
          <w:rPr>
            <w:color w:val="254E76"/>
            <w:sz w:val="19"/>
            <w:rFonts w:ascii="Arial" w:eastAsia="Hiragino Sans GB"/>
          </w:rPr>
          <w:t>秋日微醺，香港「美酒佳肴巡礼」专属礼遇</w:t>
        </w:r>
      </w:hyperlink>
      <w:r>
        <w:rPr>
          <w:rFonts w:ascii="Arial" w:hAnsi="Arial" w:eastAsia="Hiragino Sans GB"/>
          <w:b w:val="0"/>
          <w:color w:val="596573"/>
          <w:sz w:val="18"/>
        </w:rPr>
        <w:br/>
        <w:t>耀悦高端旅行账号　|　09-17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X03-07　</w:t>
      </w:r>
      <w:hyperlink r:id="rId98">
        <w:r>
          <w:rPr>
            <w:color w:val="254E76"/>
            <w:sz w:val="19"/>
            <w:rFonts w:ascii="Arial" w:eastAsia="Hiragino Sans GB"/>
          </w:rPr>
          <w:t>跟着一线巡护员去胖达保护区，探秘国家公园</w:t>
        </w:r>
      </w:hyperlink>
      <w:r>
        <w:rPr>
          <w:rFonts w:ascii="Arial" w:hAnsi="Arial" w:eastAsia="Hiragino Sans GB"/>
          <w:b w:val="0"/>
          <w:color w:val="596573"/>
          <w:sz w:val="18"/>
        </w:rPr>
        <w:br/>
        <w:t>耀悦高端旅行账号　|　09-16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X03-08　</w:t>
      </w:r>
      <w:hyperlink r:id="rId99">
        <w:r>
          <w:rPr>
            <w:color w:val="254E76"/>
            <w:sz w:val="19"/>
            <w:rFonts w:ascii="Arial" w:eastAsia="Hiragino Sans GB"/>
          </w:rPr>
          <w:t>丝路回响,探索中亚的极致风光与千年文明</w:t>
        </w:r>
      </w:hyperlink>
      <w:r>
        <w:rPr>
          <w:rFonts w:ascii="Arial" w:hAnsi="Arial" w:eastAsia="Hiragino Sans GB"/>
          <w:b w:val="0"/>
          <w:color w:val="596573"/>
          <w:sz w:val="18"/>
        </w:rPr>
        <w:br/>
        <w:t>耀悦高端旅行账号　|　09-15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X03-09　</w:t>
      </w:r>
      <w:hyperlink r:id="rId100">
        <w:r>
          <w:rPr>
            <w:color w:val="254E76"/>
            <w:sz w:val="19"/>
            <w:rFonts w:ascii="Arial" w:eastAsia="Hiragino Sans GB"/>
          </w:rPr>
          <w:t>在南澳州，住进堪比非洲草原的野奢营地</w:t>
        </w:r>
      </w:hyperlink>
      <w:r>
        <w:rPr>
          <w:rFonts w:ascii="Arial" w:hAnsi="Arial" w:eastAsia="Hiragino Sans GB"/>
          <w:b w:val="0"/>
          <w:color w:val="596573"/>
          <w:sz w:val="18"/>
        </w:rPr>
        <w:br/>
        <w:t>耀悦高端旅行账号　|　09-11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X03-10　</w:t>
      </w:r>
      <w:hyperlink r:id="rId101">
        <w:r>
          <w:rPr>
            <w:color w:val="254E76"/>
            <w:sz w:val="19"/>
            <w:rFonts w:ascii="Arial" w:eastAsia="Hiragino Sans GB"/>
          </w:rPr>
          <w:t>买2送1，畅游大溪地，奢华邮轮+机票！</w:t>
        </w:r>
      </w:hyperlink>
      <w:r>
        <w:rPr>
          <w:rFonts w:ascii="Arial" w:hAnsi="Arial" w:eastAsia="Hiragino Sans GB"/>
          <w:b w:val="0"/>
          <w:color w:val="596573"/>
          <w:sz w:val="18"/>
        </w:rPr>
        <w:br/>
        <w:t>耀悦高端旅行账号　|　编辑于 09-11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X03-11　</w:t>
      </w:r>
      <w:hyperlink r:id="rId102">
        <w:r>
          <w:rPr>
            <w:color w:val="254E76"/>
            <w:sz w:val="19"/>
            <w:rFonts w:ascii="Arial" w:eastAsia="Hiragino Sans GB"/>
          </w:rPr>
          <w:t>黄河三角洲科考,走进世界级候鸟迁徙保护区</w:t>
        </w:r>
      </w:hyperlink>
      <w:r>
        <w:rPr>
          <w:rFonts w:ascii="Arial" w:hAnsi="Arial" w:eastAsia="Hiragino Sans GB"/>
          <w:b w:val="0"/>
          <w:color w:val="596573"/>
          <w:sz w:val="18"/>
        </w:rPr>
        <w:br/>
        <w:t>耀悦高端旅行账号　|　09-04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X03-12　</w:t>
      </w:r>
      <w:hyperlink r:id="rId103">
        <w:r>
          <w:rPr>
            <w:color w:val="254E76"/>
            <w:sz w:val="19"/>
            <w:rFonts w:ascii="Arial" w:eastAsia="Hiragino Sans GB"/>
          </w:rPr>
          <w:t>从雨林到火山到，探索加勒比的小众目的地</w:t>
        </w:r>
      </w:hyperlink>
      <w:r>
        <w:rPr>
          <w:rFonts w:ascii="Arial" w:hAnsi="Arial" w:eastAsia="Hiragino Sans GB"/>
          <w:b w:val="0"/>
          <w:color w:val="596573"/>
          <w:sz w:val="18"/>
        </w:rPr>
        <w:br/>
        <w:t>耀悦高端旅行账号　|　09-01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X03-13　</w:t>
      </w:r>
      <w:hyperlink r:id="rId104">
        <w:r>
          <w:rPr>
            <w:color w:val="254E76"/>
            <w:sz w:val="19"/>
            <w:rFonts w:ascii="Arial" w:eastAsia="Hiragino Sans GB"/>
          </w:rPr>
          <w:t>这7条秋季路线，藏着华夏大地顶配级风景</w:t>
        </w:r>
      </w:hyperlink>
      <w:r>
        <w:rPr>
          <w:rFonts w:ascii="Arial" w:hAnsi="Arial" w:eastAsia="Hiragino Sans GB"/>
          <w:b w:val="0"/>
          <w:color w:val="596573"/>
          <w:sz w:val="18"/>
        </w:rPr>
        <w:br/>
        <w:t>耀悦高端旅行账号　|　08-26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X03-14　</w:t>
      </w:r>
      <w:hyperlink r:id="rId105">
        <w:r>
          <w:rPr>
            <w:color w:val="254E76"/>
            <w:sz w:val="19"/>
            <w:rFonts w:ascii="Arial" w:eastAsia="Hiragino Sans GB"/>
          </w:rPr>
          <w:t>请3天休13天！这个悠长假期交给奢华邮轮</w:t>
        </w:r>
      </w:hyperlink>
      <w:r>
        <w:rPr>
          <w:rFonts w:ascii="Arial" w:hAnsi="Arial" w:eastAsia="Hiragino Sans GB"/>
          <w:b w:val="0"/>
          <w:color w:val="596573"/>
          <w:sz w:val="18"/>
        </w:rPr>
        <w:br/>
        <w:t>耀悦高端旅行账号　|　08-24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X03-15　</w:t>
      </w:r>
      <w:hyperlink r:id="rId106">
        <w:r>
          <w:rPr>
            <w:color w:val="254E76"/>
            <w:sz w:val="19"/>
            <w:rFonts w:ascii="Arial" w:eastAsia="Hiragino Sans GB"/>
          </w:rPr>
          <w:t>连休13天！奔赴南半球，与春天来场约会！</w:t>
        </w:r>
      </w:hyperlink>
      <w:r>
        <w:rPr>
          <w:rFonts w:ascii="Arial" w:hAnsi="Arial" w:eastAsia="Hiragino Sans GB"/>
          <w:b w:val="0"/>
          <w:color w:val="596573"/>
          <w:sz w:val="18"/>
        </w:rPr>
        <w:br/>
        <w:t>耀悦高端旅行账号　|　08-21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X03-16　</w:t>
      </w:r>
      <w:hyperlink r:id="rId107">
        <w:r>
          <w:rPr>
            <w:color w:val="254E76"/>
            <w:sz w:val="19"/>
            <w:rFonts w:ascii="Arial" w:eastAsia="Hiragino Sans GB"/>
          </w:rPr>
          <w:t>南澳大利亚，解锁澳洲的另一种打开方式</w:t>
        </w:r>
      </w:hyperlink>
      <w:r>
        <w:rPr>
          <w:rFonts w:ascii="Arial" w:hAnsi="Arial" w:eastAsia="Hiragino Sans GB"/>
          <w:b w:val="0"/>
          <w:color w:val="596573"/>
          <w:sz w:val="18"/>
        </w:rPr>
        <w:br/>
        <w:t>耀悦高端旅行账号　|　08-21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X03-17　</w:t>
      </w:r>
      <w:hyperlink r:id="rId108">
        <w:r>
          <w:rPr>
            <w:color w:val="254E76"/>
            <w:sz w:val="19"/>
            <w:rFonts w:ascii="Arial" w:eastAsia="Hiragino Sans GB"/>
          </w:rPr>
          <w:t>6折早鸟特惠，全新长江探索号2027航线</w:t>
        </w:r>
      </w:hyperlink>
      <w:r>
        <w:rPr>
          <w:rFonts w:ascii="Arial" w:hAnsi="Arial" w:eastAsia="Hiragino Sans GB"/>
          <w:b w:val="0"/>
          <w:color w:val="596573"/>
          <w:sz w:val="18"/>
        </w:rPr>
        <w:br/>
        <w:t>耀悦高端旅行账号　|　08-19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X03-18　</w:t>
      </w:r>
      <w:hyperlink r:id="rId109">
        <w:r>
          <w:rPr>
            <w:color w:val="254E76"/>
            <w:sz w:val="19"/>
            <w:rFonts w:ascii="Arial" w:eastAsia="Hiragino Sans GB"/>
          </w:rPr>
          <w:t>请3天休13天！北半球6条神仙旅行路线</w:t>
        </w:r>
      </w:hyperlink>
      <w:r>
        <w:rPr>
          <w:rFonts w:ascii="Arial" w:hAnsi="Arial" w:eastAsia="Hiragino Sans GB"/>
          <w:b w:val="0"/>
          <w:color w:val="596573"/>
          <w:sz w:val="18"/>
        </w:rPr>
        <w:br/>
        <w:t>耀悦高端旅行账号　|　08-14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X03-19　</w:t>
      </w:r>
      <w:hyperlink r:id="rId110">
        <w:r>
          <w:rPr>
            <w:color w:val="254E76"/>
            <w:sz w:val="19"/>
            <w:rFonts w:ascii="Arial" w:eastAsia="Hiragino Sans GB"/>
          </w:rPr>
          <w:t>立减3000，踏上豪华专列，畅游滇西秘境</w:t>
        </w:r>
      </w:hyperlink>
      <w:r>
        <w:rPr>
          <w:rFonts w:ascii="Arial" w:hAnsi="Arial" w:eastAsia="Hiragino Sans GB"/>
          <w:b w:val="0"/>
          <w:color w:val="596573"/>
          <w:sz w:val="18"/>
        </w:rPr>
        <w:br/>
        <w:t>耀悦高端旅行账号　|　编辑于 09-01　|　品牌内容自述</w:t>
      </w:r>
      <w:r>
        <w:rPr>
          <w:rFonts w:ascii="Arial" w:hAnsi="Arial" w:eastAsia="Hiragino Sans GB"/>
          <w:b w:val="0"/>
          <w:color w:val="596573"/>
          <w:sz w:val="18"/>
        </w:rPr>
        <w:br/>
        <w:t>内容与报价为自述，不等于成交；无完整费用清单及订单数据。</w:t>
      </w:r>
    </w:p>
    <w:p>
      <w:pPr>
        <w:spacing w:after="100" w:line="269" w:lineRule="auto"/>
      </w:pPr>
      <w:r>
        <w:rPr>
          <w:rFonts w:ascii="Arial" w:hAnsi="Arial" w:eastAsia="Hiragino Sans GB"/>
          <w:b/>
          <w:color w:val="111111"/>
          <w:sz w:val="19"/>
        </w:rPr>
        <w:t xml:space="preserve">X03-20　</w:t>
      </w:r>
      <w:hyperlink r:id="rId111">
        <w:r>
          <w:rPr>
            <w:color w:val="254E76"/>
            <w:sz w:val="19"/>
            <w:rFonts w:ascii="Arial" w:eastAsia="Hiragino Sans GB"/>
          </w:rPr>
          <w:t>仅4间房得Belmond豪华河轮，畅游左岸美景</w:t>
        </w:r>
      </w:hyperlink>
      <w:r>
        <w:rPr>
          <w:rFonts w:ascii="Arial" w:hAnsi="Arial" w:eastAsia="Hiragino Sans GB"/>
          <w:b w:val="0"/>
          <w:color w:val="596573"/>
          <w:sz w:val="18"/>
        </w:rPr>
        <w:br/>
        <w:t>耀悦高端旅行账号　|　编辑于 08-07　|　品牌内容自述</w:t>
      </w:r>
      <w:r>
        <w:rPr>
          <w:rFonts w:ascii="Arial" w:hAnsi="Arial" w:eastAsia="Hiragino Sans GB"/>
          <w:b w:val="0"/>
          <w:color w:val="596573"/>
          <w:sz w:val="18"/>
        </w:rPr>
        <w:br/>
        <w:t>内容与报价为自述，不等于成交；无完整费用清单及订单数据。</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Hiragino Sans GB"/>
        <w:b w:val="0"/>
        <w:color w:val="596573"/>
        <w:sz w:val="17"/>
      </w:rPr>
      <w:t xml:space="preserve">创业决策案头研究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Hiragino Sans GB"/>
        <w:b w:val="0"/>
        <w:color w:val="596573"/>
        <w:sz w:val="17"/>
      </w:rPr>
      <w:t>中国社交婚恋与高端会员服务市场研究　研究截止 2026年10月21日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Arial" w:hAnsi="Arial" w:eastAsia="Hiragino Sans GB"/>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eastAsia="Hiragino Sans GB"/>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Hiragino Sans GB"/>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nnic.net.cn/NMediaFile/2026/0304/MAIN1772588317069TUXN3827X8.pdf" TargetMode="External"/><Relationship Id="rId12" Type="http://schemas.openxmlformats.org/officeDocument/2006/relationships/hyperlink" Target="https://imgs-b2b.100ec.cn/detail--6658734.html" TargetMode="External"/><Relationship Id="rId13" Type="http://schemas.openxmlformats.org/officeDocument/2006/relationships/hyperlink" Target="https://www.iimedia.cn/c400/100883.html" TargetMode="External"/><Relationship Id="rId14" Type="http://schemas.openxmlformats.org/officeDocument/2006/relationships/hyperlink" Target="https://www.thepaper.cn/newsDetail_forward_34194239" TargetMode="External"/><Relationship Id="rId15" Type="http://schemas.openxmlformats.org/officeDocument/2006/relationships/hyperlink" Target="https://www.chinanews.com/gn/2025/07-30/10456428.shtml" TargetMode="External"/><Relationship Id="rId16" Type="http://schemas.openxmlformats.org/officeDocument/2006/relationships/hyperlink" Target="https://www.caoss.org.cn/UploadFile/pic/20229122301585532.pdf" TargetMode="External"/><Relationship Id="rId17" Type="http://schemas.openxmlformats.org/officeDocument/2006/relationships/hyperlink" Target="https://www.caoss.org.cn/upload/news/20240710/79f02d06dd1545f18ed1f9d6de28ccf0.pdf" TargetMode="External"/><Relationship Id="rId18" Type="http://schemas.openxmlformats.org/officeDocument/2006/relationships/hyperlink" Target="https://www.mca.gov.cn/n156/n2679/c1662004999980001204/attr/355717.pdf" TargetMode="External"/><Relationship Id="rId19" Type="http://schemas.openxmlformats.org/officeDocument/2006/relationships/hyperlink" Target="https://www.stats.gov.cn/sj/zxfb/202601/t20260119_1962321.html" TargetMode="External"/><Relationship Id="rId20" Type="http://schemas.openxmlformats.org/officeDocument/2006/relationships/hyperlink" Target="https://www.bain.com.cn/pdfs/202309051133339091.pdf" TargetMode="External"/><Relationship Id="rId21" Type="http://schemas.openxmlformats.org/officeDocument/2006/relationships/hyperlink" Target="https://www.hurun.net/zh-CN/Info/Detail?num=CSX6BTOMEWY4" TargetMode="External"/><Relationship Id="rId22" Type="http://schemas.openxmlformats.org/officeDocument/2006/relationships/hyperlink" Target="https://ir.hellogroup.com/news-releases/news-release-details/hello-group-inc-announces-unaudited-financial-results-fourth-3" TargetMode="External"/><Relationship Id="rId23" Type="http://schemas.openxmlformats.org/officeDocument/2006/relationships/hyperlink" Target="https://www.beijing.gov.cn/cs/gncs/zcwj/202603/t20260327_4568228.html" TargetMode="External"/><Relationship Id="rId24" Type="http://schemas.openxmlformats.org/officeDocument/2006/relationships/hyperlink" Target="https://tjj.beijing.gov.cn/tjsj_31433/sjjd_31444/202601/t20260121_4451962.html" TargetMode="External"/><Relationship Id="rId25" Type="http://schemas.openxmlformats.org/officeDocument/2006/relationships/hyperlink" Target="https://tjj.sh.gov.cn/tjgb/20260330/e0772941e8e041eaaad2df850b44ef98.html" TargetMode="External"/><Relationship Id="rId26" Type="http://schemas.openxmlformats.org/officeDocument/2006/relationships/hyperlink" Target="https://tjj.sz.gov.cn/zwgk/zfxxgkml/tjsj/tjgb/content/post_12803919.html" TargetMode="External"/><Relationship Id="rId27" Type="http://schemas.openxmlformats.org/officeDocument/2006/relationships/hyperlink" Target="https://zqb1.cyol.com/html/2023-06/01/nw.D110000zgqnb_20230601_2-10.htm" TargetMode="External"/><Relationship Id="rId28" Type="http://schemas.openxmlformats.org/officeDocument/2006/relationships/hyperlink" Target="https://www.xmtyj.org.cn/zh/article/doi/10.16604/j.cnki.issn2096-0360.2025.05.009/" TargetMode="External"/><Relationship Id="rId29" Type="http://schemas.openxmlformats.org/officeDocument/2006/relationships/hyperlink" Target="https://paper.people.com.cn/rmlt/html/2024-05/01/content_26070980.htm" TargetMode="External"/><Relationship Id="rId30" Type="http://schemas.openxmlformats.org/officeDocument/2006/relationships/hyperlink" Target="https://www.guangzhou315.com/html/web/diaochaticha/26247.html" TargetMode="External"/><Relationship Id="rId31" Type="http://schemas.openxmlformats.org/officeDocument/2006/relationships/hyperlink" Target="https://www.ah315.cn/display.asp?id=139071" TargetMode="External"/><Relationship Id="rId32" Type="http://schemas.openxmlformats.org/officeDocument/2006/relationships/hyperlink" Target="https://thecapitalclub.com/zh-hans/julebulishi/" TargetMode="External"/><Relationship Id="rId33" Type="http://schemas.openxmlformats.org/officeDocument/2006/relationships/hyperlink" Target="https://thecapitalclub.com/membership/" TargetMode="External"/><Relationship Id="rId34" Type="http://schemas.openxmlformats.org/officeDocument/2006/relationships/hyperlink" Target="https://thecapitalclub.com/clubactiveties/" TargetMode="External"/><Relationship Id="rId35" Type="http://schemas.openxmlformats.org/officeDocument/2006/relationships/hyperlink" Target="https://thecapitalclub.com/zh-hans/julebulishi/zhuozhuangyaoqiu/jingchengjulebuguizhangzhidu/" TargetMode="External"/><Relationship Id="rId36" Type="http://schemas.openxmlformats.org/officeDocument/2006/relationships/hyperlink" Target="https://www.sohu.com/a/986741574_121106842" TargetMode="External"/><Relationship Id="rId37" Type="http://schemas.openxmlformats.org/officeDocument/2006/relationships/hyperlink" Target="https://wvadc.org/news/" TargetMode="External"/><Relationship Id="rId38" Type="http://schemas.openxmlformats.org/officeDocument/2006/relationships/hyperlink" Target="https://www.oldchair.cn/wsdhy_jiage" TargetMode="External"/><Relationship Id="rId39" Type="http://schemas.openxmlformats.org/officeDocument/2006/relationships/hyperlink" Target="https://www.oldchair.com.cn/" TargetMode="External"/><Relationship Id="rId40" Type="http://schemas.openxmlformats.org/officeDocument/2006/relationships/hyperlink" Target="https://www.oldchair.com.cn/newsinfo/6793034.html" TargetMode="External"/><Relationship Id="rId41" Type="http://schemas.openxmlformats.org/officeDocument/2006/relationships/hyperlink" Target="https://www.oldchair.com.cn/newsinfo/11223526.html" TargetMode="External"/><Relationship Id="rId42" Type="http://schemas.openxmlformats.org/officeDocument/2006/relationships/hyperlink" Target="https://www.10100.com/article/151357444" TargetMode="External"/><Relationship Id="rId43" Type="http://schemas.openxmlformats.org/officeDocument/2006/relationships/hyperlink" Target="https://www.sparkletour.com/?from=websitedict.com" TargetMode="External"/><Relationship Id="rId44" Type="http://schemas.openxmlformats.org/officeDocument/2006/relationships/hyperlink" Target="https://m.sparkletour.com/" TargetMode="External"/><Relationship Id="rId45" Type="http://schemas.openxmlformats.org/officeDocument/2006/relationships/hyperlink" Target="https://www.sparkletour.com/customise/" TargetMode="External"/><Relationship Id="rId46" Type="http://schemas.openxmlformats.org/officeDocument/2006/relationships/hyperlink" Target="https://static.cninfo.com.cn/finalpage/2026-04-25/1225188439.PDF" TargetMode="External"/><Relationship Id="rId47" Type="http://schemas.openxmlformats.org/officeDocument/2006/relationships/hyperlink" Target="https://www.higherclub.cn/" TargetMode="External"/><Relationship Id="rId48" Type="http://schemas.openxmlformats.org/officeDocument/2006/relationships/hyperlink" Target="https://member.eonetwork.org/chinaeast/about-our-chapter/" TargetMode="External"/><Relationship Id="rId49" Type="http://schemas.openxmlformats.org/officeDocument/2006/relationships/hyperlink" Target="https://apps.apple.com/cn/app/&#27491;&#21644;&#23707;/id525751375" TargetMode="External"/><Relationship Id="rId50" Type="http://schemas.openxmlformats.org/officeDocument/2006/relationships/hyperlink" Target="https://www.socia.org/Member/user/Chamber.html" TargetMode="External"/><Relationship Id="rId51" Type="http://schemas.openxmlformats.org/officeDocument/2006/relationships/hyperlink" Target="https://amcham-shanghai.glueup.cn/event/2026-summer-youth-program-2-days-&#19978;&#28023;&#32654;&#22269;&#21830;&#20250;&#26257;&#26399;&#38738;&#23569;&#24180;&#39033;&#30446;-50062/" TargetMode="External"/><Relationship Id="rId52" Type="http://schemas.openxmlformats.org/officeDocument/2006/relationships/hyperlink" Target="https://cn.ceibs.edu/node/99" TargetMode="External"/><Relationship Id="rId53" Type="http://schemas.openxmlformats.org/officeDocument/2006/relationships/hyperlink" Target="https://www.ckgsb.com/emba/common_problems/" TargetMode="External"/><Relationship Id="rId54" Type="http://schemas.openxmlformats.org/officeDocument/2006/relationships/hyperlink" Target="https://emba.saif.sjtu.edu.cn/emba_mobile/content/show/236-887.html" TargetMode="External"/><Relationship Id="rId55" Type="http://schemas.openxmlformats.org/officeDocument/2006/relationships/hyperlink" Target="https://cob.sufe.edu.cn/websites/MBA/Admissions/EMBA-Financial-2026/index.html" TargetMode="External"/><Relationship Id="rId56" Type="http://schemas.openxmlformats.org/officeDocument/2006/relationships/hyperlink" Target="https://emba.pbcsf.tsinghua.edu.cn/index.htm" TargetMode="External"/><Relationship Id="rId57" Type="http://schemas.openxmlformats.org/officeDocument/2006/relationships/hyperlink" Target="https://edp.phbs.pku.edu.cn/" TargetMode="External"/><Relationship Id="rId58" Type="http://schemas.openxmlformats.org/officeDocument/2006/relationships/hyperlink" Target="https://www.shenshang.org/sgcc/about-sgcc" TargetMode="External"/><Relationship Id="rId59" Type="http://schemas.openxmlformats.org/officeDocument/2006/relationships/hyperlink" Target="https://www.cefco.cn/about/index.html" TargetMode="External"/><Relationship Id="rId60" Type="http://schemas.openxmlformats.org/officeDocument/2006/relationships/hyperlink" Target="https://ttobapi.hundun.cn/" TargetMode="External"/><Relationship Id="rId61" Type="http://schemas.openxmlformats.org/officeDocument/2006/relationships/hyperlink" Target="https://www.detion.com/about" TargetMode="External"/><Relationship Id="rId62" Type="http://schemas.openxmlformats.org/officeDocument/2006/relationships/hyperlink" Target="https://www.tpc.com.cn/membership" TargetMode="External"/><Relationship Id="rId63" Type="http://schemas.openxmlformats.org/officeDocument/2006/relationships/hyperlink" Target="https://www.beijingclubhouse.com/zh-CN/aboutus-thebeijingclubhouse.aspx" TargetMode="External"/><Relationship Id="rId64" Type="http://schemas.openxmlformats.org/officeDocument/2006/relationships/hyperlink" Target="https://www.meet-in-shanghai.net/cn/food/yongfu-club-882569/" TargetMode="External"/><Relationship Id="rId65" Type="http://schemas.openxmlformats.org/officeDocument/2006/relationships/hyperlink" Target="https://www.cntraveler.com/bars/shanghai/kee-club" TargetMode="External"/><Relationship Id="rId66" Type="http://schemas.openxmlformats.org/officeDocument/2006/relationships/hyperlink" Target="https://www.shanghaiwestend.com/" TargetMode="External"/><Relationship Id="rId67" Type="http://schemas.openxmlformats.org/officeDocument/2006/relationships/hyperlink" Target="https://www.hhtravel.com/" TargetMode="External"/><Relationship Id="rId68" Type="http://schemas.openxmlformats.org/officeDocument/2006/relationships/hyperlink" Target="https://www.beshan.com/" TargetMode="External"/><Relationship Id="rId69" Type="http://schemas.openxmlformats.org/officeDocument/2006/relationships/hyperlink" Target="https://www.itravellive.com/" TargetMode="External"/><Relationship Id="rId70" Type="http://schemas.openxmlformats.org/officeDocument/2006/relationships/hyperlink" Target="https://zanadu.com.cn/" TargetMode="External"/><Relationship Id="rId71" Type="http://schemas.openxmlformats.org/officeDocument/2006/relationships/hyperlink" Target="https://www.unikv.cn/about.html" TargetMode="External"/><Relationship Id="rId72" Type="http://schemas.openxmlformats.org/officeDocument/2006/relationships/hyperlink" Target="https://www.100.travel/" TargetMode="External"/><Relationship Id="rId73" Type="http://schemas.openxmlformats.org/officeDocument/2006/relationships/hyperlink" Target="https://www.badazhou.com/" TargetMode="External"/><Relationship Id="rId74" Type="http://schemas.openxmlformats.org/officeDocument/2006/relationships/hyperlink" Target="https://www.songtsam.com/" TargetMode="External"/><Relationship Id="rId75" Type="http://schemas.openxmlformats.org/officeDocument/2006/relationships/hyperlink" Target="https://www.clubmed.com.cn/" TargetMode="External"/><Relationship Id="rId76" Type="http://schemas.openxmlformats.org/officeDocument/2006/relationships/hyperlink" Target="https://www.yetravel.com/" TargetMode="External"/><Relationship Id="rId77" Type="http://schemas.openxmlformats.org/officeDocument/2006/relationships/hyperlink" Target="https://m.liangyuan.com/about.html" TargetMode="External"/><Relationship Id="rId78" Type="http://schemas.openxmlformats.org/officeDocument/2006/relationships/hyperlink" Target="https://www.zhenai.com/" TargetMode="External"/><Relationship Id="rId79" Type="http://schemas.openxmlformats.org/officeDocument/2006/relationships/hyperlink" Target="https://login.jiayuan.com/" TargetMode="External"/><Relationship Id="rId80" Type="http://schemas.openxmlformats.org/officeDocument/2006/relationships/hyperlink" Target="https://m.51marryyou.com/" TargetMode="External"/><Relationship Id="rId81" Type="http://schemas.openxmlformats.org/officeDocument/2006/relationships/hyperlink" Target="https://finance.cnr.cn/gs/201211/t20121108_511322939_1.shtml" TargetMode="External"/><Relationship Id="rId82" Type="http://schemas.openxmlformats.org/officeDocument/2006/relationships/hyperlink" Target="https://www.soulapp.cn/" TargetMode="External"/><Relationship Id="rId83" Type="http://schemas.openxmlformats.org/officeDocument/2006/relationships/hyperlink" Target="https://www.amcham-shanghai.org/" TargetMode="External"/><Relationship Id="rId84" Type="http://schemas.openxmlformats.org/officeDocument/2006/relationships/hyperlink" Target="https://amcham.glueup.cn/event/sold-out-chengdu-en-cn-2026-amcham-china-dialogue-with-sichuan-provincial-government-50581/" TargetMode="External"/><Relationship Id="rId85" Type="http://schemas.openxmlformats.org/officeDocument/2006/relationships/hyperlink" Target="https://www.miit.gov.cn/zwgk/zcwj/flfg/art/2022/art_04a0f1fb5df244e39688fd5372623a8d.html" TargetMode="External"/><Relationship Id="rId86" Type="http://schemas.openxmlformats.org/officeDocument/2006/relationships/hyperlink" Target="https://www.samr.gov.cn/zw/zfxxgk/fdzdgknr/bgt/art/2023/art_ef2a9f2dcb674014bc451f3470a4b5cc.html" TargetMode="External"/><Relationship Id="rId87" Type="http://schemas.openxmlformats.org/officeDocument/2006/relationships/hyperlink" Target="https://legacy.sba.gov/es/guia-de-negocios/planifique-su-empresa/investigacion-de-mercado-y-analisis-competitivo" TargetMode="External"/><Relationship Id="rId88" Type="http://schemas.openxmlformats.org/officeDocument/2006/relationships/hyperlink" Target="https://shop.esomar.org/uploads/public/knowledge-and-standards/codes-and-guidelines/ESOMAR-GRBN_discussion-paper_Use-of-Secondary-Data_20180225.pdf" TargetMode="External"/><Relationship Id="rId89" Type="http://schemas.openxmlformats.org/officeDocument/2006/relationships/hyperlink" Target="https://www.xiaohongshu.com/search_result_ai?keyword=&#20140;&#22478;&#20465;&#20048;&#37096;" TargetMode="External"/><Relationship Id="rId90" Type="http://schemas.openxmlformats.org/officeDocument/2006/relationships/hyperlink" Target="https://www.xiaohongshu.com/search_result_ai?keyword=&#20255;&#20107;&#36798;" TargetMode="External"/><Relationship Id="rId91" Type="http://schemas.openxmlformats.org/officeDocument/2006/relationships/hyperlink" Target="https://www.xiaohongshu.com/user/profile/63b3a40d0000000026005569" TargetMode="External"/><Relationship Id="rId92" Type="http://schemas.openxmlformats.org/officeDocument/2006/relationships/hyperlink" Target="https://www.xiaohongshu.com/user/profile/63b3a40d0000000026005569/6ad5c73b00000000310059b8" TargetMode="External"/><Relationship Id="rId93" Type="http://schemas.openxmlformats.org/officeDocument/2006/relationships/hyperlink" Target="https://www.xiaohongshu.com/user/profile/63b3a40d0000000026005569/6ac9b55b0000000002013a8f" TargetMode="External"/><Relationship Id="rId94" Type="http://schemas.openxmlformats.org/officeDocument/2006/relationships/hyperlink" Target="https://www.xiaohongshu.com/user/profile/63b3a40d0000000026005569/6ac883c2000000001501151f" TargetMode="External"/><Relationship Id="rId95" Type="http://schemas.openxmlformats.org/officeDocument/2006/relationships/hyperlink" Target="https://www.xiaohongshu.com/user/profile/63b3a40d0000000026005569/6ab240cb0000000033036746" TargetMode="External"/><Relationship Id="rId96" Type="http://schemas.openxmlformats.org/officeDocument/2006/relationships/hyperlink" Target="https://www.xiaohongshu.com/user/profile/63b3a40d0000000026005569/6ab0faaf0000000035019c29" TargetMode="External"/><Relationship Id="rId97" Type="http://schemas.openxmlformats.org/officeDocument/2006/relationships/hyperlink" Target="https://www.xiaohongshu.com/user/profile/63b3a40d0000000026005569/6aab8e2d0000000028029876" TargetMode="External"/><Relationship Id="rId98" Type="http://schemas.openxmlformats.org/officeDocument/2006/relationships/hyperlink" Target="https://www.xiaohongshu.com/user/profile/63b3a40d0000000026005569/6aaa5e0f000000002603a810" TargetMode="External"/><Relationship Id="rId99" Type="http://schemas.openxmlformats.org/officeDocument/2006/relationships/hyperlink" Target="https://www.xiaohongshu.com/user/profile/63b3a40d0000000026005569/6aa8edf6000000000b00d5ad" TargetMode="External"/><Relationship Id="rId100" Type="http://schemas.openxmlformats.org/officeDocument/2006/relationships/hyperlink" Target="https://www.xiaohongshu.com/user/profile/63b3a40d0000000026005569/6aa27a8e000000002601ac42" TargetMode="External"/><Relationship Id="rId101" Type="http://schemas.openxmlformats.org/officeDocument/2006/relationships/hyperlink" Target="https://www.xiaohongshu.com/user/profile/63b3a40d0000000026005569/6a9fb3c2000000002b02427d" TargetMode="External"/><Relationship Id="rId102" Type="http://schemas.openxmlformats.org/officeDocument/2006/relationships/hyperlink" Target="https://www.xiaohongshu.com/user/profile/63b3a40d0000000026005569/6a9a3b94000000002b0245b1" TargetMode="External"/><Relationship Id="rId103" Type="http://schemas.openxmlformats.org/officeDocument/2006/relationships/hyperlink" Target="https://www.xiaohongshu.com/user/profile/63b3a40d0000000026005569/6a963a6a000000002601d781" TargetMode="External"/><Relationship Id="rId104" Type="http://schemas.openxmlformats.org/officeDocument/2006/relationships/hyperlink" Target="https://www.xiaohongshu.com/user/profile/63b3a40d0000000026005569/6a8e9d33000000002502623a" TargetMode="External"/><Relationship Id="rId105" Type="http://schemas.openxmlformats.org/officeDocument/2006/relationships/hyperlink" Target="https://www.xiaohongshu.com/user/profile/63b3a40d0000000026005569/6a8be13d000000002a02e378" TargetMode="External"/><Relationship Id="rId106" Type="http://schemas.openxmlformats.org/officeDocument/2006/relationships/hyperlink" Target="https://www.xiaohongshu.com/user/profile/63b3a40d0000000026005569/6a880ebe00000000310142c0" TargetMode="External"/><Relationship Id="rId107" Type="http://schemas.openxmlformats.org/officeDocument/2006/relationships/hyperlink" Target="https://www.xiaohongshu.com/user/profile/63b3a40d0000000026005569/6a87c9450000000035023f78" TargetMode="External"/><Relationship Id="rId108" Type="http://schemas.openxmlformats.org/officeDocument/2006/relationships/hyperlink" Target="https://www.xiaohongshu.com/user/profile/63b3a40d0000000026005569/6a852322000000002500950a" TargetMode="External"/><Relationship Id="rId109" Type="http://schemas.openxmlformats.org/officeDocument/2006/relationships/hyperlink" Target="https://www.xiaohongshu.com/user/profile/63b3a40d0000000026005569/6a7eb8d60000000033034680" TargetMode="External"/><Relationship Id="rId110" Type="http://schemas.openxmlformats.org/officeDocument/2006/relationships/hyperlink" Target="https://www.xiaohongshu.com/user/profile/63b3a40d0000000026005569/6a7c3e4c000000002500e101" TargetMode="External"/><Relationship Id="rId111" Type="http://schemas.openxmlformats.org/officeDocument/2006/relationships/hyperlink" Target="https://www.xiaohongshu.com/user/profile/63b3a40d0000000026005569/6a7585f8000000003300d9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中国社交婚恋与高端会员服务市场研究</dc:title>
  <dc:subject>中国高端社交创业决策研究</dc:subject>
  <dc:creator>研究整理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