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高端社交公司合伙人决策摘要</w:t>
      </w:r>
    </w:p>
    <w:p>
      <w:r>
        <w:rPr>
          <w:rFonts w:ascii="Arial" w:hAnsi="Arial" w:eastAsia="Hiragino Sans GB"/>
          <w:b w:val="0"/>
          <w:color w:val="596573"/>
          <w:sz w:val="19"/>
        </w:rPr>
        <w:t>中国大陆　北京 上海 深圳重点观察　|　2026年10月21日</w:t>
      </w:r>
    </w:p>
    <w:p>
      <w:r>
        <w:rPr>
          <w:rFonts w:ascii="Arial" w:hAnsi="Arial" w:eastAsia="Hiragino Sans GB"/>
          <w:b w:val="0"/>
          <w:color w:val="111111"/>
          <w:sz w:val="23"/>
        </w:rPr>
        <w:t>本次需要决定的是下一阶段验证方向与投入条件。现有资料支持相邻付费需求存在，尚不足以证明综合年费社交模式能够持续盈利。建议优先验证城市兴趣社交体验，并用真实重复支付检验会籍价值。</w:t>
      </w:r>
    </w:p>
    <w:p>
      <w:pPr>
        <w:pStyle w:val="Heading2"/>
      </w:pPr>
      <w:r>
        <w:t>建议的决定</w:t>
      </w:r>
    </w:p>
    <w:p>
      <w:r>
        <w:rPr>
          <w:rFonts w:ascii="Arial" w:hAnsi="Arial" w:eastAsia="Hiragino Sans GB"/>
          <w:b w:val="0"/>
          <w:color w:val="111111"/>
          <w:sz w:val="23"/>
        </w:rPr>
        <w:t>批准对高端社交服务开展下一阶段付费验证；暂不批准三城同步固定场地投入或以年费预收支撑长期成本。优先验证精选城市体验，专业旅行作为合作产品，私董会与婚恋保留独立服务边界。</w:t>
      </w:r>
    </w:p>
    <w:p>
      <w:pPr>
        <w:pStyle w:val="Heading2"/>
      </w:pPr>
      <w:r>
        <w:t>市场证据</w:t>
      </w:r>
    </w:p>
    <w:p>
      <w:r>
        <w:rPr>
          <w:rFonts w:ascii="Arial" w:hAnsi="Arial" w:eastAsia="Hiragino Sans GB"/>
          <w:b w:val="0"/>
          <w:color w:val="111111"/>
          <w:sz w:val="23"/>
        </w:rPr>
        <w:t>网经社口径2025互联网婚恋103.5亿元、8450万用户；这不是高端综合社交市场。挚文2025集团收入同比下降，说明真实支付存在但增长不自动成立。高净值体验消费意向提供线索，尚不证明为社交会籍付费。 [S02 S11 S12]</w:t>
      </w:r>
    </w:p>
    <w:p>
      <w:pPr>
        <w:pStyle w:val="Heading2"/>
      </w:pPr>
      <w:r>
        <w:t>真实价格锚</w:t>
      </w:r>
    </w:p>
    <w:p>
      <w:r>
        <w:rPr>
          <w:rFonts w:ascii="Arial" w:hAnsi="Arial" w:eastAsia="Hiragino Sans GB"/>
          <w:b w:val="0"/>
          <w:color w:val="111111"/>
          <w:sz w:val="23"/>
        </w:rPr>
        <w:t>私董会CE/SE/KE年费148000/96000/78000元，来源是品牌页搜索索引，待合同核实。深圳侨商普通会员3000元/年是有准入条件的组织会费。耀悦南澳11天4人私享49500元/人起是旅行产品价。三者不构成统一社交均价。 [S28 S40 X03]</w:t>
      </w:r>
    </w:p>
    <w:p>
      <w:pPr>
        <w:pStyle w:val="Heading2"/>
      </w:pPr>
      <w:r>
        <w:t>竞品怎样经营</w:t>
      </w:r>
    </w:p>
    <w:p>
      <w:r>
        <w:rPr>
          <w:rFonts w:ascii="Arial" w:hAnsi="Arial" w:eastAsia="Hiragino Sans GB"/>
          <w:b w:val="0"/>
          <w:color w:val="111111"/>
          <w:sz w:val="23"/>
        </w:rPr>
        <w:t>京城依赖会员场景与重复到访；伟事达依赖固定同侪、教练和年度服务；耀悦依赖主题产品、顾问和供应链。15家比较与41条地图显示客户拥有多种替代选择，新的综合品牌必须说明额外价值。</w:t>
      </w:r>
    </w:p>
    <w:p>
      <w:pPr>
        <w:pStyle w:val="Heading2"/>
      </w:pPr>
      <w:r>
        <w:t>客户怎样分层</w:t>
      </w:r>
    </w:p>
    <w:p>
      <w:r>
        <w:rPr>
          <w:rFonts w:ascii="Arial" w:hAnsi="Arial" w:eastAsia="Hiragino Sans GB"/>
          <w:b w:val="0"/>
          <w:color w:val="111111"/>
          <w:sz w:val="23"/>
        </w:rPr>
        <w:t>先按参与目的和生活阶段分层，再看城市、职业、预算和时间。不把有钱等同愿付，不默认单身想婚恋，不默认已婚愿共同参加所有活动。已有客户圈仍缺城市分布、关系强度和真实付费记录。</w:t>
      </w:r>
    </w:p>
    <w:p>
      <w:pPr>
        <w:pStyle w:val="Heading2"/>
      </w:pPr>
      <w:r>
        <w:t>经营模型</w:t>
      </w:r>
    </w:p>
    <w:p>
      <w:r>
        <w:rPr>
          <w:rFonts w:ascii="Arial" w:hAnsi="Arial" w:eastAsia="Hiragino Sans GB"/>
          <w:b w:val="0"/>
          <w:color w:val="111111"/>
          <w:sz w:val="23"/>
        </w:rPr>
        <w:t>工作簿可切换三组假设，展示价格、会员、活动、成本及现金准备。全部是研究假设，不是竞品或公司的既有实绩；模型盈利不能代替成交验证。</w:t>
      </w:r>
    </w:p>
    <w:p>
      <w:pPr>
        <w:pStyle w:val="Heading2"/>
      </w:pPr>
      <w:r>
        <w:t>会谈必须形成的选择</w:t>
      </w:r>
    </w:p>
    <w:p>
      <w:r>
        <w:rPr>
          <w:rFonts w:ascii="Arial" w:hAnsi="Arial" w:eastAsia="Hiragino Sans GB"/>
          <w:b w:val="0"/>
          <w:color w:val="111111"/>
          <w:sz w:val="23"/>
        </w:rPr>
        <w:t>确定首发客户任务、初始城市、1—2个产品、客户与交付负责人、验证预算，以及扩大和停止条件。城市按已有资源和交付能力选择，不按居民平均收入排名。</w:t>
      </w:r>
    </w:p>
    <w:p>
      <w:pPr>
        <w:pStyle w:val="Heading2"/>
      </w:pPr>
      <w:r>
        <w:t>证据边界</w:t>
      </w:r>
    </w:p>
    <w:p>
      <w:r>
        <w:rPr>
          <w:rFonts w:ascii="Arial" w:hAnsi="Arial" w:eastAsia="Hiragino Sans GB"/>
          <w:b w:val="0"/>
          <w:color w:val="111111"/>
          <w:sz w:val="23"/>
        </w:rPr>
        <w:t>41机构地图、15家比较及三家档案已建立；耀悦20篇逐篇内容可追溯。另两家近90天内容和每家两场完整实证活动仍有缺口。付费会员、续费、CAC与利润大多未知，本阶段不能给经营优劣排名。</w:t>
      </w:r>
    </w:p>
    <w:p>
      <w:pPr>
        <w:pStyle w:val="Heading2"/>
      </w:pPr>
      <w:r>
        <w:t>后续验证</w:t>
      </w:r>
    </w:p>
    <w:p>
      <w:r>
        <w:rPr>
          <w:rFonts w:ascii="Arial" w:hAnsi="Arial" w:eastAsia="Hiragino Sans GB"/>
          <w:b w:val="0"/>
          <w:color w:val="111111"/>
          <w:sz w:val="23"/>
        </w:rPr>
        <w:t>先补官方书面价目与权益；再访谈有真实购买经历及拒绝经历的客户；在一个城市开展同类付费体验，观察重复支付、退款、成本和创始人工时。下一阶段外联及活动另行明确授权。</w:t>
      </w:r>
    </w:p>
    <w:p>
      <w:r>
        <w:rPr>
          <w:rFonts w:ascii="Arial" w:hAnsi="Arial" w:eastAsia="Hiragino Sans GB"/>
          <w:b w:val="0"/>
          <w:color w:val="111111"/>
          <w:sz w:val="21"/>
        </w:rPr>
        <w:t>会谈记录：首发城市＿＿＿　首发产品＿＿＿　验证预算＿＿＿　客户负责人＿＿＿　交付负责人＿＿＿　扩大条件＿＿＿　停止条件＿＿＿</w:t>
      </w:r>
    </w:p>
    <w:p>
      <w:pPr>
        <w:spacing w:after="240"/>
      </w:pPr>
      <w:r>
        <w:rPr>
          <w:rFonts w:ascii="Arial" w:hAnsi="Arial" w:eastAsia="Hiragino Sans GB"/>
          <w:b w:val="0"/>
          <w:color w:val="596573"/>
          <w:sz w:val="18"/>
        </w:rPr>
        <w:t>证据索引　完整链接与证据限制见正式报告来源索引及工作簿来源台账；所有模型输入均为研究假设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/>
        <w:b w:val="0"/>
        <w:color w:val="596573"/>
        <w:sz w:val="17"/>
      </w:rPr>
      <w:t xml:space="preserve">创业决策案头研究　|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Hiragino Sans GB"/>
        <w:b w:val="0"/>
        <w:color w:val="596573"/>
        <w:sz w:val="17"/>
      </w:rPr>
      <w:t>合伙人决策摘要　研究截止 2026年10月21日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Arial" w:hAnsi="Arial" w:eastAsia="Hiragino Sans GB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合伙人决策摘要</dc:title>
  <dc:subject>中国高端社交创业决策研究</dc:subject>
  <dc:creator>研究整理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