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高端线下社群合伙人会议讲解稿</w:t>
      </w:r>
    </w:p>
    <w:p>
      <w:r>
        <w:t>2026年10月24日  配合正式报告及总Excel使用</w:t>
      </w:r>
    </w:p>
    <w:p>
      <w:pPr>
        <w:pStyle w:val="Heading1"/>
      </w:pPr>
      <w:r>
        <w:t>第一部分 市场调研</w:t>
      </w:r>
    </w:p>
    <w:p>
      <w:pPr>
        <w:pStyle w:val="Heading2"/>
      </w:pPr>
      <w:r>
        <w:t>先把我们做什么说清楚</w:t>
      </w:r>
    </w:p>
    <w:p>
      <w:r>
        <w:t>我们要围绕同一批A8及以上客户，长期组织线下活动。商业活动让经营者与专业人士交流，婚恋专场让真实单身者认识彼此，旅行提供更长的共同体验。今天讨论的是客户和服务的组合，不急着决定年费、首发城市或一个固定年龄带。个人还是家庭资产口径，也要明确。</w:t>
      </w:r>
    </w:p>
    <w:p>
      <w:pPr>
        <w:pStyle w:val="Heading2"/>
      </w:pPr>
      <w:r>
        <w:t>市场数据告诉了我们什么</w:t>
      </w:r>
    </w:p>
    <w:p>
      <w:r>
        <w:t>胡润报告估算内地亿元总资产家庭10.6万户，这是家庭口径。网经社估计2025年互联网婚恋市场103.5亿元、同比增长5.61%，是互联网口径。前者说明财富人群基础，后者提供婚恋付费市场背景；目前没有足够同口径收入数据计算线下高端社群前五份额。</w:t>
      </w:r>
    </w:p>
    <w:p>
      <w:r>
        <w:t>供给已经分成多种收费：会籍、活动席位、顾问定制、旅行团费和住宿升级。我们先比较客户究竟买到什么。每一类市场都保留成熟机构与小团队形式，不能把学费、年会票和会所入会费放在一起平均。</w:t>
      </w:r>
    </w:p>
    <w:p>
      <w:pPr>
        <w:pStyle w:val="Heading2"/>
      </w:pPr>
      <w:r>
        <w:t>这轮新增检索有什么用</w:t>
      </w:r>
    </w:p>
    <w:p>
      <w:r>
        <w:t>商业与婚恋追加157条搜索记录、154篇去重内容、9篇正文及5个账号主页。Pitch有较大内容声量，但当前会籍价和A8客群证据未齐；近佚公布98／118元桌游票，适合比较学历与年龄筛选、换桌和主持；崎悦提供了两天一夜的婚恋旅行形式线索，但完整团费和承办尚需核实。它们进入资料库，不因为新发现就替换现有主对标。</w:t>
      </w:r>
    </w:p>
    <w:p>
      <w:pPr>
        <w:spacing w:line="260" w:lineRule="exact"/>
      </w:pPr>
      <w:hyperlink r:id="rId10">
        <w:r>
          <w:rPr>
            <w:color w:val="255878"/>
            <w:sz w:val="18"/>
          </w:rPr>
          <w:t>市场规模原始发布</w:t>
        </w:r>
      </w:hyperlink>
    </w:p>
    <w:p>
      <w:pPr>
        <w:pStyle w:val="Heading1"/>
        <w:pageBreakBefore/>
      </w:pPr>
      <w:r>
        <w:t>第二部分 对标</w:t>
      </w:r>
    </w:p>
    <w:p>
      <w:pPr>
        <w:pStyle w:val="Heading2"/>
      </w:pPr>
      <w:r>
        <w:t>这五个品牌分别向谁学</w:t>
      </w:r>
    </w:p>
    <w:p>
      <w:r>
        <w:t>BoL商务会籍：学同一品牌怎样安排酒会、沙龙、运动与另付私宴。488／2888元是年费层级，私宴单独收费。</w:t>
      </w:r>
    </w:p>
    <w:p>
      <w:r>
        <w:t>BoL Selected：学单身审核和半天交付。该场展示1688元，顺序为手作茶叙、主持互动、晚宴和互选；用户补充截图已确认准入与流程；最终会员价仍缺结算规格证据，1288元位于价值栏。</w:t>
      </w:r>
    </w:p>
    <w:p>
      <w:r>
        <w:t>钻石婚恋：学高资产筛选和服务深度。30万、60万、100万起是定制项目费；有顾问和猎头分工、约会辅导及关系巩固。我们尚不能照搬它的资源库和高价服务。</w:t>
      </w:r>
    </w:p>
    <w:p>
      <w:r>
        <w:t>Founder Feast：学五人餐桌、人工筛选、订阅与餐费分账。温哥华39.99加元月费，餐酒另结；没有足够经营披露把它评为成功样板。</w:t>
      </w:r>
    </w:p>
    <w:p>
      <w:r>
        <w:t>奇语与Other Way Round：前者学小团内容和目的地产品，后者学年龄带、行前问卷、建立同行群、定金尾款及独住升级。旅行供应与婚恋审核由不同能力承担。</w:t>
      </w:r>
    </w:p>
    <w:p>
      <w:pPr>
        <w:pStyle w:val="Heading2"/>
      </w:pPr>
      <w:r>
        <w:t>先讨论两件事</w:t>
      </w:r>
    </w:p>
    <w:p>
      <w:r>
        <w:t>第一批具体邀请谁，他们为什么第一次付款？要把经营身份、生活阶段、关系意愿、活动主题和同行条件连起来。第二，什么体验会使他们再来？讨论固定小组、持续主题和共同经历，比先承诺全年多少场更有用。</w:t>
      </w:r>
    </w:p>
    <w:p>
      <w:pPr>
        <w:pStyle w:val="Heading2"/>
      </w:pPr>
      <w:r>
        <w:t>费用模型只作初案附件</w:t>
      </w:r>
    </w:p>
    <w:p>
      <w:r>
        <w:t>1680／680／19800元仍是研究试价。三亚四天三晚沿用11月19—22日作成本比较，瑞吉含早单人单房三晚官方含税零售价7870元；不是整团协议报价。按14位客人、3位工作人员及当前预算，旅行单团贡献35104元、周转需求141296元。成本变化应在模型中讨论，不据此认定客户已经愿付或公司已经盈利。</w:t>
      </w:r>
    </w:p>
    <w:p>
      <w:r>
        <w:t>下一步由Olivia取得同条件供应商报价和客户真实消费反馈，格格核实具体合作资源。当前没有确认供应商、访谈结论及团体报价。先对齐客群、产品和验证预算，再确定对外价格。</w:t>
      </w:r>
    </w:p>
    <w:p>
      <w:pPr>
        <w:spacing w:line="260" w:lineRule="exact"/>
      </w:pPr>
      <w:hyperlink r:id="rId11">
        <w:r>
          <w:rPr>
            <w:color w:val="255878"/>
            <w:sz w:val="18"/>
          </w:rPr>
          <w:t>钻石定制服务与分层报价</w:t>
        </w:r>
      </w:hyperlink>
    </w:p>
    <w:p>
      <w:pPr>
        <w:spacing w:line="260" w:lineRule="exact"/>
      </w:pPr>
      <w:hyperlink r:id="rId12">
        <w:r>
          <w:rPr>
            <w:color w:val="255878"/>
            <w:sz w:val="18"/>
          </w:rPr>
          <w:t>Founder Feast现行收费</w:t>
        </w:r>
      </w:hyperlink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合伙人会议讲解稿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after="160"/>
    </w:pPr>
    <w:rPr>
      <w:rFonts w:ascii="Source Han Serif CN" w:hAnsi="Source Han Serif CN" w:eastAsia="Source Han Serif CN" w:cs="Source Han Serif CN"/>
      <w:b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 w:line="380" w:lineRule="exact"/>
      <w:outlineLvl w:val="0"/>
    </w:pPr>
    <w:rPr>
      <w:rFonts w:ascii="Source Han Serif CN" w:hAnsi="Source Han Serif CN" w:eastAsia="Source Han Serif CN" w:cs="Source Han Serif C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 w:line="380" w:lineRule="exact"/>
      <w:outlineLvl w:val="1"/>
    </w:pPr>
    <w:rPr>
      <w:rFonts w:ascii="Source Han Serif CN" w:hAnsi="Source Han Serif CN" w:eastAsia="Source Han Serif CN" w:cs="Source Han Serif C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600" w:lineRule="exact"/>
      <w:contextualSpacing/>
    </w:pPr>
    <w:rPr>
      <w:rFonts w:ascii="Source Han Serif CN" w:hAnsi="Source Han Serif CN" w:eastAsia="Source Han Serif CN" w:cs="Source Han Serif C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mgs-b2b.100ec.cn/zt/2025szshbg/" TargetMode="External"/><Relationship Id="rId11" Type="http://schemas.openxmlformats.org/officeDocument/2006/relationships/hyperlink" Target="https://www.zuanshi.com/new/loveCustomization" TargetMode="External"/><Relationship Id="rId12" Type="http://schemas.openxmlformats.org/officeDocument/2006/relationships/hyperlink" Target="https://founderfeast.com/pric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