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高端单身旅行与线下社群会议讲解稿</w:t>
      </w:r>
    </w:p>
    <w:p>
      <w:pPr>
        <w:pStyle w:val="Subtitle"/>
      </w:pPr>
      <w:r>
        <w:t>建议讲解时长十五分钟</w:t>
      </w:r>
    </w:p>
    <w:p>
      <w:pPr>
        <w:pStyle w:val="Subtitle"/>
      </w:pPr>
      <w:r>
        <w:t>2026年10月23日  私有工作资料</w:t>
      </w:r>
    </w:p>
    <w:p>
      <w:pPr>
        <w:pStyle w:val="Heading1"/>
      </w:pPr>
      <w:r>
        <w:t>一 先说建议 三分钟</w:t>
      </w:r>
    </w:p>
    <w:p>
      <w:r>
        <w:t>我们这一轮把方向收到了可测试的产品：北京先做一场小型单身晚宴，确认我们能否把合适的人请来并服务好。三亚先设计一条四天三晚的旅行，不同时开多条线。商务分享会单独组织，允许已婚客户参加，收费和结果也分开。</w:t>
      </w:r>
    </w:p>
    <w:p>
      <w:pPr>
        <w:pStyle w:val="Heading1"/>
      </w:pPr>
      <w:r>
        <w:t>二 为什么选这些对标 三分钟</w:t>
      </w:r>
    </w:p>
    <w:p>
      <w:r>
        <w:t>32号和游侠客告诉我们怎样交付旅行；钻石和我主良缘帮助拆婚恋筛选；BoL和大超帮助拆品牌入口、内容与线下。这个组合不是“六家最赚钱”的排名。32号海南六日5980元起可以查到具体住宿和不含项，但它是双住私家团，不能拿来直接证明我们的价格便宜或贵。我们仍缺两家同口径报价。</w:t>
      </w:r>
    </w:p>
    <w:p>
      <w:pPr>
        <w:pStyle w:val="Heading1"/>
      </w:pPr>
      <w:r>
        <w:t>三 客户到底买什么 三分钟</w:t>
      </w:r>
    </w:p>
    <w:p>
      <w:r>
        <w:t>我们需要验证的客户约30至42岁、北京常住、真实单身，有明确稳定关系意愿。不要只问他有多少钱，还要问他最近参加过什么、和谁旅行、什么日期有空、愿不愿独住、喜欢一对一还是小组。产品的钱主要要买到可信的同行者、舒服的组织和足够长的相处。商务活动则买有用的主题和经营同行，不能暗中把已婚商务客当相亲供给。</w:t>
      </w:r>
    </w:p>
    <w:p>
      <w:pPr>
        <w:pStyle w:val="Heading1"/>
      </w:pPr>
      <w:r>
        <w:t>四 账怎么算 三分钟</w:t>
      </w:r>
    </w:p>
    <w:p>
      <w:r>
        <w:t>晚宴研究试价1680，20人基准贡献9492元；分享680，24人贡献约1590元，说明分享会必须控制固定成本。旅行19800，14人贡献82284元，但这依赖尚未验证的试价。模型含直接交付、获客和项目工时，尚未扣公司日常成本和税费。旅行基准需约75216元周转金，预收款不是已经赚到的钱。</w:t>
      </w:r>
    </w:p>
    <w:p>
      <w:pPr>
        <w:pStyle w:val="Heading1"/>
      </w:pPr>
      <w:r>
        <w:t>五 今天拍板什么 三分钟</w:t>
      </w:r>
    </w:p>
    <w:p>
      <w:r>
        <w:t>今天确定客群及核验口径、是否以三亚为首条、先做哪两场活动、访谈用什么试价和最高验证预算、双方分工。Olivia随后拿统一问题询价和访谈，格格落实具体资源。拿到反馈后再改输入、确定对外价格及合同，最后安排招募。年费、黑卡和多团并行放到复购之后讨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高端单身旅行与线下社群研究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0" w:lineRule="exact" w:after="120"/>
    </w:pPr>
    <w:rPr>
      <w:rFonts w:ascii="Arial" w:hAnsi="Arial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70" w:lineRule="exact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370" w:lineRule="exact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370" w:lineRule="exact"/>
      <w:outlineLvl w:val="2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70" w:lineRule="exact"/>
      <w:contextualSpacing/>
    </w:pPr>
    <w:rPr>
      <w:rFonts w:asciiTheme="majorHAnsi" w:eastAsiaTheme="majorEastAsia" w:hAnsiTheme="majorHAnsi" w:cstheme="majorBidi" w:ascii="Arial" w:hAnsi="Arial" w:eastAsia="Heiti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70" w:lineRule="exact" w:after="120"/>
    </w:pPr>
    <w:rPr>
      <w:rFonts w:asciiTheme="majorHAnsi" w:eastAsiaTheme="majorEastAsia" w:hAnsiTheme="majorHAnsi" w:cstheme="majorBidi" w:ascii="Arial" w:hAnsi="Arial" w:eastAsia="Songti S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