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第8课 实践落实监督与反馈</w:t>
      </w:r>
    </w:p>
    <w:p>
      <w:pPr>
        <w:widowControl/>
      </w:pPr>
      <w:r>
        <w:t>适用：2027年国考副省级申论与政治理论学习。版本：2026年10月17日。正文是原创教学讲义，原文短摘单独标明。八课合起来覆盖《学习纲要》十九章的主题导航，并未声称逐节精读全书。</w:t>
      </w:r>
    </w:p>
    <w:p>
      <w:pPr>
        <w:pStyle w:val="Heading2"/>
      </w:pPr>
      <w:r>
        <w:t>原文依据与章节定位</w:t>
      </w:r>
    </w:p>
    <w:p>
      <w:pPr>
        <w:widowControl/>
        <w:ind w:left="173"/>
      </w:pPr>
      <w:r>
        <w:t>《纲要》第18章第1节《敢于斗争、敢于胜利是党和人民不可战胜的强大精神力量》：</w:t>
      </w:r>
      <w:hyperlink r:id="rId11">
        <w:r>
          <w:rPr>
            <w:color w:val="334B3E"/>
          </w:rPr>
          <w:t>官方原文 ↗</w:t>
        </w:r>
      </w:hyperlink>
      <w:r>
        <w:t>。</w:t>
      </w:r>
    </w:p>
    <w:p>
      <w:pPr>
        <w:widowControl/>
      </w:pPr>
      <w:r>
        <w:t>原文关键词短摘：『善于斗争』。短摘只帮助定位概念；上下文与完整表述请读所列官方页面。</w:t>
      </w:r>
    </w:p>
    <w:p>
      <w:pPr>
        <w:pStyle w:val="Heading2"/>
      </w:pPr>
      <w:r>
        <w:t>这节课先弄懂什么</w:t>
      </w:r>
    </w:p>
    <w:p>
      <w:pPr>
        <w:widowControl/>
      </w:pPr>
      <w:r>
        <w:t>把部署落实看成持续工作过程：从发现问题，到安排任务、执行协同、监督评价，再到整改改进。学完应能写出可执行的工作信息，并区分程序完成、数量增加与实际问题解决。</w:t>
      </w:r>
    </w:p>
    <w:p>
      <w:pPr>
        <w:pStyle w:val="Heading2"/>
      </w:pPr>
      <w:r>
        <w:t>核心知识讲解</w:t>
      </w:r>
    </w:p>
    <w:p>
      <w:pPr>
        <w:widowControl/>
      </w:pPr>
      <w:r>
        <w:t>目标进入实际工作，需要明确对象、责任、行动、资源、时序与反馈。方案可以有分工表，但必须看承办主体是否有权限与能力，跨部门事项如何衔接，群众是否知道怎样参与或求助。不能把所有任务笼统交给“基层”，也不能把新增平台当作所有问题的起点。</w:t>
      </w:r>
    </w:p>
    <w:p>
      <w:pPr>
        <w:widowControl/>
      </w:pPr>
      <w:r>
        <w:t>对落实的评价，应回到任务本身。建设设施要看能否持续使用，培训要看能力是否改善，热线要看诉求是否实际办理。会议、文件、平台、照片与报表可以提供部分过程信息，但不应取代实际结果。反过来，也不能把所有必要记录都当作形式主义；关键是它是否服务工作、成本是否合理、能否避免重复。</w:t>
      </w:r>
    </w:p>
    <w:p>
      <w:pPr>
        <w:widowControl/>
      </w:pPr>
      <w:r>
        <w:t>监督与反馈能帮助发现执行偏差。群众意见、实地核查、专业评价与数据可以相互补充。指标要有清楚口径，不能只看完成数量而忽略覆盖人群与质量；对反馈异常还要辨别是执行不到位、需求变化还是原方案不适配，再决定改什么。</w:t>
      </w:r>
    </w:p>
    <w:p>
      <w:pPr>
        <w:widowControl/>
      </w:pPr>
      <w:r>
        <w:t>担当与斗争精神落实到工作中，体现为面对困难不回避，依法依规解决矛盾，改进能力和方法。不能把敢担当理解成不受程序约束，也不能把所有群众意见都视为阻力。改革中的不同意见可能暴露实际风险，需要调查、沟通和完善安排。</w:t>
      </w:r>
    </w:p>
    <w:p>
      <w:pPr>
        <w:widowControl/>
      </w:pPr>
      <w:r>
        <w:t>整改应说明问题、措施、责任与复查。只有一轮检查或一次通报，不能证明问题永不再现。对反复出现的问题，应继续查制度、激励和资源条件，避免整改本身又形成重复报送与层层加码。</w:t>
      </w:r>
    </w:p>
    <w:p>
      <w:pPr>
        <w:pStyle w:val="Heading2"/>
      </w:pPr>
      <w:r>
        <w:t>案例及机制</w:t>
      </w:r>
    </w:p>
    <w:p>
      <w:pPr>
        <w:widowControl/>
      </w:pPr>
      <w:r>
        <w:t>反面案例：2024年公开通报的基层减负典型问题中，长春市教育局在中央已部署创建示范活动清理优化后，仍未及时叫停有关创建工作。通报指出相关活动与负担问题。</w:t>
      </w:r>
      <w:hyperlink r:id="rId12">
        <w:r>
          <w:rPr>
            <w:color w:val="334B3E"/>
          </w:rPr>
          <w:t>通报原文 ↗</w:t>
        </w:r>
      </w:hyperlink>
    </w:p>
    <w:p>
      <w:pPr>
        <w:widowControl/>
      </w:pPr>
      <w:r>
        <w:t>机制解释：工作名义即使正面，也要检查是否符合上级要求、是否有必要、是否把负担转嫁给基层。通报用于说明执行偏差和形式负担的风险，不支持推断所有创建活动或检查都没有价值。2024年事件不能写成2026年新增问题。</w:t>
      </w:r>
    </w:p>
    <w:p>
      <w:pPr>
        <w:widowControl/>
      </w:pPr>
      <w:r>
        <w:t>配套制度参考：《整治形式主义为基层减负若干规定》原文载明2024年发布信息，教育部2025年的转载日期不能当成首次发布日。相关条款可帮助理解规范职责与任务下派，但不能由此推断每地已经彻底完成减负。</w:t>
      </w:r>
      <w:hyperlink r:id="rId13">
        <w:r>
          <w:rPr>
            <w:color w:val="334B3E"/>
          </w:rPr>
          <w:t>规定原文 ↗</w:t>
        </w:r>
      </w:hyperlink>
    </w:p>
    <w:p>
      <w:pPr>
        <w:pStyle w:val="Heading2"/>
      </w:pPr>
      <w:r>
        <w:t>从知识到申论写法</w:t>
      </w:r>
    </w:p>
    <w:p>
      <w:pPr>
        <w:widowControl/>
      </w:pPr>
      <w:r>
        <w:t>应用文围绕实际任务组织，不强求总分总。工作建议可以写问题与目标、具体安排、责任条件与反馈；宣传稿要让对象知道相关信息与行动路径；短评需要观点、材料依据与必要分析。文种与题干要求优先，不能只记一个格式。</w:t>
      </w:r>
    </w:p>
    <w:p>
      <w:pPr>
        <w:widowControl/>
      </w:pPr>
      <w:r>
        <w:t>原创建议段：先梳理现有报送事项和使用需求，明确采集、审核与使用责任，对重复内容推动共享或合并。在保留必要监管信息的同时，减少无实际用途的留痕要求，并结合基层反馈检查负担是否真正下降。涉及调整职责和信息处理时，应按权限与规定办理。</w:t>
      </w:r>
    </w:p>
    <w:p>
      <w:pPr>
        <w:widowControl/>
      </w:pPr>
      <w:r>
        <w:t>大作文论证“落实”时，写出责任、条件与反馈的作用。不能把“狠抓落实、强化担当”反复换词写成三段，也不能把政策文件中的要求直接当作执行成功的案例。</w:t>
      </w:r>
    </w:p>
    <w:p>
      <w:pPr>
        <w:pStyle w:val="Heading2"/>
      </w:pPr>
      <w:r>
        <w:t>最小记忆与独立输出</w:t>
      </w:r>
    </w:p>
    <w:p>
      <w:pPr>
        <w:widowControl/>
      </w:pPr>
      <w:r>
        <w:t>记住：目标变成工作，需要责任、行动和条件；工作是否有效，要看对象与问题是否实际改善；发现偏差后，要整改并复查。必要程序与材料应服务任务，避免形式负担替代实效。</w:t>
      </w:r>
    </w:p>
    <w:p>
      <w:pPr>
        <w:widowControl/>
      </w:pPr>
      <w:r>
        <w:t>独立输出：根据一段真实工作材料，写出问题、承办主体、具体措施、实施条件和反馈方式。用150字写一份建议片段；若材料未提供权限或资源，明确需要核查的条件，不编造既定事实。</w:t>
      </w:r>
    </w:p>
    <w:p>
      <w:pPr>
        <w:widowControl/>
      </w:pPr>
      <w:r>
        <w:t>核验截至2026年10月17日。时点与实际选读范围见来源对照；讲义不能替代题干和给定材料。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2026年10月17日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了解中国与申论八课讲义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ource Han Serif CN" w:hAnsi="Source Han Serif CN" w:eastAsia="Source Han Serif C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ource Han Serif CN" w:hAnsi="Source Han Serif CN" w:eastAsia="Source Han Serif C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Source Han Serif CN" w:hAnsi="Source Han Serif CN" w:eastAsia="Source Han Serif CN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urce Han Serif CN" w:hAnsi="Source Han Serif CN" w:eastAsia="Source Han Serif C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12371.cn/2024/03/13/ARTI1710314736074839.shtml" TargetMode="External"/><Relationship Id="rId12" Type="http://schemas.openxmlformats.org/officeDocument/2006/relationships/hyperlink" Target="https://www.gov.cn/yaowen/liebiao/202408/content_6969763.htm?ddtab=true" TargetMode="External"/><Relationship Id="rId13" Type="http://schemas.openxmlformats.org/officeDocument/2006/relationships/hyperlink" Target="https://www.moe.gov.cn/jyb_xxgk/moe_1777/moe_1778/202508/t20250807_131523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官方依据与原创申论教学</dc:subject>
  <dc:creator>公考备考协作项目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