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第4课 人民立场与现实国情</w:t>
      </w:r>
    </w:p>
    <w:p>
      <w:pPr>
        <w:widowControl/>
      </w:pPr>
      <w:r>
        <w:t>适用：2027年国考副省级申论与政治理论学习。版本：2026年10月17日。正文是原创教学讲义，原文短摘单独标明。八课合起来覆盖《学习纲要》十九章的主题导航，并未声称逐节精读全书。</w:t>
      </w:r>
    </w:p>
    <w:p>
      <w:pPr>
        <w:pStyle w:val="Heading2"/>
      </w:pPr>
      <w:r>
        <w:t>原文依据与章节定位</w:t>
      </w:r>
    </w:p>
    <w:p>
      <w:pPr>
        <w:widowControl/>
        <w:ind w:left="173"/>
      </w:pPr>
      <w:r>
        <w:t>《纲要》第4章第1节《江山就是人民，人民就是江山》：</w:t>
      </w:r>
      <w:hyperlink r:id="rId11">
        <w:r>
          <w:rPr>
            <w:color w:val="334B3E"/>
          </w:rPr>
          <w:t>官方原文 ↗</w:t>
        </w:r>
      </w:hyperlink>
      <w:r>
        <w:t>。</w:t>
      </w:r>
    </w:p>
    <w:p>
      <w:pPr>
        <w:widowControl/>
        <w:ind w:left="173"/>
      </w:pPr>
      <w:r>
        <w:t>《纲要》第12章第1节《在发展中增进民生福祉》：</w:t>
      </w:r>
      <w:hyperlink r:id="rId12">
        <w:r>
          <w:rPr>
            <w:color w:val="334B3E"/>
          </w:rPr>
          <w:t>官方原文 ↗</w:t>
        </w:r>
      </w:hyperlink>
      <w:r>
        <w:t>。</w:t>
      </w:r>
    </w:p>
    <w:p>
      <w:pPr>
        <w:widowControl/>
      </w:pPr>
      <w:r>
        <w:t>原文关键词短摘：『民生福祉』。短摘只帮助定位概念；上下文与完整表述请读所列官方页面。</w:t>
      </w:r>
    </w:p>
    <w:p>
      <w:pPr>
        <w:pStyle w:val="Heading2"/>
      </w:pPr>
      <w:r>
        <w:t>这节课先弄懂什么</w:t>
      </w:r>
    </w:p>
    <w:p>
      <w:pPr>
        <w:widowControl/>
      </w:pPr>
      <w:r>
        <w:t>把人民立场落到答题中，要能说清哪类人遇到什么困难、怎样参与、是否真正受益。现实国情则提醒我们区分需要、资源和可持续条件。学完应能把“以人民为中心”写成具体服务与治理机制。</w:t>
      </w:r>
    </w:p>
    <w:p>
      <w:pPr>
        <w:pStyle w:val="Heading2"/>
      </w:pPr>
      <w:r>
        <w:t>核心知识讲解</w:t>
      </w:r>
    </w:p>
    <w:p>
      <w:pPr>
        <w:widowControl/>
      </w:pPr>
      <w:r>
        <w:t>理解人民立场，可以分别问发展服务谁、依靠谁、成果怎样惠及不同群体、工作怎样接受评价。群众既有服务需求，也能提供经验、参与协商和监督。只把群众写成被动接受安排的对象，会漏掉材料中的主体作用。</w:t>
      </w:r>
    </w:p>
    <w:p>
      <w:pPr>
        <w:widowControl/>
      </w:pPr>
      <w:r>
        <w:t>需求需要具体识别。养老材料可能涉及失能照护、就近就医、日常助餐、支付能力和精神生活，不能把它们都归为“缺养老设施”。就业材料可能涉及技能、岗位、信息、照护负担或权益保障。判断需求时保留对象与困难的对应，才能选择有针对性的办法。</w:t>
      </w:r>
    </w:p>
    <w:p>
      <w:pPr>
        <w:widowControl/>
      </w:pPr>
      <w:r>
        <w:t>我国发展中存在地区、城乡、群体和行业差异。某项服务在城区可行，到人口分散、交通不便的地方，覆盖成本与组织方式可能不同。认识不平衡不充分发展，应落到可及性、供给质量、衔接程度和发展能力，不能只用一个总量指标概括所有问题。</w:t>
      </w:r>
    </w:p>
    <w:p>
      <w:pPr>
        <w:widowControl/>
      </w:pPr>
      <w:r>
        <w:t>民生与发展相互联系。经济发展为公共服务提供物质条件；教育、健康、就业与保障改善，又能减轻后顾之忧、支持人的发展和社会生产。政策安排还要考虑财力与长期运行，不能把改善民生解释成无条件、无差别地增加支出。</w:t>
      </w:r>
    </w:p>
    <w:p>
      <w:pPr>
        <w:widowControl/>
      </w:pPr>
      <w:r>
        <w:t>尊重需求与依法办事需要相互配合。对合理诉求积极回应，对暂时无法实现的事项解释条件，对不符合法律规定的要求说明依据并提供合法路径。不能把群众满意理解成满足任何要求，也不能以资源有限为由不调查、不回应。</w:t>
      </w:r>
    </w:p>
    <w:p>
      <w:pPr>
        <w:pStyle w:val="Heading2"/>
      </w:pPr>
      <w:r>
        <w:t>案例及机制</w:t>
      </w:r>
    </w:p>
    <w:p>
      <w:pPr>
        <w:widowControl/>
      </w:pPr>
      <w:r>
        <w:t>制度案例：北京市2021年通过并实施《北京市接诉即办工作条例》。官方解读说明，诉求记录、派单办理、反馈回访、数据汇总与主动治理相衔接，并强调信息使用中的隐私保护。</w:t>
      </w:r>
      <w:hyperlink r:id="rId13">
        <w:r>
          <w:rPr>
            <w:color w:val="334B3E"/>
          </w:rPr>
          <w:t>官方解读 ↗</w:t>
        </w:r>
      </w:hyperlink>
    </w:p>
    <w:p>
      <w:pPr>
        <w:widowControl/>
      </w:pPr>
      <w:r>
        <w:t>机制解释：热线可以使具体困难被记录，职责分派帮助找到承办主体，反馈回访用于检查办理情况，对共性问题的分析可为主动治理提供线索。热线存在本身不能证明问题全部解决；回访和数据也应与实际情况核对，不能只追求漂亮的数字。</w:t>
      </w:r>
    </w:p>
    <w:p>
      <w:pPr>
        <w:pStyle w:val="Heading2"/>
      </w:pPr>
      <w:r>
        <w:t>从知识到申论写法</w:t>
      </w:r>
    </w:p>
    <w:p>
      <w:pPr>
        <w:widowControl/>
      </w:pPr>
      <w:r>
        <w:t>问题概括要写“谁＋什么困难”，如材料明确老人线下办事不便，就保留年龄、渠道与障碍，而不只写“服务不足”。对策要与卡点对应：信息不清补解释引导，渠道不便优化办理，照护需求复杂则看专业服务和衔接，不统一回答“加强宣传”。</w:t>
      </w:r>
    </w:p>
    <w:p>
      <w:pPr>
        <w:widowControl/>
      </w:pPr>
      <w:r>
        <w:t>原创论证段：服务供给应从群众的具体困难出发。通过走访、诉求记录和协商了解不同群体需要，再将需求与职责、资源和服务方式相匹配。把办理结果交由实际使用与反馈检验，才能及时发现供给错位，使惠民安排更准确地到达需要的人。</w:t>
      </w:r>
    </w:p>
    <w:p>
      <w:pPr>
        <w:widowControl/>
      </w:pPr>
      <w:r>
        <w:t>使用这段时，要替换为材料中的对象、需求和反馈方式。题目只问原因，就解释需求识别或供给衔接为何不足，不把整套对策写进答案。</w:t>
      </w:r>
    </w:p>
    <w:p>
      <w:pPr>
        <w:pStyle w:val="Heading2"/>
      </w:pPr>
      <w:r>
        <w:t>最小记忆与独立输出</w:t>
      </w:r>
    </w:p>
    <w:p>
      <w:pPr>
        <w:widowControl/>
      </w:pPr>
      <w:r>
        <w:t>记住：人民立场要体现在对象识别、需求回应、群众参与和实际受益。改善民生要考虑资源和持续运行。群众评价重要，合法性与事实核查也不可缺少。</w:t>
      </w:r>
    </w:p>
    <w:p>
      <w:pPr>
        <w:widowControl/>
      </w:pPr>
      <w:r>
        <w:t>独立输出：选一则公共服务报道，分别写出两类对象的不同需要，为每类匹配一项材料支持的服务方式。用100字说明为什么不能“一种服务包办所有需求”。</w:t>
      </w:r>
    </w:p>
    <w:p>
      <w:pPr>
        <w:widowControl/>
      </w:pPr>
      <w:r>
        <w:t>核验截至2026年10月17日。时点与实际选读范围见来源对照；讲义不能替代题干和给定材料。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2026年10月17日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8"/>
      </w:rPr>
      <w:t>了解中国与申论八课讲义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ource Han Serif CN" w:hAnsi="Source Han Serif CN" w:eastAsia="Source Han Serif C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Source Han Serif CN" w:hAnsi="Source Han Serif CN" w:eastAsia="Source Han Serif CN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Source Han Serif CN" w:hAnsi="Source Han Serif CN" w:eastAsia="Source Han Serif C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Source Han Serif CN" w:hAnsi="Source Han Serif CN" w:eastAsia="Source Han Serif C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80"/>
      <w:contextualSpacing/>
    </w:pPr>
    <w:rPr>
      <w:rFonts w:asciiTheme="majorHAnsi" w:eastAsiaTheme="majorEastAsia" w:hAnsiTheme="majorHAnsi" w:cstheme="majorBidi" w:ascii="Source Han Serif CN" w:hAnsi="Source Han Serif CN" w:eastAsia="Source Han Serif CN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ource Han Serif CN" w:hAnsi="Source Han Serif CN" w:eastAsia="Source Han Serif C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12371.cn/2023/11/06/ARTI1699227795116898.shtml" TargetMode="External"/><Relationship Id="rId12" Type="http://schemas.openxmlformats.org/officeDocument/2006/relationships/hyperlink" Target="https://www.12371.cn/2024/01/19/ARTI1705621183129105.shtml" TargetMode="External"/><Relationship Id="rId13" Type="http://schemas.openxmlformats.org/officeDocument/2006/relationships/hyperlink" Target="https://www.beijing.gov.cn/zhengce/zcjd/202109/t20210926_2501787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官方依据与原创申论教学</dc:subject>
  <dc:creator>公考备考协作项目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