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第6课 国家建设各领域</w:t>
      </w:r>
    </w:p>
    <w:p>
      <w:pPr>
        <w:widowControl/>
      </w:pPr>
      <w:r>
        <w:t>适用：2027年国考副省级申论与政治理论学习。版本：2026年10月17日。正文是原创教学讲义，原文短摘单独标明。八课合起来覆盖《学习纲要》十九章的主题导航，并未声称逐节精读全书。</w:t>
      </w:r>
    </w:p>
    <w:p>
      <w:pPr>
        <w:pStyle w:val="Heading2"/>
      </w:pPr>
      <w:r>
        <w:t>原文依据与章节定位</w:t>
      </w:r>
    </w:p>
    <w:p>
      <w:pPr>
        <w:widowControl/>
        <w:ind w:left="173"/>
      </w:pPr>
      <w:r>
        <w:t>《纲要》第9章第1节《完整、准确、全面贯彻新发展理念》：</w:t>
      </w:r>
      <w:hyperlink r:id="rId11">
        <w:r>
          <w:rPr>
            <w:color w:val="334B3E"/>
          </w:rPr>
          <w:t>官方原文 ↗</w:t>
        </w:r>
      </w:hyperlink>
      <w:r>
        <w:t>。</w:t>
      </w:r>
    </w:p>
    <w:p>
      <w:pPr>
        <w:widowControl/>
        <w:ind w:left="173"/>
      </w:pPr>
      <w:r>
        <w:t>《纲要》第11章第1节《文化兴国运兴，文化强民族强》：</w:t>
      </w:r>
      <w:hyperlink r:id="rId12">
        <w:r>
          <w:rPr>
            <w:color w:val="334B3E"/>
          </w:rPr>
          <w:t>官方原文 ↗</w:t>
        </w:r>
      </w:hyperlink>
      <w:r>
        <w:t>。</w:t>
      </w:r>
    </w:p>
    <w:p>
      <w:pPr>
        <w:widowControl/>
        <w:ind w:left="173"/>
      </w:pPr>
      <w:r>
        <w:t>《纲要》第13章第1节《坚持人与自然和谐共生》：</w:t>
      </w:r>
      <w:hyperlink r:id="rId13">
        <w:r>
          <w:rPr>
            <w:color w:val="334B3E"/>
          </w:rPr>
          <w:t>官方原文 ↗</w:t>
        </w:r>
      </w:hyperlink>
      <w:r>
        <w:t>。</w:t>
      </w:r>
    </w:p>
    <w:p>
      <w:pPr>
        <w:widowControl/>
        <w:ind w:left="173"/>
      </w:pPr>
      <w:r>
        <w:t>《纲要》第14章第1节《国家安全是民族复兴的根基》：</w:t>
      </w:r>
      <w:hyperlink r:id="rId14">
        <w:r>
          <w:rPr>
            <w:color w:val="334B3E"/>
          </w:rPr>
          <w:t>官方原文 ↗</w:t>
        </w:r>
      </w:hyperlink>
      <w:r>
        <w:t>。</w:t>
      </w:r>
    </w:p>
    <w:p>
      <w:pPr>
        <w:widowControl/>
        <w:ind w:left="173"/>
      </w:pPr>
      <w:r>
        <w:t>《纲要》第15章第1节《坚持党对人民军队的绝对领导》：</w:t>
      </w:r>
      <w:hyperlink r:id="rId15">
        <w:r>
          <w:rPr>
            <w:color w:val="334B3E"/>
          </w:rPr>
          <w:t>官方原文 ↗</w:t>
        </w:r>
      </w:hyperlink>
      <w:r>
        <w:t>。</w:t>
      </w:r>
    </w:p>
    <w:p>
      <w:pPr>
        <w:widowControl/>
        <w:ind w:left="173"/>
      </w:pPr>
      <w:r>
        <w:t>《纲要》第16章第1节《“一国两制”是中国特色社会主义的伟大创举》：</w:t>
      </w:r>
      <w:hyperlink r:id="rId16">
        <w:r>
          <w:rPr>
            <w:color w:val="334B3E"/>
          </w:rPr>
          <w:t>官方原文 ↗</w:t>
        </w:r>
      </w:hyperlink>
      <w:r>
        <w:t>。</w:t>
      </w:r>
    </w:p>
    <w:p>
      <w:pPr>
        <w:widowControl/>
        <w:ind w:left="173"/>
      </w:pPr>
      <w:r>
        <w:t>《纲要》第17章第1节《世界是不可分割的命运共同体》：</w:t>
      </w:r>
      <w:hyperlink r:id="rId17">
        <w:r>
          <w:rPr>
            <w:color w:val="334B3E"/>
          </w:rPr>
          <w:t>官方原文 ↗</w:t>
        </w:r>
      </w:hyperlink>
      <w:r>
        <w:t>。</w:t>
      </w:r>
    </w:p>
    <w:p>
      <w:pPr>
        <w:widowControl/>
      </w:pPr>
      <w:r>
        <w:t>原文关键词短摘：『绿色发展』。短摘只帮助定位概念；上下文与完整表述请读所列官方页面。</w:t>
      </w:r>
    </w:p>
    <w:p>
      <w:pPr>
        <w:widowControl/>
        <w:ind w:left="173"/>
      </w:pPr>
      <w:r>
        <w:t>补充定位：第9章《使市场在资源配置中起决定性作用，更好发挥政府作用》，</w:t>
      </w:r>
      <w:hyperlink r:id="rId18">
        <w:r>
          <w:rPr>
            <w:color w:val="334B3E"/>
          </w:rPr>
          <w:t>原文 ↗</w:t>
        </w:r>
      </w:hyperlink>
      <w:r>
        <w:t>。</w:t>
      </w:r>
    </w:p>
    <w:p>
      <w:pPr>
        <w:pStyle w:val="Heading2"/>
      </w:pPr>
      <w:r>
        <w:t>这节课先弄懂什么</w:t>
      </w:r>
    </w:p>
    <w:p>
      <w:pPr>
        <w:widowControl/>
      </w:pPr>
      <w:r>
        <w:t>建立国家建设领域的完整导航，并用实际矛盾判断材料重点。学完应能区分领域、发展理念和政策工具，避免一篇材料被机械拆成经济政治文化等固定几段。</w:t>
      </w:r>
    </w:p>
    <w:p>
      <w:pPr>
        <w:pStyle w:val="Heading2"/>
      </w:pPr>
      <w:r>
        <w:t>核心知识讲解</w:t>
      </w:r>
    </w:p>
    <w:p>
      <w:pPr>
        <w:widowControl/>
      </w:pPr>
      <w:r>
        <w:t>经济建设重点关注发展动力、供需、产业、要素和资源配置。新发展理念中的创新、协调、绿色、开放、共享分别帮助观察动力、不平衡、生态、内外联动和成果共享问题，彼此有联系。具体分析时先看技术转化、人才、资金、市场或制度哪个环节形成卡点，不把“创新”统一替换成“上设备”。</w:t>
      </w:r>
    </w:p>
    <w:p>
      <w:pPr>
        <w:widowControl/>
      </w:pPr>
      <w:r>
        <w:t>社会主义基本经济制度还需准确区分三个方面：公有制为主体、多种所有制经济共同发展；按劳分配为主体、多种分配方式并存；社会主义市场经济体制。所有制、分配与资源配置回答不同问题，不能把支持民营企业理解为否定公有制主体地位，也不能把发挥政府作用理解为替企业决定一切。</w:t>
      </w:r>
    </w:p>
    <w:p>
      <w:pPr>
        <w:widowControl/>
      </w:pPr>
      <w:r>
        <w:t>政府与市场发挥作用的方式不同。企业作经营决策、形成竞争与创新动力，政府提供制度规则、公共服务、监管和必要保障。材料涉及营商环境，须辨别问题是审批流程、市场准入、权益保护、信息不对称还是公共配套，不能把所有帮助企业的办法都写成发补贴。专业判断仍须依照具体法律政策。</w:t>
      </w:r>
    </w:p>
    <w:p>
      <w:pPr>
        <w:widowControl/>
      </w:pPr>
      <w:r>
        <w:t>政治建设关注人民当家作主及其制度实现，文化建设关注价值、认同、传承、公共文化服务与创造，社会建设涉及就业、教育、医疗、保障和治理，生态文明建设涉及自然条件、保护修复与绿色转型。领域之间存在联系，如文化遗产保护同时涉及居民生活、产业使用、法治和长期管护，答案应围绕题意选择主要关系。</w:t>
      </w:r>
    </w:p>
    <w:p>
      <w:pPr>
        <w:widowControl/>
      </w:pPr>
      <w:r>
        <w:t>《纲要》第十四至十七章还涵盖国家安全、国防军队、“一国两制”与统一、外交。它们不能在系统学习中被删除。国家安全要求综合认识风险及相互影响；国防军队建设须准确理解党对人民军队的绝对领导；“一国两制”涉及国家统一及相应制度安排；外交关注和平发展、合作与共同应对挑战。这些是主题定位，不构成专业领域全部知识，也不直接转成普通基层题的统一答案。</w:t>
      </w:r>
    </w:p>
    <w:p>
      <w:pPr>
        <w:widowControl/>
      </w:pPr>
      <w:r>
        <w:t>发展与安全要在具体条件下分析。数字服务需要信息协同，也需要个人信息与数据安全保障；开发利用要看生态承载和长期成本。不能只说“兼顾”，要写出通过什么规则、技术、程序或运营安排减少冲突。</w:t>
      </w:r>
    </w:p>
    <w:p>
      <w:pPr>
        <w:pStyle w:val="Heading2"/>
      </w:pPr>
      <w:r>
        <w:t>案例及机制</w:t>
      </w:r>
    </w:p>
    <w:p>
      <w:pPr>
        <w:widowControl/>
      </w:pPr>
      <w:r>
        <w:t>事实案例：农业农村部网站2026年7月22日刊载余村实践材料，介绍余村从矿山关停、生态修复到产业转型、片区联动，并通过议事程序凝聚共识。本课采用其发展路径，不使用未逐项复算的收入或游客数字。</w:t>
      </w:r>
      <w:hyperlink r:id="rId19">
        <w:r>
          <w:rPr>
            <w:color w:val="334B3E"/>
          </w:rPr>
          <w:t>案例原文 ↗</w:t>
        </w:r>
      </w:hyperlink>
    </w:p>
    <w:p>
      <w:pPr>
        <w:widowControl/>
      </w:pPr>
      <w:r>
        <w:t>机制解释：调整高环境成本的生产方式，为生态修复创造条件；再结合当地资源、服务和经营形成新的发展路径。仅停止采矿不会自动产生可持续收入，还需要产业承接与长期运营。余村可以支持保护与发展关系的讨论，不能证明所有地方都适合发展旅游。</w:t>
      </w:r>
    </w:p>
    <w:p>
      <w:pPr>
        <w:pStyle w:val="Heading2"/>
      </w:pPr>
      <w:r>
        <w:t>从知识到申论写法</w:t>
      </w:r>
    </w:p>
    <w:p>
      <w:pPr>
        <w:widowControl/>
      </w:pPr>
      <w:r>
        <w:t>分析一项措施，先找它改变了什么：供给质量、参与方式、资源配置、文化呈现、生态成本还是风险管理。题目要求概括经验，就写材料实际做法，不先用五领域划分把不相关的内容凑齐。</w:t>
      </w:r>
    </w:p>
    <w:p>
      <w:pPr>
        <w:widowControl/>
      </w:pPr>
      <w:r>
        <w:t>原创论证段：绿色转型需要把生态约束转化为发展方式调整。对高环境成本的生产活动明确边界，同时修复资源条件、培育适合当地的经营与服务能力，才能为新的发展路径提供支撑。保护与利用要有规则和长期投入，不能把生态改善直接等同于产业成功。</w:t>
      </w:r>
    </w:p>
    <w:p>
      <w:pPr>
        <w:widowControl/>
      </w:pPr>
      <w:r>
        <w:t>文化题也可迁移“价值载体—使用方式—现实需要—保护条件”的分析动作，但不能将矿山治理措施照搬到传统工艺或文物保护中。迁移的是关系判断，不是案例外壳。</w:t>
      </w:r>
    </w:p>
    <w:p>
      <w:pPr>
        <w:pStyle w:val="Heading2"/>
      </w:pPr>
      <w:r>
        <w:t>最小记忆与独立输出</w:t>
      </w:r>
    </w:p>
    <w:p>
      <w:pPr>
        <w:widowControl/>
      </w:pPr>
      <w:r>
        <w:t>记住：领域用于定位，理念用于判断，工具用于行动。先找具体矛盾，再选相关关系。生态、安全、国防、统一与外交均有独立内涵，不能用一套基层治理话语全部覆盖。</w:t>
      </w:r>
    </w:p>
    <w:p>
      <w:pPr>
        <w:widowControl/>
      </w:pPr>
      <w:r>
        <w:t>独立输出：读一段文化或生态材料，写出主要矛盾、涉及的两种价值、一个连接机制和一个边界。再用120字完成分析，检查有没有只堆概念而没有解释过程。</w:t>
      </w:r>
    </w:p>
    <w:p>
      <w:pPr>
        <w:widowControl/>
      </w:pPr>
      <w:r>
        <w:t>核验截至2026年10月17日。时点与实际选读范围见来源对照；讲义不能替代题干和给定材料。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2026年10月17日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  <w:sz w:val="18"/>
      </w:rPr>
      <w:t>了解中国与申论八课讲义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Source Han Serif CN" w:hAnsi="Source Han Serif CN" w:eastAsia="Source Han Serif CN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Source Han Serif CN" w:hAnsi="Source Han Serif CN" w:eastAsia="Source Han Serif CN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Source Han Serif CN" w:hAnsi="Source Han Serif CN" w:eastAsia="Source Han Serif C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Source Han Serif CN" w:hAnsi="Source Han Serif CN" w:eastAsia="Source Han Serif CN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180"/>
      <w:contextualSpacing/>
    </w:pPr>
    <w:rPr>
      <w:rFonts w:asciiTheme="majorHAnsi" w:eastAsiaTheme="majorEastAsia" w:hAnsiTheme="majorHAnsi" w:cstheme="majorBidi" w:ascii="Source Han Serif CN" w:hAnsi="Source Han Serif CN" w:eastAsia="Source Han Serif CN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Source Han Serif CN" w:hAnsi="Source Han Serif CN" w:eastAsia="Source Han Serif C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12371.cn/2023/12/14/ARTI1702512191950614.shtml" TargetMode="External"/><Relationship Id="rId12" Type="http://schemas.openxmlformats.org/officeDocument/2006/relationships/hyperlink" Target="https://www.12371.cn/2024/01/08/ARTI1704671629710927.shtml" TargetMode="External"/><Relationship Id="rId13" Type="http://schemas.openxmlformats.org/officeDocument/2006/relationships/hyperlink" Target="https://www.12371.cn/2024/01/26/ARTI1706225708716293.shtml" TargetMode="External"/><Relationship Id="rId14" Type="http://schemas.openxmlformats.org/officeDocument/2006/relationships/hyperlink" Target="https://www.12371.cn/2024/02/04/ARTI1707002518205934.shtml" TargetMode="External"/><Relationship Id="rId15" Type="http://schemas.openxmlformats.org/officeDocument/2006/relationships/hyperlink" Target="https://www.12371.cn/2024/02/19/ARTI1708330210077310.shtml" TargetMode="External"/><Relationship Id="rId16" Type="http://schemas.openxmlformats.org/officeDocument/2006/relationships/hyperlink" Target="https://www.12371.cn/2024/03/08/ARTI1709866867244459.shtml" TargetMode="External"/><Relationship Id="rId17" Type="http://schemas.openxmlformats.org/officeDocument/2006/relationships/hyperlink" Target="https://www.12371.cn/2024/03/11/ARTI1710131089787114.shtml" TargetMode="External"/><Relationship Id="rId18" Type="http://schemas.openxmlformats.org/officeDocument/2006/relationships/hyperlink" Target="https://www.12371.cn/2023/12/20/ARTI1703030526875124.shtml" TargetMode="External"/><Relationship Id="rId19" Type="http://schemas.openxmlformats.org/officeDocument/2006/relationships/hyperlink" Target="https://jhs.moa.gov.cn/lsfz/202607/t20260722_6485992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官方依据与原创申论教学</dc:subject>
  <dc:creator>公考备考协作项目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