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CC363">
      <w:pPr>
        <w:keepNext/>
        <w:widowControl/>
        <w:spacing w:before="0" w:after="0" w:line="680" w:lineRule="exact"/>
        <w:ind w:firstLine="640"/>
        <w:contextualSpacing/>
        <w:jc w:val="center"/>
        <w:rPr>
          <w:rFonts w:ascii="Songti SC" w:hAnsi="Songti SC" w:eastAsia="Songti SC" w:cs="Songti SC"/>
          <w:b/>
          <w:color w:val="000000"/>
          <w:spacing w:val="5"/>
          <w:kern w:val="28"/>
          <w:sz w:val="44"/>
          <w:szCs w:val="52"/>
          <w:lang w:val="zh-CN" w:eastAsia="zh-CN" w:bidi="ar-SA"/>
          <w:woUserID w:val="1"/>
        </w:rPr>
      </w:pPr>
      <w:r>
        <w:rPr>
          <w:rFonts w:ascii="Songti SC" w:hAnsi="Songti SC" w:eastAsia="Songti SC" w:cs="Songti SC"/>
          <w:b/>
          <w:color w:val="000000"/>
          <w:spacing w:val="5"/>
          <w:kern w:val="28"/>
          <w:sz w:val="44"/>
          <w:szCs w:val="52"/>
          <w:lang w:val="zh-CN" w:eastAsia="zh-CN" w:bidi="ar-SA"/>
          <w:woUserID w:val="1"/>
        </w:rPr>
        <w:t>风控矩阵及三清单审核规则</w:t>
      </w:r>
    </w:p>
    <w:p w14:paraId="1E0FA1E6">
      <w:pPr>
        <w:keepNext/>
        <w:widowControl/>
        <w:spacing w:before="0" w:after="280" w:line="560" w:lineRule="exact"/>
        <w:ind w:firstLine="640"/>
        <w:jc w:val="center"/>
        <w:rPr>
          <w:rFonts w:hint="eastAsia" w:ascii="华文楷体" w:hAnsi="华文楷体" w:eastAsia="华文楷体" w:cs="华文楷体"/>
          <w:iCs/>
          <w:color w:val="000000"/>
          <w:spacing w:val="15"/>
          <w:sz w:val="32"/>
          <w:szCs w:val="24"/>
          <w:lang w:val="zh-CN" w:eastAsia="zh" w:bidi="ar-SA"/>
          <w:woUserID w:val="1"/>
        </w:rPr>
      </w:pPr>
      <w:r>
        <w:rPr>
          <w:rFonts w:ascii="华文楷体" w:hAnsi="华文楷体" w:eastAsia="华文楷体" w:cs="华文楷体"/>
          <w:iCs/>
          <w:color w:val="000000"/>
          <w:spacing w:val="15"/>
          <w:sz w:val="32"/>
          <w:szCs w:val="24"/>
          <w:lang w:val="zh-CN" w:eastAsia="zh-CN" w:bidi="ar-SA"/>
          <w:woUserID w:val="1"/>
        </w:rPr>
        <w:t>审核确认稿</w:t>
      </w:r>
      <w:r>
        <w:rPr>
          <w:rFonts w:hint="eastAsia" w:ascii="华文楷体" w:hAnsi="华文楷体" w:eastAsia="华文楷体" w:cs="华文楷体"/>
          <w:iCs/>
          <w:color w:val="000000"/>
          <w:spacing w:val="15"/>
          <w:sz w:val="32"/>
          <w:szCs w:val="24"/>
          <w:lang w:val="zh-CN" w:eastAsia="zh" w:bidi="ar-SA"/>
          <w:woUserID w:val="1"/>
        </w:rPr>
        <w:t>（重庆公司版）</w:t>
      </w:r>
    </w:p>
    <w:p w14:paraId="782EF8C9">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为统一风控矩阵及三清单审核口径，明确代码审核范围和审核意见填写要求，制定本规则。本规则按会计主体审核，重点检查资料完整性、字段规范、对应关系和明确的职责要求，供审核人员确认后执行。</w:t>
      </w:r>
    </w:p>
    <w:p w14:paraId="4686BA86">
      <w:pPr>
        <w:keepNext/>
        <w:keepLines/>
        <w:widowControl/>
        <w:snapToGrid w:val="0"/>
        <w:spacing w:before="0" w:after="0" w:line="560" w:lineRule="exact"/>
        <w:ind w:firstLine="640"/>
        <w:jc w:val="both"/>
        <w:outlineLvl w:val="0"/>
        <w:rPr>
          <w:rFonts w:ascii="Heiti SC" w:hAnsi="Heiti SC" w:eastAsia="Heiti SC" w:cs="Heiti SC"/>
          <w:bCs/>
          <w:color w:val="000000"/>
          <w:sz w:val="32"/>
          <w:szCs w:val="28"/>
          <w:lang w:val="zh-CN" w:eastAsia="zh-CN" w:bidi="ar-SA"/>
          <w:woUserID w:val="1"/>
        </w:rPr>
      </w:pPr>
      <w:r>
        <w:rPr>
          <w:rFonts w:ascii="Heiti SC" w:hAnsi="Heiti SC" w:eastAsia="Heiti SC" w:cs="Heiti SC"/>
          <w:bCs/>
          <w:color w:val="000000"/>
          <w:sz w:val="32"/>
          <w:szCs w:val="28"/>
          <w:lang w:val="zh-CN" w:eastAsia="zh-CN" w:bidi="ar-SA"/>
          <w:woUserID w:val="1"/>
        </w:rPr>
        <w:t>一、审核范围与基本口径</w:t>
      </w:r>
    </w:p>
    <w:p w14:paraId="1CC861E5">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（一）以会计主体为审核单元</w:t>
      </w:r>
    </w:p>
    <w:p w14:paraId="41CEDE86">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审核对象为</w:t>
      </w:r>
      <w:r>
        <w:rPr>
          <w:rFonts w:hint="eastAsia" w:ascii="华文仿宋" w:hAnsi="华文仿宋" w:eastAsia="华文仿宋" w:cs="华文仿宋"/>
          <w:color w:val="000000"/>
          <w:kern w:val="0"/>
          <w:sz w:val="32"/>
          <w:szCs w:val="22"/>
          <w:lang w:val="zh-CN" w:eastAsia="zh"/>
          <w:woUserID w:val="3"/>
        </w:rPr>
        <w:t>市</w:t>
      </w:r>
      <w:r>
        <w:rPr>
          <w:rFonts w:ascii="华文仿宋" w:hAnsi="华文仿宋" w:eastAsia="华文仿宋" w:cs="华文仿宋"/>
          <w:color w:val="000000"/>
          <w:kern w:val="0"/>
          <w:sz w:val="32"/>
          <w:szCs w:val="22"/>
          <w:lang w:val="zh-CN"/>
          <w:woUserID w:val="1"/>
        </w:rPr>
        <w:t>公司所属单位的各会计主体，包括市公司本部及其所属</w:t>
      </w:r>
      <w:r>
        <w:rPr>
          <w:rFonts w:hint="eastAsia" w:ascii="华文仿宋" w:hAnsi="华文仿宋" w:eastAsia="华文仿宋" w:cs="华文仿宋"/>
          <w:color w:val="000000"/>
          <w:kern w:val="0"/>
          <w:sz w:val="32"/>
          <w:szCs w:val="22"/>
          <w:lang w:val="zh-CN" w:eastAsia="zh"/>
          <w:woUserID w:val="3"/>
        </w:rPr>
        <w:t>区</w:t>
      </w:r>
      <w:r>
        <w:rPr>
          <w:rFonts w:ascii="华文仿宋" w:hAnsi="华文仿宋" w:eastAsia="华文仿宋" w:cs="华文仿宋"/>
          <w:color w:val="000000"/>
          <w:kern w:val="0"/>
          <w:sz w:val="32"/>
          <w:szCs w:val="22"/>
          <w:lang w:val="zh-CN"/>
          <w:woUserID w:val="1"/>
        </w:rPr>
        <w:t>县分公司、子公司等。具体主体范围以提供的会计主体清单为准。</w:t>
      </w:r>
      <w:del w:id="0" w:author="信仰" w:date="2026-10-10T22:09:38Z">
        <w:r>
          <w:rPr>
            <w:rFonts w:ascii="华文仿宋" w:hAnsi="华文仿宋" w:eastAsia="华文仿宋" w:cs="华文仿宋"/>
            <w:color w:val="000000"/>
            <w:kern w:val="0"/>
            <w:sz w:val="32"/>
            <w:szCs w:val="22"/>
            <w:lang w:val="zh-CN"/>
            <w:woUserID w:val="1"/>
          </w:rPr>
          <w:delText>市公司可统一归集报送材料，但市公司本部材料不得直接替代所属其他会计主体材料。</w:delText>
        </w:r>
      </w:del>
    </w:p>
    <w:p w14:paraId="48B12016">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建立“报送单位—会计主体—业务类别—材料类别”的对应关系。同一</w:t>
      </w:r>
      <w:del w:id="1" w:author="信仰" w:date="2026-10-10T22:10:36Z">
        <w:r>
          <w:rPr>
            <w:rFonts w:ascii="华文仿宋" w:hAnsi="华文仿宋" w:eastAsia="华文仿宋" w:cs="华文仿宋"/>
            <w:color w:val="000000"/>
            <w:kern w:val="0"/>
            <w:sz w:val="32"/>
            <w:szCs w:val="22"/>
            <w:lang w:val="zh-CN"/>
            <w:woUserID w:val="1"/>
          </w:rPr>
          <w:delText>市</w:delText>
        </w:r>
      </w:del>
      <w:r>
        <w:rPr>
          <w:rFonts w:ascii="华文仿宋" w:hAnsi="华文仿宋" w:eastAsia="华文仿宋" w:cs="华文仿宋"/>
          <w:color w:val="000000"/>
          <w:kern w:val="0"/>
          <w:sz w:val="32"/>
          <w:szCs w:val="22"/>
          <w:lang w:val="zh-CN"/>
          <w:woUserID w:val="1"/>
        </w:rPr>
        <w:t>公司目录下可包含多个主体，同一主体的资料也可分散在多个目录中；同一控制措施编号在不同主体中分别审核，不跨主体混用岗位、人员或载体信息。</w:t>
      </w:r>
    </w:p>
    <w:p w14:paraId="1933BBE1">
      <w:pPr>
        <w:keepNext/>
        <w:keepLines/>
        <w:widowControl/>
        <w:snapToGrid w:val="0"/>
        <w:spacing w:before="0" w:after="0" w:line="560" w:lineRule="exact"/>
        <w:ind w:firstLine="640"/>
        <w:jc w:val="both"/>
        <w:outlineLvl w:val="1"/>
        <w:rPr>
          <w:rFonts w:hint="default"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（二）统一材料识别口径</w:t>
      </w:r>
    </w:p>
    <w:p w14:paraId="2AE624B6">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递归查找提交目录及全部子目录。综合文件名、文件夹名称、工作簿标题和表内主体字段确定材料归属。优先采用明确指向会计主体的名称或经确认的简称，不将上级</w:t>
      </w:r>
      <w:del w:id="2" w:author="信仰" w:date="2026-10-10T22:12:04Z">
        <w:r>
          <w:rPr>
            <w:rFonts w:ascii="华文仿宋" w:hAnsi="华文仿宋" w:eastAsia="华文仿宋" w:cs="华文仿宋"/>
            <w:color w:val="000000"/>
            <w:kern w:val="0"/>
            <w:sz w:val="32"/>
            <w:szCs w:val="22"/>
            <w:lang w:val="zh-CN"/>
            <w:woUserID w:val="1"/>
          </w:rPr>
          <w:delText>市</w:delText>
        </w:r>
      </w:del>
      <w:r>
        <w:rPr>
          <w:rFonts w:ascii="华文仿宋" w:hAnsi="华文仿宋" w:eastAsia="华文仿宋" w:cs="华文仿宋"/>
          <w:color w:val="000000"/>
          <w:kern w:val="0"/>
          <w:sz w:val="32"/>
          <w:szCs w:val="22"/>
          <w:lang w:val="zh-CN"/>
          <w:woUserID w:val="1"/>
        </w:rPr>
        <w:t>公司文件夹名称直接认定为全部文件的会计主体。信息冲突或无法唯一归属时，提出意见。</w:t>
      </w:r>
    </w:p>
    <w:p w14:paraId="072095D5">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commentRangeStart w:id="0"/>
      <w:r>
        <w:rPr>
          <w:rFonts w:ascii="华文仿宋" w:hAnsi="华文仿宋" w:eastAsia="华文仿宋" w:cs="华文仿宋"/>
          <w:color w:val="000000"/>
          <w:kern w:val="0"/>
          <w:sz w:val="32"/>
          <w:szCs w:val="22"/>
          <w:lang w:val="zh-CN"/>
          <w:woUserID w:val="1"/>
        </w:rPr>
        <w:t>矩阵及三清单文件限.xlsx、.xls格式，扩展名不区分大小写，且应能够正常读取。</w:t>
      </w:r>
      <w:commentRangeEnd w:id="0"/>
      <w:r>
        <w:rPr>
          <w:rFonts w:ascii="华文仿宋" w:hAnsi="华文仿宋" w:eastAsia="华文仿宋" w:cs="华文仿宋"/>
          <w:color w:val="000000"/>
          <w:kern w:val="0"/>
          <w:sz w:val="32"/>
          <w:szCs w:val="22"/>
          <w:lang w:val="zh-CN"/>
          <w:woUserID w:val="1"/>
        </w:rPr>
        <w:commentReference w:id="0"/>
      </w:r>
      <w:r>
        <w:rPr>
          <w:rFonts w:ascii="华文仿宋" w:hAnsi="华文仿宋" w:eastAsia="华文仿宋" w:cs="华文仿宋"/>
          <w:color w:val="000000"/>
          <w:kern w:val="0"/>
          <w:sz w:val="32"/>
          <w:szCs w:val="22"/>
          <w:lang w:val="zh-CN"/>
          <w:woUserID w:val="1"/>
        </w:rPr>
        <w:t>独立工作簿或工作簿中的相应业务工作表均可识别。临时锁定文件不计入材料数量，重复文件不重复计数；多个版本无法确定正式版本时，提出意见。</w:t>
      </w:r>
    </w:p>
    <w:p w14:paraId="424820BF">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（三）统一表格读取口径</w:t>
      </w:r>
    </w:p>
    <w:p w14:paraId="7A182745">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按实际合并范围展开合并单元格，不将所有空白一律向下填充。隐藏行、隐藏列仍读取，不直接视为已删除或不适用；历史核对表、字典表等辅助工作表不混入正式业务明细。</w:t>
      </w:r>
    </w:p>
    <w:p w14:paraId="099EB01C">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1002908A">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全文涉及到控制措施编号，只需要提取里面的数字即可，比如“职工福利保障与薪酬管理业务-12.职工疗养组织-控制措施05”，提取数字12和05。</w:t>
      </w:r>
    </w:p>
    <w:p w14:paraId="04AEE354">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如何认为两个控制措施相同：只需要当数字一样就可认为两个措施编号相同，比如：职工福利保障与薪酬管理业务-12.职工疗养组织-控制措施05与xxx福利保障与xxx管理业务-12.职工疗养组织-控制措施05。虽然内容不一样，但是数字是一样的。所以可以认为这两个是同一个措施。</w:t>
      </w:r>
    </w:p>
    <w:p w14:paraId="75FF852E">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w:t>
      </w:r>
      <w:r>
        <w:rPr>
          <w:rFonts w:hint="eastAsia" w:ascii="华文楷体" w:hAnsi="华文楷体" w:eastAsia="华文楷体" w:cs="华文楷体"/>
          <w:b/>
          <w:bCs/>
          <w:color w:val="000000"/>
          <w:sz w:val="32"/>
          <w:szCs w:val="26"/>
          <w:lang w:val="zh-CN" w:eastAsia="zh" w:bidi="ar-SA"/>
          <w:woUserID w:val="1"/>
        </w:rPr>
        <w:t>四</w:t>
      </w:r>
      <w:r>
        <w:rPr>
          <w:rFonts w:ascii="华文楷体" w:hAnsi="华文楷体" w:eastAsia="华文楷体" w:cs="华文楷体"/>
          <w:b/>
          <w:bCs/>
          <w:color w:val="000000"/>
          <w:sz w:val="32"/>
          <w:szCs w:val="26"/>
          <w:lang w:val="zh-CN" w:eastAsia="zh-CN" w:bidi="ar-SA"/>
          <w:woUserID w:val="1"/>
        </w:rPr>
        <w:t>）</w:t>
      </w:r>
      <w:r>
        <w:rPr>
          <w:rFonts w:hint="eastAsia" w:ascii="华文楷体" w:hAnsi="华文楷体" w:eastAsia="华文楷体" w:cs="华文楷体"/>
          <w:b/>
          <w:bCs/>
          <w:color w:val="000000"/>
          <w:sz w:val="32"/>
          <w:szCs w:val="26"/>
          <w:lang w:val="zh-CN" w:eastAsia="zh" w:bidi="ar-SA"/>
          <w:woUserID w:val="1"/>
        </w:rPr>
        <w:t>数据预处理</w:t>
      </w:r>
    </w:p>
    <w:p w14:paraId="01DCF31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b w:val="0"/>
          <w:i w:val="0"/>
          <w:color w:val="000000"/>
          <w:kern w:val="0"/>
          <w:sz w:val="32"/>
          <w:szCs w:val="32"/>
          <w:lang w:val="en-US" w:eastAsia="zh" w:bidi="ar"/>
          <w:woUserID w:val="1"/>
        </w:rPr>
      </w:pPr>
      <w:r>
        <w:rPr>
          <w:rFonts w:hint="eastAsia" w:ascii="华文仿宋" w:hAnsi="华文仿宋" w:eastAsia="华文仿宋" w:cs="华文仿宋"/>
          <w:b w:val="0"/>
          <w:i w:val="0"/>
          <w:color w:val="000000"/>
          <w:kern w:val="0"/>
          <w:sz w:val="32"/>
          <w:szCs w:val="32"/>
          <w:lang w:val="en-US" w:eastAsia="zh" w:bidi="ar"/>
          <w:woUserID w:val="1"/>
        </w:rPr>
        <w:t>1、排序</w:t>
      </w:r>
    </w:p>
    <w:p w14:paraId="7C52C8C3">
      <w:pPr>
        <w:keepNext w:val="0"/>
        <w:keepLines w:val="0"/>
        <w:widowControl/>
        <w:suppressLineNumbers w:val="0"/>
        <w:snapToGrid w:val="0"/>
        <w:spacing w:before="0" w:beforeAutospacing="0" w:after="0" w:afterAutospacing="0" w:line="240" w:lineRule="auto"/>
        <w:ind w:left="0" w:right="0" w:firstLine="640"/>
        <w:jc w:val="left"/>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b w:val="0"/>
          <w:i w:val="0"/>
          <w:color w:val="000000"/>
          <w:kern w:val="0"/>
          <w:sz w:val="32"/>
          <w:szCs w:val="32"/>
          <w:lang w:val="en-US" w:eastAsia="zh-CN" w:bidi="ar"/>
          <w:woUserID w:val="1"/>
        </w:rPr>
        <w:t>岗位内控责任清单</w:t>
      </w:r>
      <w:r>
        <w:rPr>
          <w:rFonts w:hint="eastAsia" w:ascii="华文仿宋" w:hAnsi="华文仿宋" w:eastAsia="华文仿宋" w:cs="华文仿宋"/>
          <w:color w:val="000000"/>
          <w:kern w:val="0"/>
          <w:sz w:val="32"/>
          <w:szCs w:val="22"/>
          <w:lang w:val="zh-CN" w:eastAsia="zh"/>
          <w:woUserID w:val="1"/>
        </w:rPr>
        <w:t>按照控制措施编号排序，提取里面的数字排序，当表格有合并单元格的情况是需要自己处理。比如：“职工福利保障与薪酬管理业务-12.职工疗养组织-控制措施05”，提取数字12和05。职工福利保障与薪酬管理业务-2.工资总额计划管理-控制措施02，提取数字2和02，那么2对应的控制措施在12的前面。</w:t>
      </w:r>
    </w:p>
    <w:p w14:paraId="6662F2FD">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b w:val="0"/>
          <w:i w:val="0"/>
          <w:color w:val="000000"/>
          <w:kern w:val="0"/>
          <w:sz w:val="32"/>
          <w:szCs w:val="32"/>
          <w:lang w:val="en-US" w:eastAsia="zh-CN" w:bidi="ar"/>
          <w:woUserID w:val="1"/>
        </w:rPr>
        <w:t>同一措施的多条记录应连续排列，措施内部各部门、岗位或规则之间暂不规定先后顺序。合并单元格在读取时按合并范围补齐，标题、表头、填表说明和空白行不参与排序。</w:t>
      </w:r>
    </w:p>
    <w:p w14:paraId="484EE886">
      <w:pPr>
        <w:widowControl/>
        <w:numPr>
          <w:ilvl w:val="0"/>
          <w:numId w:val="1"/>
        </w:numPr>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按模板匹配结果追加重庆公司版本责任主体列</w:t>
      </w:r>
    </w:p>
    <w:p w14:paraId="09B1EDB9">
      <w:pPr>
        <w:widowControl/>
        <w:numPr>
          <w:ilvl w:val="-1"/>
          <w:numId w:val="0"/>
        </w:numPr>
        <w:snapToGrid w:val="0"/>
        <w:spacing w:before="0" w:after="0" w:line="560" w:lineRule="exact"/>
        <w:ind w:firstLine="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先按送审矩阵的业务类别、文件名、工作表名称和表内标题，匹配重庆公司版本或该业务指定的更新版本。仅在唯一匹配成功时，将模板“责任主体”列追加至送审矩阵末尾，列名统一为“省公司版本责任主体（核对后删除）”，并保留模板中的相关标记。未匹配、匹配不唯一或模板无法读取时，不新增该列，但送审矩阵仍参与其他审核。</w:t>
      </w:r>
    </w:p>
    <w:p w14:paraId="3FB1C530">
      <w:pPr>
        <w:widowControl/>
        <w:numPr>
          <w:ilvl w:val="0"/>
          <w:numId w:val="1"/>
        </w:numPr>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en-US" w:eastAsia="zh" w:bidi="ar"/>
          <w:woUserID w:val="1"/>
        </w:rPr>
        <w:t>系统类型清单中判断表头是否有系统类型类</w:t>
      </w:r>
    </w:p>
    <w:p w14:paraId="17FBE10D">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b/>
          <w:bCs/>
          <w:color w:val="000000"/>
          <w:kern w:val="0"/>
          <w:sz w:val="32"/>
          <w:szCs w:val="32"/>
          <w:lang w:val="en-US" w:eastAsia="zh-CN" w:bidi="ar"/>
          <w:woUserID w:val="1"/>
        </w:rPr>
        <w:t>3.1 识别“系统类型”列</w:t>
      </w:r>
    </w:p>
    <w:p w14:paraId="6A5626B4">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color w:val="000000"/>
          <w:kern w:val="0"/>
          <w:sz w:val="32"/>
          <w:szCs w:val="32"/>
          <w:lang w:val="en-US" w:eastAsia="zh-CN" w:bidi="ar"/>
          <w:woUserID w:val="1"/>
        </w:rPr>
        <w:t>1. 读取“系统控制规则清单”的表头行，判断是否存在“系统类型”列。</w:t>
      </w:r>
    </w:p>
    <w:p w14:paraId="2D0CC21A">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color w:val="000000"/>
          <w:kern w:val="0"/>
          <w:sz w:val="32"/>
          <w:szCs w:val="32"/>
          <w:lang w:val="en-US" w:eastAsia="zh" w:bidi="ar"/>
          <w:woUserID w:val="1"/>
        </w:rPr>
        <w:t>2</w:t>
      </w:r>
      <w:r>
        <w:rPr>
          <w:rFonts w:hint="eastAsia" w:ascii="华文仿宋" w:hAnsi="华文仿宋" w:eastAsia="华文仿宋" w:cs="华文仿宋"/>
          <w:color w:val="000000"/>
          <w:kern w:val="0"/>
          <w:sz w:val="32"/>
          <w:szCs w:val="32"/>
          <w:lang w:val="en-US" w:eastAsia="zh-CN" w:bidi="ar"/>
          <w:woUserID w:val="1"/>
        </w:rPr>
        <w:t>. 若不存在，则检查表头下方数据行是否出现“一级部署系统”“二级部署系统”“三级部署系统”中的任一值：</w:t>
      </w:r>
    </w:p>
    <w:p w14:paraId="14D5C900">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color w:val="000000"/>
          <w:kern w:val="0"/>
          <w:sz w:val="32"/>
          <w:szCs w:val="32"/>
          <w:lang w:val="en-US" w:eastAsia="zh-CN" w:bidi="ar"/>
          <w:woUserID w:val="1"/>
        </w:rPr>
        <w:t>• 若存在，则将对应列认定为“系统类型”列，并将列表头修改为“系统类型”。</w:t>
      </w:r>
    </w:p>
    <w:p w14:paraId="038FCEBA">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color w:val="000000"/>
          <w:kern w:val="0"/>
          <w:sz w:val="32"/>
          <w:szCs w:val="32"/>
          <w:lang w:val="en-US" w:eastAsia="zh-CN" w:bidi="ar"/>
          <w:woUserID w:val="1"/>
        </w:rPr>
        <w:t>• 若不存在，则在“系统名称”列与“系统规则管理主体”列之间新增一列，列名设置为“系统类型”。</w:t>
      </w:r>
    </w:p>
    <w:p w14:paraId="6C0DC527">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b/>
          <w:bCs/>
          <w:color w:val="000000"/>
          <w:kern w:val="0"/>
          <w:sz w:val="32"/>
          <w:szCs w:val="32"/>
          <w:lang w:val="en-US" w:eastAsia="zh-CN" w:bidi="ar"/>
          <w:woUserID w:val="1"/>
        </w:rPr>
        <w:t>3.2 填写“系统类型”</w:t>
      </w:r>
    </w:p>
    <w:p w14:paraId="5C56B864">
      <w:pPr>
        <w:keepNext w:val="0"/>
        <w:keepLines w:val="0"/>
        <w:widowControl/>
        <w:suppressLineNumbers w:val="0"/>
        <w:snapToGrid w:val="0"/>
        <w:spacing w:before="0" w:beforeAutospacing="0" w:after="0" w:afterAutospacing="0" w:line="560" w:lineRule="exact"/>
        <w:ind w:left="640" w:right="0" w:firstLine="64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color w:val="000000"/>
          <w:kern w:val="0"/>
          <w:sz w:val="32"/>
          <w:szCs w:val="32"/>
          <w:lang w:val="en-US" w:eastAsia="zh-CN" w:bidi="ar"/>
          <w:woUserID w:val="1"/>
        </w:rPr>
        <w:t>逐行读取“系统规则管理主体”列，并按以下规则填写“系统类型”列：</w:t>
      </w:r>
    </w:p>
    <w:p w14:paraId="21BE65F4">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b/>
          <w:bCs/>
          <w:color w:val="000000"/>
          <w:kern w:val="0"/>
          <w:sz w:val="32"/>
          <w:szCs w:val="32"/>
          <w:lang w:val="en-US" w:eastAsia="zh-CN" w:bidi="ar"/>
          <w:woUserID w:val="1"/>
        </w:rPr>
        <w:t>1. 总部单位</w:t>
      </w:r>
      <w:r>
        <w:rPr>
          <w:rFonts w:hint="eastAsia" w:ascii="华文仿宋" w:hAnsi="华文仿宋" w:eastAsia="华文仿宋" w:cs="华文仿宋"/>
          <w:color w:val="000000"/>
          <w:kern w:val="0"/>
          <w:sz w:val="32"/>
          <w:szCs w:val="32"/>
          <w:lang w:val="en-US" w:eastAsia="zh-CN" w:bidi="ar"/>
          <w:woUserID w:val="1"/>
        </w:rPr>
        <w:t>“系统规则管理主体”为“总部”或明确表示总部的，填写“一级部署系统”。</w:t>
      </w:r>
    </w:p>
    <w:p w14:paraId="6AE8597F">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b/>
          <w:bCs/>
          <w:color w:val="000000"/>
          <w:kern w:val="0"/>
          <w:sz w:val="32"/>
          <w:szCs w:val="32"/>
          <w:lang w:val="en-US" w:eastAsia="zh-CN" w:bidi="ar"/>
          <w:woUserID w:val="1"/>
        </w:rPr>
        <w:t xml:space="preserve">2. </w:t>
      </w:r>
      <w:ins w:id="5" w:author="信仰" w:date="2026-10-10T22:16:50Z">
        <w:r>
          <w:rPr>
            <w:rFonts w:hint="eastAsia" w:ascii="华文仿宋" w:hAnsi="华文仿宋" w:eastAsia="华文仿宋" w:cs="华文仿宋"/>
            <w:b/>
            <w:bCs/>
            <w:color w:val="000000"/>
            <w:kern w:val="0"/>
            <w:sz w:val="32"/>
            <w:szCs w:val="32"/>
            <w:lang w:val="en-US" w:eastAsia="zh" w:bidi="ar"/>
            <w:woUserID w:val="3"/>
          </w:rPr>
          <w:t>重庆市</w:t>
        </w:r>
      </w:ins>
      <w:del w:id="6" w:author="信仰" w:date="2026-10-10T22:16:46Z">
        <w:r>
          <w:rPr>
            <w:rFonts w:hint="eastAsia" w:ascii="华文仿宋" w:hAnsi="华文仿宋" w:eastAsia="华文仿宋" w:cs="华文仿宋"/>
            <w:b/>
            <w:bCs/>
            <w:color w:val="000000"/>
            <w:kern w:val="0"/>
            <w:sz w:val="32"/>
            <w:szCs w:val="32"/>
            <w:lang w:val="en-US" w:eastAsia="zh-CN" w:bidi="ar"/>
            <w:woUserID w:val="1"/>
          </w:rPr>
          <w:delText>湖南省</w:delText>
        </w:r>
      </w:del>
      <w:r>
        <w:rPr>
          <w:rFonts w:hint="eastAsia" w:ascii="华文仿宋" w:hAnsi="华文仿宋" w:eastAsia="华文仿宋" w:cs="华文仿宋"/>
          <w:b/>
          <w:bCs/>
          <w:color w:val="000000"/>
          <w:kern w:val="0"/>
          <w:sz w:val="32"/>
          <w:szCs w:val="32"/>
          <w:lang w:val="en-US" w:eastAsia="zh-CN" w:bidi="ar"/>
          <w:woUserID w:val="1"/>
        </w:rPr>
        <w:t>级单位</w:t>
      </w:r>
      <w:r>
        <w:rPr>
          <w:rFonts w:hint="eastAsia" w:ascii="华文仿宋" w:hAnsi="华文仿宋" w:eastAsia="华文仿宋" w:cs="华文仿宋"/>
          <w:color w:val="000000"/>
          <w:kern w:val="0"/>
          <w:sz w:val="32"/>
          <w:szCs w:val="32"/>
          <w:lang w:val="en-US" w:eastAsia="zh-CN" w:bidi="ar"/>
          <w:woUserID w:val="1"/>
        </w:rPr>
        <w:t>“系统规则管理主体”不属于总部，但等于、包含或语义上表示“</w:t>
      </w:r>
      <w:ins w:id="7" w:author="信仰" w:date="2026-10-10T22:17:00Z">
        <w:r>
          <w:rPr>
            <w:rFonts w:hint="eastAsia" w:ascii="华文仿宋" w:hAnsi="华文仿宋" w:eastAsia="华文仿宋" w:cs="华文仿宋"/>
            <w:color w:val="000000"/>
            <w:kern w:val="0"/>
            <w:sz w:val="32"/>
            <w:szCs w:val="32"/>
            <w:lang w:val="en-US" w:eastAsia="zh" w:bidi="ar"/>
            <w:woUserID w:val="3"/>
          </w:rPr>
          <w:t>重庆市</w:t>
        </w:r>
      </w:ins>
      <w:del w:id="8" w:author="信仰" w:date="2026-10-10T22:16:57Z">
        <w:r>
          <w:rPr>
            <w:rFonts w:hint="eastAsia" w:ascii="华文仿宋" w:hAnsi="华文仿宋" w:eastAsia="华文仿宋" w:cs="华文仿宋"/>
            <w:color w:val="000000"/>
            <w:kern w:val="0"/>
            <w:sz w:val="32"/>
            <w:szCs w:val="32"/>
            <w:lang w:val="en-US" w:eastAsia="zh-CN" w:bidi="ar"/>
            <w:woUserID w:val="1"/>
          </w:rPr>
          <w:delText>湖南省</w:delText>
        </w:r>
      </w:del>
      <w:r>
        <w:rPr>
          <w:rFonts w:hint="eastAsia" w:ascii="华文仿宋" w:hAnsi="华文仿宋" w:eastAsia="华文仿宋" w:cs="华文仿宋"/>
          <w:color w:val="000000"/>
          <w:kern w:val="0"/>
          <w:sz w:val="32"/>
          <w:szCs w:val="32"/>
          <w:lang w:val="en-US" w:eastAsia="zh-CN" w:bidi="ar"/>
          <w:woUserID w:val="1"/>
        </w:rPr>
        <w:t>级单位”的，填写“二级部署系统”。</w:t>
      </w:r>
    </w:p>
    <w:p w14:paraId="3724B16E">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b/>
          <w:bCs/>
          <w:color w:val="000000"/>
          <w:kern w:val="0"/>
          <w:sz w:val="32"/>
          <w:szCs w:val="32"/>
          <w:lang w:val="en-US" w:eastAsia="zh-CN" w:bidi="ar"/>
          <w:woUserID w:val="1"/>
        </w:rPr>
        <w:t>例如：</w:t>
      </w:r>
      <w:r>
        <w:rPr>
          <w:rFonts w:hint="eastAsia" w:ascii="华文仿宋" w:hAnsi="华文仿宋" w:eastAsia="华文仿宋" w:cs="华文仿宋"/>
          <w:color w:val="000000"/>
          <w:kern w:val="0"/>
          <w:sz w:val="32"/>
          <w:szCs w:val="32"/>
          <w:lang w:val="en-US" w:eastAsia="zh-CN" w:bidi="ar"/>
          <w:woUserID w:val="1"/>
        </w:rPr>
        <w:t>“</w:t>
      </w:r>
      <w:ins w:id="9" w:author="信仰" w:date="2026-10-10T22:17:09Z">
        <w:r>
          <w:rPr>
            <w:rFonts w:hint="eastAsia" w:ascii="华文仿宋" w:hAnsi="华文仿宋" w:eastAsia="华文仿宋" w:cs="华文仿宋"/>
            <w:color w:val="000000"/>
            <w:kern w:val="0"/>
            <w:sz w:val="32"/>
            <w:szCs w:val="32"/>
            <w:lang w:val="en-US" w:eastAsia="zh" w:bidi="ar"/>
            <w:woUserID w:val="3"/>
          </w:rPr>
          <w:t>重庆</w:t>
        </w:r>
      </w:ins>
      <w:del w:id="10" w:author="信仰" w:date="2026-10-10T22:17:04Z">
        <w:r>
          <w:rPr>
            <w:rFonts w:hint="eastAsia" w:ascii="华文仿宋" w:hAnsi="华文仿宋" w:eastAsia="华文仿宋" w:cs="华文仿宋"/>
            <w:color w:val="000000"/>
            <w:kern w:val="0"/>
            <w:sz w:val="32"/>
            <w:szCs w:val="32"/>
            <w:lang w:val="en-US" w:eastAsia="zh-CN" w:bidi="ar"/>
            <w:woUserID w:val="1"/>
          </w:rPr>
          <w:delText>湖南</w:delText>
        </w:r>
      </w:del>
      <w:r>
        <w:rPr>
          <w:rFonts w:hint="eastAsia" w:ascii="华文仿宋" w:hAnsi="华文仿宋" w:eastAsia="华文仿宋" w:cs="华文仿宋"/>
          <w:color w:val="000000"/>
          <w:kern w:val="0"/>
          <w:sz w:val="32"/>
          <w:szCs w:val="32"/>
          <w:lang w:val="en-US" w:eastAsia="zh-CN" w:bidi="ar"/>
          <w:woUserID w:val="1"/>
        </w:rPr>
        <w:t>”“</w:t>
      </w:r>
      <w:ins w:id="11" w:author="信仰" w:date="2026-10-10T22:17:11Z">
        <w:r>
          <w:rPr>
            <w:rFonts w:hint="eastAsia" w:ascii="华文仿宋" w:hAnsi="华文仿宋" w:eastAsia="华文仿宋" w:cs="华文仿宋"/>
            <w:color w:val="000000"/>
            <w:kern w:val="0"/>
            <w:sz w:val="32"/>
            <w:szCs w:val="32"/>
            <w:lang w:val="en-US" w:eastAsia="zh" w:bidi="ar"/>
            <w:woUserID w:val="3"/>
          </w:rPr>
          <w:t>市</w:t>
        </w:r>
      </w:ins>
      <w:del w:id="12" w:author="信仰" w:date="2026-10-10T22:17:11Z">
        <w:r>
          <w:rPr>
            <w:rFonts w:hint="eastAsia" w:ascii="华文仿宋" w:hAnsi="华文仿宋" w:eastAsia="华文仿宋" w:cs="华文仿宋"/>
            <w:color w:val="000000"/>
            <w:kern w:val="0"/>
            <w:sz w:val="32"/>
            <w:szCs w:val="32"/>
            <w:lang w:val="en-US" w:eastAsia="zh-CN" w:bidi="ar"/>
            <w:woUserID w:val="1"/>
          </w:rPr>
          <w:delText>省</w:delText>
        </w:r>
      </w:del>
      <w:r>
        <w:rPr>
          <w:rFonts w:hint="eastAsia" w:ascii="华文仿宋" w:hAnsi="华文仿宋" w:eastAsia="华文仿宋" w:cs="华文仿宋"/>
          <w:color w:val="000000"/>
          <w:kern w:val="0"/>
          <w:sz w:val="32"/>
          <w:szCs w:val="32"/>
          <w:lang w:val="en-US" w:eastAsia="zh-CN" w:bidi="ar"/>
          <w:woUserID w:val="1"/>
        </w:rPr>
        <w:t>公司”“</w:t>
      </w:r>
      <w:ins w:id="13" w:author="信仰" w:date="2026-10-10T22:17:19Z">
        <w:r>
          <w:rPr>
            <w:rFonts w:hint="eastAsia" w:ascii="华文仿宋" w:hAnsi="华文仿宋" w:eastAsia="华文仿宋" w:cs="华文仿宋"/>
            <w:color w:val="000000"/>
            <w:kern w:val="0"/>
            <w:sz w:val="32"/>
            <w:szCs w:val="32"/>
            <w:lang w:val="en-US" w:eastAsia="zh" w:bidi="ar"/>
            <w:woUserID w:val="3"/>
          </w:rPr>
          <w:t>重庆</w:t>
        </w:r>
      </w:ins>
      <w:del w:id="14" w:author="信仰" w:date="2026-10-10T22:17:14Z">
        <w:r>
          <w:rPr>
            <w:rFonts w:hint="eastAsia" w:ascii="华文仿宋" w:hAnsi="华文仿宋" w:eastAsia="华文仿宋" w:cs="华文仿宋"/>
            <w:color w:val="000000"/>
            <w:kern w:val="0"/>
            <w:sz w:val="32"/>
            <w:szCs w:val="32"/>
            <w:lang w:val="en-US" w:eastAsia="zh-CN" w:bidi="ar"/>
            <w:woUserID w:val="1"/>
          </w:rPr>
          <w:delText>湖南</w:delText>
        </w:r>
      </w:del>
      <w:r>
        <w:rPr>
          <w:rFonts w:hint="eastAsia" w:ascii="华文仿宋" w:hAnsi="华文仿宋" w:eastAsia="华文仿宋" w:cs="华文仿宋"/>
          <w:color w:val="000000"/>
          <w:kern w:val="0"/>
          <w:sz w:val="32"/>
          <w:szCs w:val="32"/>
          <w:lang w:val="en-US" w:eastAsia="zh-CN" w:bidi="ar"/>
          <w:woUserID w:val="1"/>
        </w:rPr>
        <w:t>电力”“</w:t>
      </w:r>
      <w:ins w:id="15" w:author="信仰" w:date="2026-10-10T22:18:03Z">
        <w:r>
          <w:rPr>
            <w:rFonts w:hint="eastAsia" w:ascii="华文仿宋" w:hAnsi="华文仿宋" w:eastAsia="华文仿宋" w:cs="华文仿宋"/>
            <w:color w:val="000000"/>
            <w:kern w:val="0"/>
            <w:sz w:val="32"/>
            <w:szCs w:val="32"/>
            <w:lang w:val="en-US" w:eastAsia="zh" w:bidi="ar"/>
            <w:woUserID w:val="3"/>
          </w:rPr>
          <w:t>重庆市</w:t>
        </w:r>
      </w:ins>
      <w:del w:id="16" w:author="信仰" w:date="2026-10-10T22:18:01Z">
        <w:r>
          <w:rPr>
            <w:rFonts w:hint="eastAsia" w:ascii="华文仿宋" w:hAnsi="华文仿宋" w:eastAsia="华文仿宋" w:cs="华文仿宋"/>
            <w:color w:val="000000"/>
            <w:kern w:val="0"/>
            <w:sz w:val="32"/>
            <w:szCs w:val="32"/>
            <w:lang w:val="en-US" w:eastAsia="zh-CN" w:bidi="ar"/>
            <w:woUserID w:val="1"/>
          </w:rPr>
          <w:delText>湖南省</w:delText>
        </w:r>
      </w:del>
      <w:r>
        <w:rPr>
          <w:rFonts w:hint="eastAsia" w:ascii="华文仿宋" w:hAnsi="华文仿宋" w:eastAsia="华文仿宋" w:cs="华文仿宋"/>
          <w:color w:val="000000"/>
          <w:kern w:val="0"/>
          <w:sz w:val="32"/>
          <w:szCs w:val="32"/>
          <w:lang w:val="en-US" w:eastAsia="zh-CN" w:bidi="ar"/>
          <w:woUserID w:val="1"/>
        </w:rPr>
        <w:t>”“国网</w:t>
      </w:r>
      <w:ins w:id="17" w:author="信仰" w:date="2026-10-10T22:18:12Z">
        <w:r>
          <w:rPr>
            <w:rFonts w:hint="eastAsia" w:ascii="华文仿宋" w:hAnsi="华文仿宋" w:eastAsia="华文仿宋" w:cs="华文仿宋"/>
            <w:color w:val="000000"/>
            <w:kern w:val="0"/>
            <w:sz w:val="32"/>
            <w:szCs w:val="32"/>
            <w:lang w:val="en-US" w:eastAsia="zh" w:bidi="ar"/>
            <w:woUserID w:val="3"/>
          </w:rPr>
          <w:t>重庆市</w:t>
        </w:r>
      </w:ins>
      <w:del w:id="18" w:author="信仰" w:date="2026-10-10T22:18:08Z">
        <w:r>
          <w:rPr>
            <w:rFonts w:hint="eastAsia" w:ascii="华文仿宋" w:hAnsi="华文仿宋" w:eastAsia="华文仿宋" w:cs="华文仿宋"/>
            <w:color w:val="000000"/>
            <w:kern w:val="0"/>
            <w:sz w:val="32"/>
            <w:szCs w:val="32"/>
            <w:lang w:val="en-US" w:eastAsia="zh-CN" w:bidi="ar"/>
            <w:woUserID w:val="1"/>
          </w:rPr>
          <w:delText>湖南省</w:delText>
        </w:r>
      </w:del>
      <w:r>
        <w:rPr>
          <w:rFonts w:hint="eastAsia" w:ascii="华文仿宋" w:hAnsi="华文仿宋" w:eastAsia="华文仿宋" w:cs="华文仿宋"/>
          <w:color w:val="000000"/>
          <w:kern w:val="0"/>
          <w:sz w:val="32"/>
          <w:szCs w:val="32"/>
          <w:lang w:val="en-US" w:eastAsia="zh-CN" w:bidi="ar"/>
          <w:woUserID w:val="1"/>
        </w:rPr>
        <w:t>电力有限公司”“</w:t>
      </w:r>
      <w:ins w:id="19" w:author="信仰" w:date="2026-10-10T22:18:18Z">
        <w:r>
          <w:rPr>
            <w:rFonts w:hint="eastAsia" w:ascii="华文仿宋" w:hAnsi="华文仿宋" w:eastAsia="华文仿宋" w:cs="华文仿宋"/>
            <w:color w:val="000000"/>
            <w:kern w:val="0"/>
            <w:sz w:val="32"/>
            <w:szCs w:val="32"/>
            <w:lang w:val="en-US" w:eastAsia="zh" w:bidi="ar"/>
            <w:woUserID w:val="3"/>
          </w:rPr>
          <w:t>重庆市</w:t>
        </w:r>
      </w:ins>
      <w:del w:id="20" w:author="信仰" w:date="2026-10-10T22:18:16Z">
        <w:r>
          <w:rPr>
            <w:rFonts w:hint="eastAsia" w:ascii="华文仿宋" w:hAnsi="华文仿宋" w:eastAsia="华文仿宋" w:cs="华文仿宋"/>
            <w:color w:val="000000"/>
            <w:kern w:val="0"/>
            <w:sz w:val="32"/>
            <w:szCs w:val="32"/>
            <w:lang w:val="en-US" w:eastAsia="zh-CN" w:bidi="ar"/>
            <w:woUserID w:val="1"/>
          </w:rPr>
          <w:delText>湖南省</w:delText>
        </w:r>
      </w:del>
      <w:r>
        <w:rPr>
          <w:rFonts w:hint="eastAsia" w:ascii="华文仿宋" w:hAnsi="华文仿宋" w:eastAsia="华文仿宋" w:cs="华文仿宋"/>
          <w:color w:val="000000"/>
          <w:kern w:val="0"/>
          <w:sz w:val="32"/>
          <w:szCs w:val="32"/>
          <w:lang w:val="en-US" w:eastAsia="zh-CN" w:bidi="ar"/>
          <w:woUserID w:val="1"/>
        </w:rPr>
        <w:t>电力公司”“</w:t>
      </w:r>
      <w:ins w:id="21" w:author="信仰" w:date="2026-10-10T22:18:26Z">
        <w:r>
          <w:rPr>
            <w:rFonts w:hint="eastAsia" w:ascii="华文仿宋" w:hAnsi="华文仿宋" w:eastAsia="华文仿宋" w:cs="华文仿宋"/>
            <w:color w:val="000000"/>
            <w:kern w:val="0"/>
            <w:sz w:val="32"/>
            <w:szCs w:val="32"/>
            <w:lang w:val="en-US" w:eastAsia="zh" w:bidi="ar"/>
            <w:woUserID w:val="3"/>
          </w:rPr>
          <w:t>重庆</w:t>
        </w:r>
      </w:ins>
      <w:del w:id="22" w:author="信仰" w:date="2026-10-10T22:18:24Z">
        <w:r>
          <w:rPr>
            <w:rFonts w:hint="eastAsia" w:ascii="华文仿宋" w:hAnsi="华文仿宋" w:eastAsia="华文仿宋" w:cs="华文仿宋"/>
            <w:color w:val="000000"/>
            <w:kern w:val="0"/>
            <w:sz w:val="32"/>
            <w:szCs w:val="32"/>
            <w:lang w:val="en-US" w:eastAsia="zh-CN" w:bidi="ar"/>
            <w:woUserID w:val="1"/>
          </w:rPr>
          <w:delText>湖南</w:delText>
        </w:r>
      </w:del>
      <w:r>
        <w:rPr>
          <w:rFonts w:hint="eastAsia" w:ascii="华文仿宋" w:hAnsi="华文仿宋" w:eastAsia="华文仿宋" w:cs="华文仿宋"/>
          <w:color w:val="000000"/>
          <w:kern w:val="0"/>
          <w:sz w:val="32"/>
          <w:szCs w:val="32"/>
          <w:lang w:val="en-US" w:eastAsia="zh-CN" w:bidi="ar"/>
          <w:woUserID w:val="1"/>
        </w:rPr>
        <w:t>电力公司”“</w:t>
      </w:r>
      <w:ins w:id="23" w:author="信仰" w:date="2026-10-10T22:18:34Z">
        <w:r>
          <w:rPr>
            <w:rFonts w:hint="eastAsia" w:ascii="华文仿宋" w:hAnsi="华文仿宋" w:eastAsia="华文仿宋" w:cs="华文仿宋"/>
            <w:color w:val="000000"/>
            <w:kern w:val="0"/>
            <w:sz w:val="32"/>
            <w:szCs w:val="32"/>
            <w:lang w:val="en-US" w:eastAsia="zh" w:bidi="ar"/>
            <w:woUserID w:val="3"/>
          </w:rPr>
          <w:t>重庆市</w:t>
        </w:r>
      </w:ins>
      <w:del w:id="24" w:author="信仰" w:date="2026-10-10T22:18:30Z">
        <w:r>
          <w:rPr>
            <w:rFonts w:hint="eastAsia" w:ascii="华文仿宋" w:hAnsi="华文仿宋" w:eastAsia="华文仿宋" w:cs="华文仿宋"/>
            <w:color w:val="000000"/>
            <w:kern w:val="0"/>
            <w:sz w:val="32"/>
            <w:szCs w:val="32"/>
            <w:lang w:val="en-US" w:eastAsia="zh-CN" w:bidi="ar"/>
            <w:woUserID w:val="1"/>
          </w:rPr>
          <w:delText>湖南省</w:delText>
        </w:r>
      </w:del>
      <w:r>
        <w:rPr>
          <w:rFonts w:hint="eastAsia" w:ascii="华文仿宋" w:hAnsi="华文仿宋" w:eastAsia="华文仿宋" w:cs="华文仿宋"/>
          <w:color w:val="000000"/>
          <w:kern w:val="0"/>
          <w:sz w:val="32"/>
          <w:szCs w:val="32"/>
          <w:lang w:val="en-US" w:eastAsia="zh-CN" w:bidi="ar"/>
          <w:woUserID w:val="1"/>
        </w:rPr>
        <w:t>公司”等，均按</w:t>
      </w:r>
      <w:ins w:id="25" w:author="信仰" w:date="2026-10-10T22:18:44Z">
        <w:r>
          <w:rPr>
            <w:rFonts w:hint="eastAsia" w:ascii="华文仿宋" w:hAnsi="华文仿宋" w:eastAsia="华文仿宋" w:cs="华文仿宋"/>
            <w:color w:val="000000"/>
            <w:kern w:val="0"/>
            <w:sz w:val="32"/>
            <w:szCs w:val="32"/>
            <w:lang w:val="en-US" w:eastAsia="zh" w:bidi="ar"/>
            <w:woUserID w:val="3"/>
          </w:rPr>
          <w:t>重庆市</w:t>
        </w:r>
      </w:ins>
      <w:del w:id="26" w:author="信仰" w:date="2026-10-10T22:18:43Z">
        <w:r>
          <w:rPr>
            <w:rFonts w:hint="eastAsia" w:ascii="华文仿宋" w:hAnsi="华文仿宋" w:eastAsia="华文仿宋" w:cs="华文仿宋"/>
            <w:color w:val="000000"/>
            <w:kern w:val="0"/>
            <w:sz w:val="32"/>
            <w:szCs w:val="32"/>
            <w:lang w:val="en-US" w:eastAsia="zh-CN" w:bidi="ar"/>
            <w:woUserID w:val="1"/>
          </w:rPr>
          <w:delText>湖南省</w:delText>
        </w:r>
      </w:del>
      <w:r>
        <w:rPr>
          <w:rFonts w:hint="eastAsia" w:ascii="华文仿宋" w:hAnsi="华文仿宋" w:eastAsia="华文仿宋" w:cs="华文仿宋"/>
          <w:color w:val="000000"/>
          <w:kern w:val="0"/>
          <w:sz w:val="32"/>
          <w:szCs w:val="32"/>
          <w:lang w:val="en-US" w:eastAsia="zh-CN" w:bidi="ar"/>
          <w:woUserID w:val="1"/>
        </w:rPr>
        <w:t>级单位处理。</w:t>
      </w:r>
    </w:p>
    <w:p w14:paraId="43BFFADD">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b/>
          <w:bCs/>
          <w:color w:val="000000"/>
          <w:kern w:val="0"/>
          <w:sz w:val="32"/>
          <w:szCs w:val="32"/>
          <w:lang w:val="en-US" w:eastAsia="zh-CN" w:bidi="ar"/>
          <w:woUserID w:val="1"/>
        </w:rPr>
        <w:t>3. 已填写三级部署系统</w:t>
      </w:r>
      <w:r>
        <w:rPr>
          <w:rFonts w:hint="eastAsia" w:ascii="华文仿宋" w:hAnsi="华文仿宋" w:eastAsia="华文仿宋" w:cs="华文仿宋"/>
          <w:color w:val="000000"/>
          <w:kern w:val="0"/>
          <w:sz w:val="32"/>
          <w:szCs w:val="32"/>
          <w:lang w:val="en-US" w:eastAsia="zh-CN" w:bidi="ar"/>
          <w:woUserID w:val="1"/>
        </w:rPr>
        <w:t>原数据已填写“三级部署系统”的，不修改、不覆盖。</w:t>
      </w:r>
    </w:p>
    <w:p w14:paraId="5784E2F7">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b/>
          <w:bCs/>
          <w:color w:val="000000"/>
          <w:kern w:val="0"/>
          <w:sz w:val="32"/>
          <w:szCs w:val="32"/>
          <w:lang w:val="en-US" w:eastAsia="zh-CN" w:bidi="ar"/>
          <w:woUserID w:val="1"/>
        </w:rPr>
        <w:t>4. 无法判断的情况</w:t>
      </w:r>
      <w:r>
        <w:rPr>
          <w:rFonts w:hint="eastAsia" w:ascii="华文仿宋" w:hAnsi="华文仿宋" w:eastAsia="华文仿宋" w:cs="华文仿宋"/>
          <w:color w:val="000000"/>
          <w:kern w:val="0"/>
          <w:sz w:val="32"/>
          <w:szCs w:val="32"/>
          <w:lang w:val="en-US" w:eastAsia="zh-CN" w:bidi="ar"/>
          <w:woUserID w:val="1"/>
        </w:rPr>
        <w:t>“系统规则管理主体”为空，或既不属于总部、也不属于</w:t>
      </w:r>
      <w:ins w:id="27" w:author="信仰" w:date="2026-10-10T22:19:04Z">
        <w:r>
          <w:rPr>
            <w:rFonts w:hint="eastAsia" w:ascii="华文仿宋" w:hAnsi="华文仿宋" w:eastAsia="华文仿宋" w:cs="华文仿宋"/>
            <w:color w:val="000000"/>
            <w:kern w:val="0"/>
            <w:sz w:val="32"/>
            <w:szCs w:val="32"/>
            <w:lang w:val="en-US" w:eastAsia="zh" w:bidi="ar"/>
            <w:woUserID w:val="3"/>
          </w:rPr>
          <w:t>重庆市</w:t>
        </w:r>
      </w:ins>
      <w:del w:id="28" w:author="信仰" w:date="2026-10-10T22:19:01Z">
        <w:r>
          <w:rPr>
            <w:rFonts w:hint="eastAsia" w:ascii="华文仿宋" w:hAnsi="华文仿宋" w:eastAsia="华文仿宋" w:cs="华文仿宋"/>
            <w:color w:val="000000"/>
            <w:kern w:val="0"/>
            <w:sz w:val="32"/>
            <w:szCs w:val="32"/>
            <w:lang w:val="en-US" w:eastAsia="zh-CN" w:bidi="ar"/>
            <w:woUserID w:val="1"/>
          </w:rPr>
          <w:delText>湖南省</w:delText>
        </w:r>
      </w:del>
      <w:r>
        <w:rPr>
          <w:rFonts w:hint="eastAsia" w:ascii="华文仿宋" w:hAnsi="华文仿宋" w:eastAsia="华文仿宋" w:cs="华文仿宋"/>
          <w:color w:val="000000"/>
          <w:kern w:val="0"/>
          <w:sz w:val="32"/>
          <w:szCs w:val="32"/>
          <w:lang w:val="en-US" w:eastAsia="zh-CN" w:bidi="ar"/>
          <w:woUserID w:val="1"/>
        </w:rPr>
        <w:t>级单位的，不自动填写“系统类型”，并输出统一提示语：</w:t>
      </w:r>
    </w:p>
    <w:p w14:paraId="0D56CD11">
      <w:pPr>
        <w:keepNext w:val="0"/>
        <w:keepLines/>
        <w:widowControl/>
        <w:suppressLineNumbers w:val="0"/>
        <w:snapToGrid w:val="0"/>
        <w:spacing w:before="0" w:beforeAutospacing="0" w:after="0" w:afterAutospacing="0" w:line="560" w:lineRule="exact"/>
        <w:ind w:left="1440" w:right="0" w:firstLine="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b/>
          <w:bCs/>
          <w:color w:val="000000"/>
          <w:kern w:val="0"/>
          <w:sz w:val="32"/>
          <w:szCs w:val="32"/>
          <w:lang w:val="en-US" w:eastAsia="zh-CN" w:bidi="ar"/>
          <w:woUserID w:val="1"/>
        </w:rPr>
        <w:t>请补充系统类型，该列填报枚举值：一级部署系统、二级部署系统、三级部署系统，请根据系统的实际情况填报。</w:t>
      </w:r>
    </w:p>
    <w:p w14:paraId="3A492F21">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b/>
          <w:bCs/>
          <w:color w:val="000000"/>
          <w:kern w:val="0"/>
          <w:sz w:val="32"/>
          <w:szCs w:val="32"/>
          <w:lang w:val="en-US" w:eastAsia="zh-CN" w:bidi="ar"/>
          <w:woUserID w:val="1"/>
        </w:rPr>
        <w:t>3.3 判断原则</w:t>
      </w:r>
    </w:p>
    <w:p w14:paraId="59BEB7E3">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color w:val="000000"/>
          <w:kern w:val="0"/>
          <w:sz w:val="32"/>
          <w:szCs w:val="32"/>
          <w:lang w:val="en-US" w:eastAsia="zh-CN" w:bidi="ar"/>
          <w:woUserID w:val="1"/>
        </w:rPr>
        <w:t>• 对“</w:t>
      </w:r>
      <w:del w:id="29" w:author="信仰" w:date="2026-10-10T22:19:35Z">
        <w:r>
          <w:rPr>
            <w:rFonts w:hint="eastAsia" w:ascii="华文仿宋" w:hAnsi="华文仿宋" w:eastAsia="华文仿宋" w:cs="华文仿宋"/>
            <w:color w:val="000000"/>
            <w:kern w:val="0"/>
            <w:sz w:val="32"/>
            <w:szCs w:val="32"/>
            <w:lang w:val="en-US" w:eastAsia="zh-CN" w:bidi="ar"/>
            <w:woUserID w:val="1"/>
          </w:rPr>
          <w:delText>湖南省</w:delText>
        </w:r>
      </w:del>
      <w:ins w:id="30" w:author="信仰" w:date="2026-10-10T22:19:35Z">
        <w:r>
          <w:rPr>
            <w:rFonts w:hint="eastAsia" w:ascii="华文仿宋" w:hAnsi="华文仿宋" w:eastAsia="华文仿宋" w:cs="华文仿宋"/>
            <w:color w:val="000000"/>
            <w:kern w:val="0"/>
            <w:sz w:val="32"/>
            <w:szCs w:val="32"/>
            <w:lang w:val="en-US" w:eastAsia="zh" w:bidi="ar"/>
            <w:woUserID w:val="1"/>
          </w:rPr>
          <w:t>重庆市</w:t>
        </w:r>
      </w:ins>
      <w:r>
        <w:rPr>
          <w:rFonts w:hint="eastAsia" w:ascii="华文仿宋" w:hAnsi="华文仿宋" w:eastAsia="华文仿宋" w:cs="华文仿宋"/>
          <w:color w:val="000000"/>
          <w:kern w:val="0"/>
          <w:sz w:val="32"/>
          <w:szCs w:val="32"/>
          <w:lang w:val="en-US" w:eastAsia="zh-CN" w:bidi="ar"/>
          <w:woUserID w:val="1"/>
        </w:rPr>
        <w:t>级单位”的识别，同时依据包含关系和语义相似性判断。</w:t>
      </w:r>
    </w:p>
    <w:p w14:paraId="0CB3216E">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lang w:val="zh-CN"/>
          <w:woUserID w:val="1"/>
        </w:rPr>
      </w:pPr>
      <w:r>
        <w:rPr>
          <w:rFonts w:hint="eastAsia" w:ascii="华文仿宋" w:hAnsi="华文仿宋" w:eastAsia="华文仿宋" w:cs="华文仿宋"/>
          <w:color w:val="000000"/>
          <w:kern w:val="0"/>
          <w:sz w:val="32"/>
          <w:szCs w:val="32"/>
          <w:lang w:val="en-US" w:eastAsia="zh-CN" w:bidi="ar"/>
          <w:woUserID w:val="1"/>
        </w:rPr>
        <w:t>• 已明确填写“三级部署系统”的记录优先保留，不进行自动修改。</w:t>
      </w:r>
    </w:p>
    <w:p w14:paraId="5339B96A">
      <w:pPr>
        <w:widowControl/>
        <w:snapToGrid w:val="0"/>
        <w:spacing w:before="0" w:after="0" w:line="560" w:lineRule="exact"/>
        <w:ind w:left="960" w:hanging="48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32"/>
          <w:lang w:val="en-US" w:eastAsia="zh-CN" w:bidi="ar"/>
          <w:woUserID w:val="1"/>
        </w:rPr>
        <w:t>• 除能够明确判断为“一级部署系统”或“二级部署系统”的情况外，不自动推断系统类型。</w:t>
      </w:r>
    </w:p>
    <w:p w14:paraId="099A0C52">
      <w:pPr>
        <w:widowControl/>
        <w:numPr>
          <w:ilvl w:val="-1"/>
          <w:numId w:val="0"/>
        </w:numPr>
        <w:snapToGrid w:val="0"/>
        <w:spacing w:before="0" w:after="0" w:line="560" w:lineRule="exact"/>
        <w:ind w:firstLine="0"/>
        <w:rPr>
          <w:rFonts w:hint="eastAsia" w:ascii="华文仿宋" w:hAnsi="华文仿宋" w:eastAsia="华文仿宋" w:cs="华文仿宋"/>
          <w:color w:val="000000"/>
          <w:kern w:val="0"/>
          <w:sz w:val="32"/>
          <w:szCs w:val="22"/>
          <w:lang w:val="zh-CN" w:eastAsia="zh"/>
          <w:woUserID w:val="1"/>
        </w:rPr>
      </w:pPr>
    </w:p>
    <w:p w14:paraId="0FE9C575">
      <w:pPr>
        <w:keepNext/>
        <w:keepLines/>
        <w:widowControl/>
        <w:snapToGrid w:val="0"/>
        <w:spacing w:before="0" w:after="0" w:line="560" w:lineRule="exact"/>
        <w:ind w:firstLine="640"/>
        <w:jc w:val="both"/>
        <w:outlineLvl w:val="0"/>
        <w:rPr>
          <w:rFonts w:ascii="Heiti SC" w:hAnsi="Heiti SC" w:eastAsia="Heiti SC" w:cs="Heiti SC"/>
          <w:bCs/>
          <w:color w:val="000000"/>
          <w:sz w:val="32"/>
          <w:szCs w:val="28"/>
          <w:lang w:val="zh-CN" w:eastAsia="zh-CN" w:bidi="ar-SA"/>
          <w:woUserID w:val="1"/>
        </w:rPr>
      </w:pPr>
      <w:r>
        <w:rPr>
          <w:rFonts w:ascii="Heiti SC" w:hAnsi="Heiti SC" w:eastAsia="Heiti SC" w:cs="Heiti SC"/>
          <w:bCs/>
          <w:color w:val="000000"/>
          <w:sz w:val="32"/>
          <w:szCs w:val="28"/>
          <w:lang w:val="zh-CN" w:eastAsia="zh-CN" w:bidi="ar-SA"/>
          <w:woUserID w:val="1"/>
        </w:rPr>
        <w:t>二、具体审核规则</w:t>
      </w:r>
    </w:p>
    <w:p w14:paraId="74DDBAD5">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以下十二项规则与原十二条审核要点对应。发现明确问题或因资料不足无法完成检查的，按第三部分要求填写审核意见；无问题的，审核意见留空。</w:t>
      </w:r>
    </w:p>
    <w:p w14:paraId="55349B3C">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（一）资料提交完整性</w:t>
      </w:r>
    </w:p>
    <w:p w14:paraId="2B4625F3">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对会计主体清单中的每个主体，按应报业务范围分别检查风控矩阵类和三清单类Excel材料是否齐全。矩阵类文件可按“风控矩阵”“矩阵”“风控</w:t>
      </w:r>
      <w:r>
        <w:rPr>
          <w:rFonts w:hint="eastAsia" w:ascii="华文仿宋" w:hAnsi="华文仿宋" w:eastAsia="华文仿宋" w:cs="华文仿宋"/>
          <w:color w:val="000000"/>
          <w:kern w:val="0"/>
          <w:sz w:val="32"/>
          <w:szCs w:val="22"/>
          <w:lang w:val="zh-CN" w:eastAsia="zh"/>
          <w:woUserID w:val="1"/>
        </w:rPr>
        <w:t>矩阵</w:t>
      </w:r>
      <w:r>
        <w:rPr>
          <w:rFonts w:ascii="华文仿宋" w:hAnsi="华文仿宋" w:eastAsia="华文仿宋" w:cs="华文仿宋"/>
          <w:color w:val="000000"/>
          <w:kern w:val="0"/>
          <w:sz w:val="32"/>
          <w:szCs w:val="22"/>
          <w:lang w:val="zh-CN"/>
          <w:woUserID w:val="1"/>
        </w:rPr>
        <w:t>”“</w:t>
      </w:r>
      <w:r>
        <w:rPr>
          <w:rFonts w:hint="eastAsia" w:ascii="华文仿宋" w:hAnsi="华文仿宋" w:eastAsia="华文仿宋" w:cs="华文仿宋"/>
          <w:color w:val="000000"/>
          <w:kern w:val="0"/>
          <w:sz w:val="32"/>
          <w:szCs w:val="22"/>
          <w:lang w:val="zh-CN" w:eastAsia="zh"/>
          <w:woUserID w:val="1"/>
        </w:rPr>
        <w:t>矩阵</w:t>
      </w:r>
      <w:r>
        <w:rPr>
          <w:rFonts w:ascii="华文仿宋" w:hAnsi="华文仿宋" w:eastAsia="华文仿宋" w:cs="华文仿宋"/>
          <w:color w:val="000000"/>
          <w:kern w:val="0"/>
          <w:sz w:val="32"/>
          <w:szCs w:val="22"/>
          <w:lang w:val="zh-CN"/>
          <w:woUserID w:val="1"/>
        </w:rPr>
        <w:t>”等约定关键字识别；三清单类可按“三清单”等约定关键字识别。文件名应能体现相应会计主体名称或经确认的简称。</w:t>
      </w:r>
    </w:p>
    <w:p w14:paraId="23CDCC8B">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完整性以“会计主体＋业务类别＋材料类别”为核对依据，不以</w:t>
      </w:r>
      <w:del w:id="31" w:author="信仰" w:date="2026-10-10T22:21:23Z">
        <w:r>
          <w:rPr>
            <w:rFonts w:ascii="华文仿宋" w:hAnsi="华文仿宋" w:eastAsia="华文仿宋" w:cs="华文仿宋"/>
            <w:color w:val="000000"/>
            <w:kern w:val="0"/>
            <w:sz w:val="32"/>
            <w:szCs w:val="22"/>
            <w:lang w:val="zh-CN"/>
            <w:woUserID w:val="1"/>
          </w:rPr>
          <w:delText>市</w:delText>
        </w:r>
      </w:del>
      <w:r>
        <w:rPr>
          <w:rFonts w:ascii="华文仿宋" w:hAnsi="华文仿宋" w:eastAsia="华文仿宋" w:cs="华文仿宋"/>
          <w:color w:val="000000"/>
          <w:kern w:val="0"/>
          <w:sz w:val="32"/>
          <w:szCs w:val="22"/>
          <w:lang w:val="zh-CN"/>
          <w:woUserID w:val="1"/>
        </w:rPr>
        <w:t>公司报送包中已存在任意矩阵和任意三清单作为全部主体资料齐全的依据。各主体应报业务范围以提供的清单或适用范围为准，未提供时不推定全部业务均应报送。</w:t>
      </w:r>
    </w:p>
    <w:p w14:paraId="30812F49">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ascii="华文仿宋" w:hAnsi="华文仿宋" w:eastAsia="华文仿宋" w:cs="华文仿宋"/>
          <w:color w:val="000000"/>
          <w:kern w:val="0"/>
          <w:sz w:val="32"/>
          <w:szCs w:val="22"/>
          <w:lang w:val="zh-CN"/>
          <w:woUserID w:val="1"/>
        </w:rPr>
        <w:t>未写主体名称但通过目录或表内信息能够唯一确认归属的，计入已收资料。不同主体混放、一个目录只放一个文件或同一主体资料跨目录存放，本身不构成缺件。归集完成后仍缺少应报材料的，指出具体主体、业务类别及缺少的材料类别。</w:t>
      </w:r>
      <w:r>
        <w:rPr>
          <w:rFonts w:hint="eastAsia" w:ascii="华文仿宋" w:hAnsi="华文仿宋" w:eastAsia="华文仿宋" w:cs="华文仿宋"/>
          <w:color w:val="000000"/>
          <w:kern w:val="0"/>
          <w:sz w:val="32"/>
          <w:szCs w:val="22"/>
          <w:lang w:val="zh-CN" w:eastAsia="zh"/>
          <w:woUserID w:val="1"/>
        </w:rPr>
        <w:t>不做任何提示。</w:t>
      </w:r>
    </w:p>
    <w:p w14:paraId="52450528">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（二）会计主体与提交资料对应情况</w:t>
      </w:r>
    </w:p>
    <w:p w14:paraId="1A3AC15A">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以会计主体清单逐项核对主体材料，检查主体缺失、主体名称无法对应、多个主体合并提交及清单外主体等差异。按主体对应关系判断，不直接以主体数量与文件数量相比较。</w:t>
      </w:r>
    </w:p>
    <w:p w14:paraId="57DC1FB1">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存在差异时，检查是否提交可归属于相关报送单位或主体的Word说明材料</w:t>
      </w:r>
      <w:r>
        <w:rPr>
          <w:rFonts w:hint="eastAsia" w:ascii="华文仿宋" w:hAnsi="华文仿宋" w:eastAsia="华文仿宋" w:cs="华文仿宋"/>
          <w:color w:val="000000"/>
          <w:kern w:val="0"/>
          <w:sz w:val="32"/>
          <w:szCs w:val="22"/>
          <w:lang w:val="zh-CN" w:eastAsia="zh"/>
          <w:woUserID w:val="1"/>
        </w:rPr>
        <w:t>或者PDF说明材料</w:t>
      </w:r>
      <w:r>
        <w:rPr>
          <w:rFonts w:ascii="华文仿宋" w:hAnsi="华文仿宋" w:eastAsia="华文仿宋" w:cs="华文仿宋"/>
          <w:color w:val="000000"/>
          <w:kern w:val="0"/>
          <w:sz w:val="32"/>
          <w:szCs w:val="22"/>
          <w:lang w:val="zh-CN"/>
          <w:woUserID w:val="1"/>
        </w:rPr>
        <w:t>，格式限.doc、.docx</w:t>
      </w:r>
      <w:r>
        <w:rPr>
          <w:rFonts w:hint="eastAsia" w:ascii="华文仿宋" w:hAnsi="华文仿宋" w:eastAsia="华文仿宋" w:cs="华文仿宋"/>
          <w:color w:val="000000"/>
          <w:kern w:val="0"/>
          <w:sz w:val="32"/>
          <w:szCs w:val="22"/>
          <w:lang w:val="zh-CN" w:eastAsia="zh"/>
          <w:woUserID w:val="1"/>
        </w:rPr>
        <w:t>、.pdf</w:t>
      </w:r>
      <w:r>
        <w:rPr>
          <w:rFonts w:ascii="华文仿宋" w:hAnsi="华文仿宋" w:eastAsia="华文仿宋" w:cs="华文仿宋"/>
          <w:color w:val="000000"/>
          <w:kern w:val="0"/>
          <w:sz w:val="32"/>
          <w:szCs w:val="22"/>
          <w:lang w:val="zh-CN"/>
          <w:woUserID w:val="1"/>
        </w:rPr>
        <w:t>。文件名或文档标题含“说明”“情况说明”“合并说明”“主体说明”</w:t>
      </w:r>
      <w:r>
        <w:rPr>
          <w:rFonts w:hint="eastAsia" w:ascii="华文仿宋" w:hAnsi="华文仿宋" w:eastAsia="华文仿宋" w:cs="华文仿宋"/>
          <w:color w:val="000000"/>
          <w:kern w:val="0"/>
          <w:sz w:val="32"/>
          <w:szCs w:val="22"/>
          <w:lang w:val="zh-CN" w:eastAsia="zh"/>
          <w:woUserID w:val="1"/>
        </w:rPr>
        <w:t>“申请”</w:t>
      </w:r>
      <w:r>
        <w:rPr>
          <w:rFonts w:ascii="华文仿宋" w:hAnsi="华文仿宋" w:eastAsia="华文仿宋" w:cs="华文仿宋"/>
          <w:color w:val="000000"/>
          <w:kern w:val="0"/>
          <w:sz w:val="32"/>
          <w:szCs w:val="22"/>
          <w:lang w:val="zh-CN"/>
          <w:woUserID w:val="1"/>
        </w:rPr>
        <w:t>等可识别表述的，可认定为说明材料；普通Word</w:t>
      </w:r>
      <w:r>
        <w:rPr>
          <w:rFonts w:hint="eastAsia" w:ascii="华文仿宋" w:hAnsi="华文仿宋" w:eastAsia="华文仿宋" w:cs="华文仿宋"/>
          <w:color w:val="000000"/>
          <w:kern w:val="0"/>
          <w:sz w:val="32"/>
          <w:szCs w:val="22"/>
          <w:lang w:val="zh-CN" w:eastAsia="zh"/>
          <w:woUserID w:val="1"/>
        </w:rPr>
        <w:t>、PDF</w:t>
      </w:r>
      <w:r>
        <w:rPr>
          <w:rFonts w:ascii="华文仿宋" w:hAnsi="华文仿宋" w:eastAsia="华文仿宋" w:cs="华文仿宋"/>
          <w:color w:val="000000"/>
          <w:kern w:val="0"/>
          <w:sz w:val="32"/>
          <w:szCs w:val="22"/>
          <w:lang w:val="zh-CN"/>
          <w:woUserID w:val="1"/>
        </w:rPr>
        <w:t>文件不能仅凭扩展名认定为说明材料。</w:t>
      </w:r>
    </w:p>
    <w:p w14:paraId="69BE4CCF">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本条仅核查说明材料存在、格式正确、归属可识别，不审核说明理由是否充分。差异已提供可识别说明的，本条不另提问题；未提供或无法对应的，填写缺少说明或意见。说明材料不自动替代合并后仍需提交的矩阵、三清单，也不免除其他具体审核要求。</w:t>
      </w:r>
    </w:p>
    <w:p w14:paraId="4799EB9B">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（三）基准字段及适用性填写情况</w:t>
      </w:r>
    </w:p>
    <w:p w14:paraId="62EB3F95">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先按送审资料的业务类别、文件名、工作表名称和表内标题匹配模板。唯一匹配成功的，按相同业务类别与重庆公司版本比较字段结构；员工报账等已指定更新版本的，采用指定版本。重点检查应保留字段是否因异常删列而缺失，不判断措施、载体等文字删减的业务合理性。</w:t>
      </w:r>
    </w:p>
    <w:p w14:paraId="62EB3F95">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未匹配、匹配不唯一或模板无法读取时，不比较基准字段，不新增上述责任主体辅助列；在“审核意见”列注明“未匹配到对应模板，请确认模板对应关系。”送审资料仍执行适用性及其他不依赖模板的审核规则。</w:t>
      </w:r>
    </w:p>
    <w:p w14:paraId="3D9B6370">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1F5B41B">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7025D52C">
      <w:pPr>
        <w:keepNext/>
        <w:keepLines/>
        <w:widowControl/>
        <w:snapToGrid w:val="0"/>
        <w:spacing w:before="0" w:after="0" w:line="560" w:lineRule="exact"/>
        <w:ind w:firstLine="640"/>
        <w:jc w:val="both"/>
        <w:outlineLvl w:val="1"/>
        <w:rPr>
          <w:rFonts w:hint="eastAsia" w:ascii="华文楷体" w:hAnsi="华文楷体" w:eastAsia="华文楷体" w:cs="华文楷体"/>
          <w:b/>
          <w:bCs/>
          <w:color w:val="000000"/>
          <w:sz w:val="32"/>
          <w:szCs w:val="26"/>
          <w:lang w:val="zh-CN" w:eastAsia="zh" w:bidi="ar-SA"/>
          <w:woUserID w:val="1"/>
        </w:rPr>
      </w:pPr>
      <w:r>
        <w:rPr>
          <w:rFonts w:ascii="华文楷体" w:hAnsi="华文楷体" w:eastAsia="华文楷体" w:cs="华文楷体"/>
          <w:b/>
          <w:bCs/>
          <w:color w:val="000000"/>
          <w:sz w:val="32"/>
          <w:szCs w:val="26"/>
          <w:lang w:val="zh-CN" w:eastAsia="zh-CN" w:bidi="ar-SA"/>
          <w:woUserID w:val="1"/>
        </w:rPr>
        <w:t>（五）</w:t>
      </w:r>
      <w:r>
        <w:rPr>
          <w:rFonts w:hint="eastAsia" w:ascii="华文楷体" w:hAnsi="华文楷体" w:eastAsia="华文楷体" w:cs="华文楷体"/>
          <w:b/>
          <w:bCs/>
          <w:color w:val="000000"/>
          <w:sz w:val="32"/>
          <w:szCs w:val="26"/>
          <w:lang w:val="zh-CN" w:eastAsia="zh" w:bidi="ar-SA"/>
          <w:woUserID w:val="1"/>
        </w:rPr>
        <w:t>岗位清单中部门、岗位名称</w:t>
      </w:r>
      <w:r>
        <w:rPr>
          <w:rFonts w:ascii="华文楷体" w:hAnsi="华文楷体" w:eastAsia="华文楷体" w:cs="华文楷体"/>
          <w:b/>
          <w:bCs/>
          <w:color w:val="000000"/>
          <w:sz w:val="32"/>
          <w:szCs w:val="26"/>
          <w:lang w:val="zh-CN" w:eastAsia="zh-CN" w:bidi="ar-SA"/>
          <w:woUserID w:val="1"/>
        </w:rPr>
        <w:t>和人员</w:t>
      </w:r>
      <w:r>
        <w:rPr>
          <w:rFonts w:hint="eastAsia" w:ascii="华文楷体" w:hAnsi="华文楷体" w:eastAsia="华文楷体" w:cs="华文楷体"/>
          <w:b/>
          <w:bCs/>
          <w:color w:val="000000"/>
          <w:sz w:val="32"/>
          <w:szCs w:val="26"/>
          <w:lang w:val="zh-CN" w:eastAsia="zh" w:bidi="ar-SA"/>
          <w:woUserID w:val="1"/>
        </w:rPr>
        <w:t>姓名</w:t>
      </w:r>
    </w:p>
    <w:p w14:paraId="42CF170F">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检查岗位责任清单中下面事项：</w:t>
      </w:r>
    </w:p>
    <w:p w14:paraId="1D534095">
      <w:pPr>
        <w:widowControl w:val="0"/>
        <w:snapToGrid/>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部门列剔除归口管理部门（党委、其他福利实施部门（党委组织、之外，包含以下关键词各级单位、</w:t>
      </w:r>
      <w:r>
        <w:rPr>
          <w:rFonts w:hint="eastAsia" w:ascii="宋体" w:hAnsi="宋体" w:eastAsia="宋体" w:cs="宋体"/>
          <w:b w:val="0"/>
          <w:i w:val="0"/>
          <w:color w:val="000000"/>
          <w:kern w:val="0"/>
          <w:sz w:val="32"/>
          <w:szCs w:val="32"/>
          <w:lang w:val="zh-CN"/>
          <w:woUserID w:val="1"/>
        </w:rPr>
        <w:t>管理</w:t>
      </w:r>
      <w:r>
        <w:rPr>
          <w:rFonts w:hint="eastAsia" w:ascii="宋体" w:hAnsi="宋体" w:eastAsia="宋体" w:cs="宋体"/>
          <w:b w:val="0"/>
          <w:i w:val="0"/>
          <w:color w:val="000000"/>
          <w:kern w:val="0"/>
          <w:sz w:val="32"/>
          <w:szCs w:val="32"/>
          <w:lang w:val="zh-CN" w:eastAsia="zh"/>
          <w:woUserID w:val="1"/>
        </w:rPr>
        <w:t>部门</w:t>
      </w:r>
      <w:r>
        <w:rPr>
          <w:rFonts w:hint="eastAsia" w:ascii="华文仿宋" w:hAnsi="华文仿宋" w:eastAsia="华文仿宋" w:cs="华文仿宋"/>
          <w:color w:val="000000"/>
          <w:kern w:val="0"/>
          <w:sz w:val="32"/>
          <w:szCs w:val="22"/>
          <w:lang w:val="zh-CN" w:eastAsia="zh"/>
          <w:woUserID w:val="1"/>
        </w:rPr>
        <w:t>、实施部门各部门、</w:t>
      </w:r>
      <w:r>
        <w:rPr>
          <w:rFonts w:hint="eastAsia" w:ascii="宋体" w:hAnsi="宋体" w:eastAsia="宋体" w:cs="宋体"/>
          <w:b w:val="0"/>
          <w:i w:val="0"/>
          <w:color w:val="000000"/>
          <w:kern w:val="0"/>
          <w:sz w:val="32"/>
          <w:szCs w:val="32"/>
          <w:lang w:val="zh-CN"/>
          <w:woUserID w:val="1"/>
        </w:rPr>
        <w:t>需求</w:t>
      </w:r>
      <w:r>
        <w:rPr>
          <w:rFonts w:hint="eastAsia" w:ascii="宋体" w:hAnsi="宋体" w:eastAsia="宋体" w:cs="宋体"/>
          <w:b w:val="0"/>
          <w:i w:val="0"/>
          <w:color w:val="000000"/>
          <w:kern w:val="0"/>
          <w:sz w:val="32"/>
          <w:szCs w:val="32"/>
          <w:lang w:val="zh-CN" w:eastAsia="zh"/>
          <w:woUserID w:val="1"/>
        </w:rPr>
        <w:t>部门</w:t>
      </w:r>
      <w:r>
        <w:rPr>
          <w:rFonts w:hint="eastAsia" w:ascii="华文仿宋" w:hAnsi="华文仿宋" w:eastAsia="华文仿宋" w:cs="华文仿宋"/>
          <w:color w:val="000000"/>
          <w:kern w:val="0"/>
          <w:sz w:val="32"/>
          <w:szCs w:val="22"/>
          <w:lang w:val="zh-CN" w:eastAsia="zh"/>
          <w:woUserID w:val="1"/>
        </w:rPr>
        <w:t>、用工部门、归口管理部门、会签部门、实物资产、资产使用、委托、项目管理部门、项目建设部门、</w:t>
      </w:r>
      <w:r>
        <w:rPr>
          <w:rFonts w:ascii="华文仿宋" w:hAnsi="华文仿宋" w:eastAsia="华文仿宋" w:cs="华文仿宋"/>
          <w:color w:val="000000"/>
          <w:kern w:val="0"/>
          <w:sz w:val="32"/>
          <w:szCs w:val="22"/>
          <w:lang w:val="zh-CN"/>
          <w:woUserID w:val="1"/>
        </w:rPr>
        <w:t>待定</w:t>
      </w:r>
      <w:r>
        <w:rPr>
          <w:rFonts w:hint="eastAsia" w:ascii="华文仿宋" w:hAnsi="华文仿宋" w:eastAsia="华文仿宋" w:cs="华文仿宋"/>
          <w:color w:val="000000"/>
          <w:kern w:val="0"/>
          <w:sz w:val="32"/>
          <w:szCs w:val="22"/>
          <w:lang w:val="zh-CN" w:eastAsia="zh"/>
          <w:woUserID w:val="1"/>
        </w:rPr>
        <w:t>、项目承担部门、项目需求部门、归口管理部门、各级单位-项目管理部门/建设单位、</w:t>
      </w:r>
      <w:r>
        <w:rPr>
          <w:rFonts w:hint="default" w:ascii="方正仿宋_GB2312" w:hAnsi="方正仿宋_GB2312" w:eastAsia="方正仿宋_GB2312" w:cs="方正仿宋_GB2312"/>
          <w:color w:val="000000"/>
          <w:kern w:val="2"/>
          <w:sz w:val="32"/>
          <w:szCs w:val="32"/>
          <w:lang w:val="en-US" w:eastAsia="zh-CN" w:bidi="ar"/>
          <w:woUserID w:val="1"/>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r>
        <w:rPr>
          <w:rFonts w:hint="eastAsia" w:ascii="华文仿宋" w:hAnsi="华文仿宋" w:eastAsia="华文仿宋" w:cs="华文仿宋"/>
          <w:color w:val="000000"/>
          <w:kern w:val="0"/>
          <w:sz w:val="32"/>
          <w:szCs w:val="22"/>
          <w:lang w:val="zh-CN" w:eastAsia="zh"/>
          <w:woUserID w:val="1"/>
        </w:rPr>
        <w:t>等）泛化的称呼</w:t>
      </w:r>
      <w:r>
        <w:rPr>
          <w:rFonts w:ascii="华文仿宋" w:hAnsi="华文仿宋" w:eastAsia="华文仿宋" w:cs="华文仿宋"/>
          <w:color w:val="000000"/>
          <w:kern w:val="0"/>
          <w:sz w:val="32"/>
          <w:szCs w:val="22"/>
          <w:lang w:val="zh-CN"/>
          <w:woUserID w:val="1"/>
        </w:rPr>
        <w:t>占位表述</w:t>
      </w:r>
      <w:r>
        <w:rPr>
          <w:rFonts w:hint="eastAsia" w:ascii="华文仿宋" w:hAnsi="华文仿宋" w:eastAsia="华文仿宋" w:cs="华文仿宋"/>
          <w:color w:val="000000"/>
          <w:kern w:val="0"/>
          <w:sz w:val="32"/>
          <w:szCs w:val="22"/>
          <w:lang w:val="zh-CN" w:eastAsia="zh"/>
          <w:woUserID w:val="1"/>
        </w:rPr>
        <w:t>，提示“请明确到具体部门”，但是“****部门-****部”不作未具体到具体部门的情况，比如株洲公司会写项目管理部门-建设部、项目管理部门-配网管理部、资产使用保管部门-变检公司等类似表述已经。</w:t>
      </w:r>
    </w:p>
    <w:p w14:paraId="2FDB3AC1">
      <w:pPr>
        <w:widowControl w:val="0"/>
        <w:snapToGrid/>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岗位名称列，剔除包含查勘人员、专责、负责人-、班长、值长、计量工作负责人之外的，包含以下关键词</w:t>
      </w:r>
      <w:r>
        <w:rPr>
          <w:rFonts w:ascii="华文仿宋" w:hAnsi="华文仿宋" w:eastAsia="华文仿宋" w:cs="华文仿宋"/>
          <w:color w:val="000000"/>
          <w:kern w:val="0"/>
          <w:sz w:val="32"/>
          <w:szCs w:val="22"/>
          <w:lang w:val="zh-CN"/>
          <w:woUserID w:val="1"/>
        </w:rPr>
        <w:t>某某</w:t>
      </w:r>
      <w:r>
        <w:rPr>
          <w:rFonts w:hint="eastAsia" w:ascii="华文仿宋" w:hAnsi="华文仿宋" w:eastAsia="华文仿宋" w:cs="华文仿宋"/>
          <w:color w:val="000000"/>
          <w:kern w:val="0"/>
          <w:sz w:val="32"/>
          <w:szCs w:val="22"/>
          <w:lang w:val="zh-CN" w:eastAsia="zh"/>
          <w:woUserID w:val="1"/>
        </w:rPr>
        <w:t>、</w:t>
      </w:r>
      <w:r>
        <w:rPr>
          <w:rFonts w:ascii="华文仿宋" w:hAnsi="华文仿宋" w:eastAsia="华文仿宋" w:cs="华文仿宋"/>
          <w:color w:val="000000"/>
          <w:kern w:val="0"/>
          <w:sz w:val="32"/>
          <w:szCs w:val="22"/>
          <w:lang w:val="zh-CN"/>
          <w:woUserID w:val="1"/>
        </w:rPr>
        <w:t>待定</w:t>
      </w:r>
      <w:r>
        <w:rPr>
          <w:rFonts w:hint="eastAsia" w:ascii="华文仿宋" w:hAnsi="华文仿宋" w:eastAsia="华文仿宋" w:cs="华文仿宋"/>
          <w:color w:val="000000"/>
          <w:kern w:val="0"/>
          <w:sz w:val="32"/>
          <w:szCs w:val="22"/>
          <w:lang w:val="zh-CN" w:eastAsia="zh"/>
          <w:woUserID w:val="1"/>
        </w:rPr>
        <w:t>、人员、</w:t>
      </w:r>
      <w:r>
        <w:rPr>
          <w:rFonts w:hint="eastAsia" w:ascii="宋体" w:hAnsi="宋体" w:eastAsia="宋体" w:cs="宋体"/>
          <w:b w:val="0"/>
          <w:i w:val="0"/>
          <w:color w:val="000000"/>
          <w:kern w:val="0"/>
          <w:sz w:val="32"/>
          <w:szCs w:val="32"/>
          <w:lang w:val="zh-CN"/>
          <w:woUserID w:val="1"/>
        </w:rPr>
        <w:t>管理</w:t>
      </w:r>
      <w:r>
        <w:rPr>
          <w:rFonts w:hint="eastAsia" w:ascii="华文仿宋" w:hAnsi="华文仿宋" w:eastAsia="华文仿宋" w:cs="华文仿宋"/>
          <w:color w:val="000000"/>
          <w:kern w:val="0"/>
          <w:sz w:val="32"/>
          <w:szCs w:val="22"/>
          <w:lang w:val="zh-CN" w:eastAsia="zh"/>
          <w:woUserID w:val="1"/>
        </w:rPr>
        <w:t>人员、实施人员、</w:t>
      </w:r>
      <w:r>
        <w:rPr>
          <w:rFonts w:hint="eastAsia" w:ascii="宋体" w:hAnsi="宋体" w:eastAsia="宋体" w:cs="宋体"/>
          <w:b w:val="0"/>
          <w:i w:val="0"/>
          <w:color w:val="000000"/>
          <w:kern w:val="0"/>
          <w:sz w:val="32"/>
          <w:szCs w:val="32"/>
          <w:lang w:val="zh-CN"/>
          <w:woUserID w:val="1"/>
        </w:rPr>
        <w:t>需求</w:t>
      </w:r>
      <w:r>
        <w:rPr>
          <w:rFonts w:hint="eastAsia" w:ascii="华文仿宋" w:hAnsi="华文仿宋" w:eastAsia="华文仿宋" w:cs="华文仿宋"/>
          <w:color w:val="000000"/>
          <w:kern w:val="0"/>
          <w:sz w:val="32"/>
          <w:szCs w:val="22"/>
          <w:lang w:val="zh-CN" w:eastAsia="zh"/>
          <w:woUserID w:val="1"/>
        </w:rPr>
        <w:t>人员、用工人员、归口管理人员、会签人员、实物资产、资产使用、委托、项目管理人员、项目建设人员、</w:t>
      </w:r>
      <w:r>
        <w:rPr>
          <w:rFonts w:ascii="华文仿宋" w:hAnsi="华文仿宋" w:eastAsia="华文仿宋" w:cs="华文仿宋"/>
          <w:color w:val="000000"/>
          <w:kern w:val="0"/>
          <w:sz w:val="32"/>
          <w:szCs w:val="22"/>
          <w:lang w:val="zh-CN"/>
          <w:woUserID w:val="1"/>
        </w:rPr>
        <w:t>待定</w:t>
      </w:r>
      <w:r>
        <w:rPr>
          <w:rFonts w:hint="eastAsia" w:ascii="华文仿宋" w:hAnsi="华文仿宋" w:eastAsia="华文仿宋" w:cs="华文仿宋"/>
          <w:color w:val="000000"/>
          <w:kern w:val="0"/>
          <w:sz w:val="32"/>
          <w:szCs w:val="22"/>
          <w:lang w:val="zh-CN" w:eastAsia="zh"/>
          <w:woUserID w:val="1"/>
        </w:rPr>
        <w:t>、项目承担人员、项目需求人员、归口管理人员、</w:t>
      </w:r>
      <w:r>
        <w:rPr>
          <w:rFonts w:ascii="华文仿宋" w:hAnsi="华文仿宋" w:eastAsia="华文仿宋" w:cs="华文仿宋"/>
          <w:color w:val="000000"/>
          <w:kern w:val="0"/>
          <w:sz w:val="32"/>
          <w:szCs w:val="22"/>
          <w:lang w:val="zh-CN"/>
          <w:woUserID w:val="1"/>
        </w:rPr>
        <w:t>相关人员</w:t>
      </w:r>
      <w:r>
        <w:rPr>
          <w:rFonts w:hint="eastAsia" w:ascii="华文仿宋" w:hAnsi="华文仿宋" w:eastAsia="华文仿宋" w:cs="华文仿宋"/>
          <w:color w:val="000000"/>
          <w:kern w:val="0"/>
          <w:sz w:val="32"/>
          <w:szCs w:val="22"/>
          <w:lang w:val="zh-CN" w:eastAsia="zh"/>
          <w:woUserID w:val="1"/>
        </w:rPr>
        <w:t>、采购人员、资产使用保管人员、保管人员、</w:t>
      </w:r>
      <w:r>
        <w:rPr>
          <w:rFonts w:hint="eastAsia" w:ascii="宋体" w:hAnsi="宋体" w:eastAsia="宋体" w:cs="宋体"/>
          <w:b w:val="0"/>
          <w:i w:val="0"/>
          <w:color w:val="000000"/>
          <w:kern w:val="0"/>
          <w:sz w:val="32"/>
          <w:szCs w:val="32"/>
          <w:lang w:val="zh-CN"/>
          <w:woUserID w:val="1"/>
        </w:rPr>
        <w:t>管理人员</w:t>
      </w:r>
      <w:r>
        <w:rPr>
          <w:rFonts w:hint="eastAsia" w:ascii="华文仿宋" w:hAnsi="华文仿宋" w:eastAsia="华文仿宋" w:cs="华文仿宋"/>
          <w:color w:val="000000"/>
          <w:kern w:val="0"/>
          <w:sz w:val="32"/>
          <w:szCs w:val="22"/>
          <w:lang w:val="zh-CN" w:eastAsia="zh"/>
          <w:woUserID w:val="1"/>
        </w:rPr>
        <w:t>、实施人员、</w:t>
      </w:r>
      <w:r>
        <w:rPr>
          <w:rFonts w:hint="eastAsia" w:ascii="宋体" w:hAnsi="宋体" w:eastAsia="宋体" w:cs="宋体"/>
          <w:b w:val="0"/>
          <w:i w:val="0"/>
          <w:color w:val="000000"/>
          <w:kern w:val="0"/>
          <w:sz w:val="32"/>
          <w:szCs w:val="32"/>
          <w:lang w:val="zh-CN" w:eastAsia="zh"/>
          <w:woUserID w:val="1"/>
        </w:rPr>
        <w:t>接待人员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承接人员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woUserID w:val="1"/>
        </w:rPr>
        <w:t>出差人员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woUserID w:val="1"/>
        </w:rPr>
        <w:t>需求人员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woUserID w:val="1"/>
        </w:rPr>
        <w:t>报账人员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woUserID w:val="1"/>
        </w:rPr>
        <w:t>部门负责人</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需求审核人员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合同签订人员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合同经办人员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合同管理人员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合同审核人员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合同结算人员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往来管理人员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使用保管人员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项目管理人员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采购人员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收货人员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往来管理人员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需求提报人</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负责人</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需求审核人员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监督人员</w:t>
      </w:r>
      <w:r>
        <w:rPr>
          <w:rFonts w:hint="eastAsia" w:ascii="华文仿宋" w:hAnsi="华文仿宋" w:eastAsia="华文仿宋" w:cs="华文仿宋"/>
          <w:color w:val="000000"/>
          <w:kern w:val="0"/>
          <w:sz w:val="32"/>
          <w:szCs w:val="22"/>
          <w:lang w:val="zh-CN" w:eastAsia="zh"/>
          <w:woUserID w:val="1"/>
        </w:rPr>
        <w:t>、</w:t>
      </w:r>
      <w:r>
        <w:rPr>
          <w:rFonts w:hint="eastAsia" w:ascii="宋体" w:hAnsi="宋体" w:eastAsia="宋体" w:cs="宋体"/>
          <w:b w:val="0"/>
          <w:i w:val="0"/>
          <w:color w:val="000000"/>
          <w:kern w:val="0"/>
          <w:sz w:val="32"/>
          <w:szCs w:val="32"/>
          <w:lang w:val="zh-CN" w:eastAsia="zh"/>
          <w:woUserID w:val="1"/>
        </w:rPr>
        <w:t>领料人员</w:t>
      </w:r>
      <w:r>
        <w:rPr>
          <w:rFonts w:hint="eastAsia" w:ascii="华文仿宋" w:hAnsi="华文仿宋" w:eastAsia="华文仿宋" w:cs="华文仿宋"/>
          <w:color w:val="000000"/>
          <w:kern w:val="0"/>
          <w:sz w:val="32"/>
          <w:szCs w:val="22"/>
          <w:lang w:val="zh-CN" w:eastAsia="zh"/>
          <w:woUserID w:val="1"/>
        </w:rPr>
        <w:t>、</w:t>
      </w:r>
      <w:r>
        <w:rPr>
          <w:rFonts w:hint="default" w:ascii="方正仿宋_GB2312" w:hAnsi="方正仿宋_GB2312" w:eastAsia="方正仿宋_GB2312" w:cs="方正仿宋_GB2312"/>
          <w:color w:val="000000"/>
          <w:kern w:val="2"/>
          <w:sz w:val="32"/>
          <w:szCs w:val="32"/>
          <w:lang w:val="en-US" w:eastAsia="zh-CN" w:bidi="ar"/>
          <w:woUserID w:val="1"/>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r>
        <w:rPr>
          <w:rFonts w:hint="eastAsia" w:ascii="宋体" w:hAnsi="宋体" w:eastAsia="宋体" w:cs="宋体"/>
          <w:b w:val="0"/>
          <w:i w:val="0"/>
          <w:color w:val="000000"/>
          <w:kern w:val="0"/>
          <w:sz w:val="32"/>
          <w:szCs w:val="32"/>
          <w:lang w:val="zh-CN" w:eastAsia="zh"/>
          <w:woUserID w:val="1"/>
        </w:rPr>
        <w:t>等泛化的称呼</w:t>
      </w:r>
      <w:r>
        <w:rPr>
          <w:rFonts w:ascii="华文仿宋" w:hAnsi="华文仿宋" w:eastAsia="华文仿宋" w:cs="华文仿宋"/>
          <w:color w:val="000000"/>
          <w:kern w:val="0"/>
          <w:sz w:val="32"/>
          <w:szCs w:val="22"/>
          <w:lang w:val="zh-CN"/>
          <w:woUserID w:val="1"/>
        </w:rPr>
        <w:t>等占位表述</w:t>
      </w:r>
      <w:r>
        <w:rPr>
          <w:rFonts w:hint="eastAsia" w:ascii="华文仿宋" w:hAnsi="华文仿宋" w:eastAsia="华文仿宋" w:cs="华文仿宋"/>
          <w:color w:val="000000"/>
          <w:kern w:val="0"/>
          <w:sz w:val="32"/>
          <w:szCs w:val="22"/>
          <w:lang w:val="zh-CN" w:eastAsia="zh"/>
          <w:woUserID w:val="1"/>
        </w:rPr>
        <w:t>提示“请明确到具体</w:t>
      </w:r>
      <w:r>
        <w:rPr>
          <w:rFonts w:hint="eastAsia" w:ascii="宋体" w:hAnsi="宋体" w:eastAsia="宋体" w:cs="宋体"/>
          <w:b w:val="0"/>
          <w:i w:val="0"/>
          <w:color w:val="000000"/>
          <w:kern w:val="0"/>
          <w:sz w:val="32"/>
          <w:szCs w:val="32"/>
          <w:lang w:val="zh-CN"/>
          <w:woUserID w:val="1"/>
        </w:rPr>
        <w:t>岗位名称</w:t>
      </w:r>
      <w:r>
        <w:rPr>
          <w:rFonts w:ascii="华文仿宋" w:hAnsi="华文仿宋" w:eastAsia="华文仿宋" w:cs="华文仿宋"/>
          <w:color w:val="000000"/>
          <w:kern w:val="0"/>
          <w:sz w:val="32"/>
          <w:szCs w:val="22"/>
          <w:lang w:val="zh-CN"/>
          <w:woUserID w:val="1"/>
        </w:rPr>
        <w:t>。</w:t>
      </w:r>
      <w:r>
        <w:rPr>
          <w:rFonts w:hint="eastAsia" w:ascii="华文仿宋" w:hAnsi="华文仿宋" w:eastAsia="华文仿宋" w:cs="华文仿宋"/>
          <w:color w:val="000000"/>
          <w:kern w:val="0"/>
          <w:sz w:val="32"/>
          <w:szCs w:val="22"/>
          <w:lang w:val="zh-CN" w:eastAsia="zh"/>
          <w:woUserID w:val="1"/>
        </w:rPr>
        <w:t>”每一个岗位一行，监测到岗位名称列有“、”“，”“；”，提示“请拆分岗位，每个岗位一行，方便后期大表合并。”</w:t>
      </w:r>
    </w:p>
    <w:p w14:paraId="306E16D7">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hint="eastAsia" w:ascii="华文仿宋" w:hAnsi="华文仿宋" w:eastAsia="华文仿宋" w:cs="华文仿宋"/>
          <w:color w:val="000000"/>
          <w:kern w:val="0"/>
          <w:sz w:val="32"/>
          <w:szCs w:val="22"/>
          <w:lang w:val="zh-CN" w:eastAsia="zh"/>
          <w:woUserID w:val="1"/>
        </w:rPr>
        <w:t>人员姓名列，</w:t>
      </w:r>
      <w:r>
        <w:rPr>
          <w:rFonts w:ascii="华文仿宋" w:hAnsi="华文仿宋" w:eastAsia="华文仿宋" w:cs="华文仿宋"/>
          <w:color w:val="000000"/>
          <w:kern w:val="0"/>
          <w:sz w:val="32"/>
          <w:szCs w:val="22"/>
          <w:lang w:val="zh-CN"/>
          <w:woUserID w:val="1"/>
        </w:rPr>
        <w:t>没有人员字段，</w:t>
      </w:r>
      <w:r>
        <w:rPr>
          <w:rFonts w:hint="eastAsia" w:ascii="华文仿宋" w:hAnsi="华文仿宋" w:eastAsia="华文仿宋" w:cs="华文仿宋"/>
          <w:color w:val="000000"/>
          <w:kern w:val="0"/>
          <w:sz w:val="32"/>
          <w:szCs w:val="22"/>
          <w:lang w:val="zh-CN" w:eastAsia="zh"/>
          <w:woUserID w:val="1"/>
        </w:rPr>
        <w:t>出现含等……、</w:t>
      </w:r>
      <w:r>
        <w:rPr>
          <w:rFonts w:ascii="华文仿宋" w:hAnsi="华文仿宋" w:eastAsia="华文仿宋" w:cs="华文仿宋"/>
          <w:color w:val="000000"/>
          <w:kern w:val="0"/>
          <w:sz w:val="32"/>
          <w:szCs w:val="22"/>
          <w:lang w:val="zh-CN"/>
          <w:woUserID w:val="1"/>
        </w:rPr>
        <w:t>待定</w:t>
      </w:r>
      <w:r>
        <w:rPr>
          <w:rFonts w:hint="eastAsia" w:ascii="华文仿宋" w:hAnsi="华文仿宋" w:eastAsia="华文仿宋" w:cs="华文仿宋"/>
          <w:color w:val="000000"/>
          <w:kern w:val="0"/>
          <w:sz w:val="32"/>
          <w:szCs w:val="22"/>
          <w:lang w:val="zh-CN" w:eastAsia="zh"/>
          <w:woUserID w:val="1"/>
        </w:rPr>
        <w:t>等关键词</w:t>
      </w:r>
      <w:r>
        <w:rPr>
          <w:rFonts w:ascii="华文仿宋" w:hAnsi="华文仿宋" w:eastAsia="华文仿宋" w:cs="华文仿宋"/>
          <w:color w:val="000000"/>
          <w:kern w:val="0"/>
          <w:sz w:val="32"/>
          <w:szCs w:val="22"/>
          <w:lang w:val="zh-CN"/>
          <w:woUserID w:val="1"/>
        </w:rPr>
        <w:t>指出</w:t>
      </w:r>
      <w:r>
        <w:rPr>
          <w:rFonts w:hint="eastAsia" w:ascii="华文仿宋" w:hAnsi="华文仿宋" w:eastAsia="华文仿宋" w:cs="华文仿宋"/>
          <w:color w:val="000000"/>
          <w:kern w:val="0"/>
          <w:sz w:val="32"/>
          <w:szCs w:val="22"/>
          <w:lang w:val="zh-CN" w:eastAsia="zh"/>
          <w:woUserID w:val="1"/>
        </w:rPr>
        <w:t>“请具体到人员”。</w:t>
      </w:r>
    </w:p>
    <w:p w14:paraId="251600D1">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（六）不相容岗位清单存在性</w:t>
      </w:r>
    </w:p>
    <w:p w14:paraId="019F97E4">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检查范围：仅检查是否提供了独立的不相容岗位清单（可以是单独文件、独立工作表，或在原表中有明确划分的填报区域）。</w:t>
      </w:r>
    </w:p>
    <w:p w14:paraId="4FEEDA89">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容忍情形：清单虽已提供但无明细内容，或填写“无”“不涉及”的，不因内容空白而提出问题。</w:t>
      </w:r>
    </w:p>
    <w:p w14:paraId="352AF721">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不审核事项：按照“跨部门岗位天然不相容、无需填写”以及“经办与审核岗位无需列举”的口径；不审核以下内容：清单覆盖是否全面；岗位组合是否合理；清单与矩阵是否逐项对应。</w:t>
      </w:r>
    </w:p>
    <w:p w14:paraId="21CFD4F8">
      <w:pPr>
        <w:widowControl/>
        <w:snapToGrid w:val="0"/>
        <w:spacing w:before="0" w:after="0" w:line="560" w:lineRule="exact"/>
        <w:ind w:firstLine="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应提问题情形：如缺失上述清单（无独立文件、无独立工作表、亦无明确填报区域），则提出问题。</w:t>
      </w:r>
    </w:p>
    <w:p w14:paraId="3B150F0B">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例外事项：第八项人员冲突检查、第十二项已有明细的排序检查仍按原要求正常执行，不受上述口径影响。</w:t>
      </w:r>
    </w:p>
    <w:p w14:paraId="2F4B714A">
      <w:pPr>
        <w:keepNext w:val="0"/>
        <w:keepLines w:val="0"/>
        <w:widowControl/>
        <w:suppressLineNumbers w:val="0"/>
        <w:snapToGrid w:val="0"/>
        <w:spacing w:before="0" w:beforeAutospacing="0" w:after="0" w:afterAutospacing="0" w:line="560" w:lineRule="exact"/>
        <w:ind w:left="0" w:right="0" w:firstLine="0"/>
        <w:jc w:val="left"/>
        <w:rPr>
          <w:rFonts w:hint="eastAsia" w:ascii="华文仿宋" w:hAnsi="华文仿宋" w:eastAsia="华文仿宋" w:cs="华文仿宋"/>
          <w:color w:val="000000"/>
          <w:kern w:val="0"/>
          <w:sz w:val="32"/>
          <w:szCs w:val="22"/>
          <w:lang w:val="en-US" w:eastAsia="zh" w:bidi="ar"/>
          <w:woUserID w:val="1"/>
        </w:rPr>
      </w:pPr>
    </w:p>
    <w:p w14:paraId="58EC9FD4">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（八）经办与审核人员分离</w:t>
      </w:r>
    </w:p>
    <w:p w14:paraId="5182E561">
      <w:pPr>
        <w:widowControl/>
        <w:snapToGrid w:val="0"/>
        <w:spacing w:before="0" w:after="0" w:line="560" w:lineRule="exact"/>
        <w:ind w:firstLine="0"/>
        <w:rPr>
          <w:rFonts w:ascii="华文仿宋" w:hAnsi="华文仿宋" w:eastAsia="华文仿宋" w:cs="华文仿宋"/>
          <w:color w:val="000000"/>
          <w:kern w:val="0"/>
          <w:sz w:val="32"/>
          <w:szCs w:val="22"/>
          <w:lang w:val="zh-CN"/>
          <w:woUserID w:val="1"/>
        </w:rPr>
      </w:pPr>
      <w:r>
        <w:rPr>
          <w:rFonts w:hint="eastAsia" w:ascii="华文仿宋" w:hAnsi="华文仿宋" w:eastAsia="华文仿宋" w:cs="华文仿宋"/>
          <w:color w:val="000000"/>
          <w:kern w:val="0"/>
          <w:sz w:val="32"/>
          <w:szCs w:val="22"/>
          <w:lang w:val="zh-CN" w:eastAsia="zh"/>
          <w:woUserID w:val="1"/>
        </w:rPr>
        <w:t>所有矩阵</w:t>
      </w:r>
      <w:r>
        <w:rPr>
          <w:rFonts w:ascii="华文仿宋" w:hAnsi="华文仿宋" w:eastAsia="华文仿宋" w:cs="华文仿宋"/>
          <w:color w:val="000000"/>
          <w:kern w:val="0"/>
          <w:sz w:val="32"/>
          <w:szCs w:val="22"/>
          <w:lang w:val="zh-CN"/>
          <w:woUserID w:val="1"/>
        </w:rPr>
        <w:t>按“会计主体＋业务类别＋</w:t>
      </w:r>
      <w:commentRangeStart w:id="2"/>
      <w:r>
        <w:rPr>
          <w:rFonts w:ascii="华文仿宋" w:hAnsi="华文仿宋" w:eastAsia="华文仿宋" w:cs="华文仿宋"/>
          <w:color w:val="000000"/>
          <w:kern w:val="0"/>
          <w:sz w:val="32"/>
          <w:szCs w:val="22"/>
          <w:lang w:val="zh-CN"/>
          <w:woUserID w:val="1"/>
        </w:rPr>
        <w:t>控制措施编号</w:t>
      </w:r>
      <w:commentRangeEnd w:id="2"/>
      <w:r>
        <w:rPr>
          <w:rFonts w:ascii="华文仿宋" w:hAnsi="华文仿宋" w:eastAsia="华文仿宋" w:cs="华文仿宋"/>
          <w:color w:val="000000"/>
          <w:kern w:val="0"/>
          <w:sz w:val="32"/>
          <w:szCs w:val="22"/>
          <w:lang w:val="zh-CN"/>
          <w:woUserID w:val="1"/>
        </w:rPr>
        <w:commentReference w:id="2"/>
      </w:r>
      <w:r>
        <w:rPr>
          <w:rFonts w:ascii="华文仿宋" w:hAnsi="华文仿宋" w:eastAsia="华文仿宋" w:cs="华文仿宋"/>
          <w:color w:val="000000"/>
          <w:kern w:val="0"/>
          <w:sz w:val="32"/>
          <w:szCs w:val="22"/>
          <w:lang w:val="zh-CN"/>
          <w:woUserID w:val="1"/>
        </w:rPr>
        <w:t>”汇总</w:t>
      </w:r>
      <w:r>
        <w:rPr>
          <w:rFonts w:hint="eastAsia" w:ascii="华文仿宋" w:hAnsi="华文仿宋" w:eastAsia="华文仿宋" w:cs="华文仿宋"/>
          <w:color w:val="000000"/>
          <w:kern w:val="0"/>
          <w:sz w:val="32"/>
          <w:szCs w:val="22"/>
          <w:lang w:val="zh-CN" w:eastAsia="zh"/>
          <w:woUserID w:val="1"/>
        </w:rPr>
        <w:t>角色填写</w:t>
      </w:r>
      <w:r>
        <w:rPr>
          <w:rFonts w:ascii="华文仿宋" w:hAnsi="华文仿宋" w:eastAsia="华文仿宋" w:cs="华文仿宋"/>
          <w:color w:val="000000"/>
          <w:kern w:val="0"/>
          <w:sz w:val="32"/>
          <w:szCs w:val="22"/>
          <w:lang w:val="zh-CN"/>
          <w:woUserID w:val="1"/>
        </w:rPr>
        <w:t>经办</w:t>
      </w:r>
      <w:r>
        <w:rPr>
          <w:rFonts w:hint="eastAsia" w:ascii="华文仿宋" w:hAnsi="华文仿宋" w:eastAsia="华文仿宋" w:cs="华文仿宋"/>
          <w:color w:val="000000"/>
          <w:kern w:val="0"/>
          <w:sz w:val="32"/>
          <w:szCs w:val="22"/>
          <w:lang w:val="zh-CN" w:eastAsia="zh"/>
          <w:woUserID w:val="1"/>
        </w:rPr>
        <w:t>与</w:t>
      </w:r>
      <w:r>
        <w:rPr>
          <w:rFonts w:ascii="华文仿宋" w:hAnsi="华文仿宋" w:eastAsia="华文仿宋" w:cs="华文仿宋"/>
          <w:color w:val="000000"/>
          <w:kern w:val="0"/>
          <w:sz w:val="32"/>
          <w:szCs w:val="22"/>
          <w:lang w:val="zh-CN"/>
          <w:woUserID w:val="1"/>
        </w:rPr>
        <w:t>审核</w:t>
      </w:r>
      <w:r>
        <w:rPr>
          <w:rFonts w:hint="eastAsia" w:ascii="华文仿宋" w:hAnsi="华文仿宋" w:eastAsia="华文仿宋" w:cs="华文仿宋"/>
          <w:color w:val="000000"/>
          <w:kern w:val="0"/>
          <w:sz w:val="32"/>
          <w:szCs w:val="22"/>
          <w:lang w:val="zh-CN" w:eastAsia="zh"/>
          <w:woUserID w:val="1"/>
        </w:rPr>
        <w:t>的</w:t>
      </w:r>
      <w:r>
        <w:rPr>
          <w:rFonts w:ascii="华文仿宋" w:hAnsi="华文仿宋" w:eastAsia="华文仿宋" w:cs="华文仿宋"/>
          <w:color w:val="000000"/>
          <w:kern w:val="0"/>
          <w:sz w:val="32"/>
          <w:szCs w:val="22"/>
          <w:lang w:val="zh-CN"/>
          <w:woUserID w:val="1"/>
        </w:rPr>
        <w:t>是否为同一人</w:t>
      </w:r>
      <w:r>
        <w:rPr>
          <w:rFonts w:hint="eastAsia" w:ascii="华文仿宋" w:hAnsi="华文仿宋" w:eastAsia="华文仿宋" w:cs="华文仿宋"/>
          <w:color w:val="000000"/>
          <w:kern w:val="0"/>
          <w:sz w:val="32"/>
          <w:szCs w:val="22"/>
          <w:lang w:val="zh-CN" w:eastAsia="zh"/>
          <w:woUserID w:val="1"/>
        </w:rPr>
        <w:t>，同一人的继续检查岗位职责描述除了“主体”和“审核”字段不一致外，其余字段一致，还需要核查部门列、人员姓名列、岗位职责列、控制措施编号列是否都一致，都一致提示“同一条措施，同样的岗位职责，经办审核不能同一人”</w:t>
      </w:r>
      <w:r>
        <w:rPr>
          <w:rFonts w:ascii="华文仿宋" w:hAnsi="华文仿宋" w:eastAsia="华文仿宋" w:cs="华文仿宋"/>
          <w:color w:val="000000"/>
          <w:kern w:val="0"/>
          <w:sz w:val="32"/>
          <w:szCs w:val="22"/>
          <w:lang w:val="zh-CN"/>
          <w:woUserID w:val="1"/>
        </w:rPr>
        <w:t>。不同主体或不同措施之间的人员重合不按本条认定为冲突。</w:t>
      </w:r>
    </w:p>
    <w:p w14:paraId="5E4ADA45">
      <w:pPr>
        <w:widowControl/>
        <w:snapToGrid w:val="0"/>
        <w:spacing w:before="0" w:after="0" w:line="560" w:lineRule="exact"/>
        <w:ind w:firstLine="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矩阵找不到</w:t>
      </w:r>
      <w:r>
        <w:rPr>
          <w:rFonts w:ascii="华文仿宋" w:hAnsi="华文仿宋" w:eastAsia="华文仿宋" w:cs="华文仿宋"/>
          <w:color w:val="000000"/>
          <w:kern w:val="0"/>
          <w:sz w:val="32"/>
          <w:szCs w:val="22"/>
          <w:lang w:val="zh-CN"/>
          <w:woUserID w:val="1"/>
        </w:rPr>
        <w:t>“会计主体＋业务类别＋</w:t>
      </w:r>
      <w:commentRangeStart w:id="3"/>
      <w:r>
        <w:rPr>
          <w:rFonts w:ascii="华文仿宋" w:hAnsi="华文仿宋" w:eastAsia="华文仿宋" w:cs="华文仿宋"/>
          <w:color w:val="000000"/>
          <w:kern w:val="0"/>
          <w:sz w:val="32"/>
          <w:szCs w:val="22"/>
          <w:lang w:val="zh-CN"/>
          <w:woUserID w:val="1"/>
        </w:rPr>
        <w:t>控制措施编号</w:t>
      </w:r>
      <w:commentRangeEnd w:id="3"/>
      <w:r>
        <w:rPr>
          <w:rFonts w:ascii="华文仿宋" w:hAnsi="华文仿宋" w:eastAsia="华文仿宋" w:cs="华文仿宋"/>
          <w:color w:val="000000"/>
          <w:kern w:val="0"/>
          <w:sz w:val="32"/>
          <w:szCs w:val="22"/>
          <w:lang w:val="zh-CN"/>
          <w:woUserID w:val="1"/>
        </w:rPr>
        <w:commentReference w:id="3"/>
      </w:r>
      <w:r>
        <w:rPr>
          <w:rFonts w:ascii="华文仿宋" w:hAnsi="华文仿宋" w:eastAsia="华文仿宋" w:cs="华文仿宋"/>
          <w:color w:val="000000"/>
          <w:kern w:val="0"/>
          <w:sz w:val="32"/>
          <w:szCs w:val="22"/>
          <w:lang w:val="zh-CN"/>
          <w:woUserID w:val="1"/>
        </w:rPr>
        <w:t>”</w:t>
      </w:r>
      <w:r>
        <w:rPr>
          <w:rFonts w:hint="eastAsia" w:ascii="华文仿宋" w:hAnsi="华文仿宋" w:eastAsia="华文仿宋" w:cs="华文仿宋"/>
          <w:color w:val="000000"/>
          <w:kern w:val="0"/>
          <w:sz w:val="32"/>
          <w:szCs w:val="22"/>
          <w:lang w:val="zh-CN" w:eastAsia="zh"/>
          <w:woUserID w:val="1"/>
        </w:rPr>
        <w:t>的情况下，再从控制措施列内容上对应核查。</w:t>
      </w:r>
    </w:p>
    <w:p w14:paraId="65CFC127">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角色字段</w:t>
      </w:r>
      <w:r>
        <w:rPr>
          <w:rFonts w:hint="eastAsia" w:ascii="华文仿宋" w:hAnsi="华文仿宋" w:eastAsia="华文仿宋" w:cs="华文仿宋"/>
          <w:color w:val="000000"/>
          <w:kern w:val="0"/>
          <w:sz w:val="32"/>
          <w:szCs w:val="22"/>
          <w:lang w:val="zh-CN" w:eastAsia="zh"/>
          <w:woUserID w:val="1"/>
        </w:rPr>
        <w:t>有值时，只能是“经办”“审核”“审批”三个角色中的一个，如果不是这三个中的一个需要提示“请核实角色。”</w:t>
      </w:r>
      <w:r>
        <w:rPr>
          <w:rFonts w:ascii="华文仿宋" w:hAnsi="华文仿宋" w:eastAsia="华文仿宋" w:cs="华文仿宋"/>
          <w:color w:val="000000"/>
          <w:kern w:val="0"/>
          <w:sz w:val="32"/>
          <w:szCs w:val="22"/>
          <w:lang w:val="zh-CN"/>
          <w:woUserID w:val="1"/>
        </w:rPr>
        <w:t>，</w:t>
      </w:r>
      <w:r>
        <w:rPr>
          <w:rFonts w:hint="eastAsia" w:ascii="华文仿宋" w:hAnsi="华文仿宋" w:eastAsia="华文仿宋" w:cs="华文仿宋"/>
          <w:color w:val="000000"/>
          <w:kern w:val="0"/>
          <w:sz w:val="32"/>
          <w:szCs w:val="22"/>
          <w:lang w:val="zh-CN" w:eastAsia="zh"/>
          <w:woUserID w:val="1"/>
        </w:rPr>
        <w:t>没有值时，提示词“请补充明确角色”</w:t>
      </w:r>
      <w:r>
        <w:rPr>
          <w:rFonts w:ascii="华文仿宋" w:hAnsi="华文仿宋" w:eastAsia="华文仿宋" w:cs="华文仿宋"/>
          <w:color w:val="000000"/>
          <w:kern w:val="0"/>
          <w:sz w:val="32"/>
          <w:szCs w:val="22"/>
          <w:lang w:val="zh-CN"/>
          <w:woUserID w:val="1"/>
        </w:rPr>
        <w:t>。确认同一人同时经办和审核的，指出冲突岗位和人员。</w:t>
      </w:r>
    </w:p>
    <w:p w14:paraId="5926D668">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缺少姓名或无法识别角色时，填写具体缺失及事项，不能认定不存在冲突。本期只检查经办与审核，不自动扩大为所有角色之间禁止兼任。</w:t>
      </w:r>
    </w:p>
    <w:p w14:paraId="3FB4FA7B">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（九）措施编号及载体引用一致性</w:t>
      </w:r>
    </w:p>
    <w:p w14:paraId="32C79F4B">
      <w:pPr>
        <w:widowControl/>
        <w:snapToGrid w:val="0"/>
        <w:spacing w:before="0" w:after="0" w:line="560" w:lineRule="exact"/>
        <w:ind w:firstLine="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本项仅实施两项检查：一是岗位清单引用的控制措施编号，是否在同一会计主体、同一业务类别的当前矩阵中存在</w:t>
      </w:r>
      <w:r>
        <w:rPr>
          <w:rFonts w:hint="eastAsia" w:ascii="华文仿宋" w:hAnsi="华文仿宋" w:eastAsia="华文仿宋" w:cs="华文仿宋"/>
          <w:color w:val="000000"/>
          <w:kern w:val="0"/>
          <w:sz w:val="32"/>
          <w:szCs w:val="22"/>
          <w:lang w:val="zh-CN" w:eastAsia="zh"/>
          <w:woUserID w:val="1"/>
        </w:rPr>
        <w:t>，并检查矩阵中“是否适用”列为“是”或者“适用”</w:t>
      </w:r>
      <w:r>
        <w:rPr>
          <w:rFonts w:ascii="华文仿宋" w:hAnsi="华文仿宋" w:eastAsia="华文仿宋" w:cs="华文仿宋"/>
          <w:color w:val="000000"/>
          <w:kern w:val="0"/>
          <w:sz w:val="32"/>
          <w:szCs w:val="22"/>
          <w:lang w:val="zh-CN"/>
          <w:woUserID w:val="1"/>
        </w:rPr>
        <w:t>；二是</w:t>
      </w:r>
      <w:r>
        <w:rPr>
          <w:rFonts w:hint="eastAsia" w:ascii="华文仿宋" w:hAnsi="华文仿宋" w:eastAsia="华文仿宋" w:cs="华文仿宋"/>
          <w:color w:val="000000"/>
          <w:kern w:val="0"/>
          <w:sz w:val="32"/>
          <w:szCs w:val="22"/>
          <w:lang w:val="zh-CN" w:eastAsia="zh"/>
          <w:woUserID w:val="1"/>
        </w:rPr>
        <w:t>矩阵中控制措施列</w:t>
      </w:r>
      <w:r>
        <w:rPr>
          <w:rFonts w:ascii="华文仿宋" w:hAnsi="华文仿宋" w:eastAsia="华文仿宋" w:cs="华文仿宋"/>
          <w:color w:val="000000"/>
          <w:kern w:val="0"/>
          <w:sz w:val="32"/>
          <w:szCs w:val="22"/>
          <w:lang w:val="zh-CN"/>
          <w:woUserID w:val="1"/>
        </w:rPr>
        <w:t>或</w:t>
      </w:r>
      <w:r>
        <w:rPr>
          <w:rFonts w:hint="eastAsia" w:ascii="华文仿宋" w:hAnsi="华文仿宋" w:eastAsia="华文仿宋" w:cs="华文仿宋"/>
          <w:color w:val="000000"/>
          <w:kern w:val="0"/>
          <w:sz w:val="32"/>
          <w:szCs w:val="22"/>
          <w:lang w:val="zh-CN" w:eastAsia="zh"/>
          <w:woUserID w:val="1"/>
        </w:rPr>
        <w:t>控制载体列</w:t>
      </w:r>
      <w:r>
        <w:rPr>
          <w:rFonts w:ascii="华文仿宋" w:hAnsi="华文仿宋" w:eastAsia="华文仿宋" w:cs="华文仿宋"/>
          <w:color w:val="000000"/>
          <w:kern w:val="0"/>
          <w:sz w:val="32"/>
          <w:szCs w:val="22"/>
          <w:lang w:val="zh-CN"/>
          <w:woUserID w:val="1"/>
        </w:rPr>
        <w:t>中</w:t>
      </w:r>
      <w:r>
        <w:rPr>
          <w:rFonts w:hint="eastAsia" w:ascii="华文仿宋" w:hAnsi="华文仿宋" w:eastAsia="华文仿宋" w:cs="华文仿宋"/>
          <w:color w:val="000000"/>
          <w:kern w:val="0"/>
          <w:sz w:val="32"/>
          <w:szCs w:val="22"/>
          <w:lang w:val="zh-CN" w:eastAsia="zh"/>
          <w:woUserID w:val="1"/>
        </w:rPr>
        <w:t>已经划删除线的字段</w:t>
      </w:r>
      <w:r>
        <w:rPr>
          <w:rFonts w:ascii="华文仿宋" w:hAnsi="华文仿宋" w:eastAsia="华文仿宋" w:cs="华文仿宋"/>
          <w:color w:val="000000"/>
          <w:kern w:val="0"/>
          <w:sz w:val="32"/>
          <w:szCs w:val="22"/>
          <w:lang w:val="zh-CN"/>
          <w:woUserID w:val="1"/>
        </w:rPr>
        <w:t>，是否能够在</w:t>
      </w:r>
      <w:r>
        <w:rPr>
          <w:rFonts w:hint="eastAsia" w:ascii="华文仿宋" w:hAnsi="华文仿宋" w:eastAsia="华文仿宋" w:cs="华文仿宋"/>
          <w:color w:val="000000"/>
          <w:kern w:val="0"/>
          <w:sz w:val="32"/>
          <w:szCs w:val="22"/>
          <w:lang w:val="zh-CN" w:eastAsia="zh"/>
          <w:woUserID w:val="1"/>
        </w:rPr>
        <w:t>岗位职责清单中对应的</w:t>
      </w:r>
      <w:r>
        <w:rPr>
          <w:rFonts w:ascii="华文仿宋" w:hAnsi="华文仿宋" w:eastAsia="华文仿宋" w:cs="华文仿宋"/>
          <w:color w:val="000000"/>
          <w:kern w:val="0"/>
          <w:sz w:val="32"/>
          <w:szCs w:val="22"/>
          <w:lang w:val="zh-CN"/>
          <w:woUserID w:val="1"/>
        </w:rPr>
        <w:t>该措施</w:t>
      </w:r>
      <w:r>
        <w:rPr>
          <w:rFonts w:hint="eastAsia" w:ascii="华文仿宋" w:hAnsi="华文仿宋" w:eastAsia="华文仿宋" w:cs="华文仿宋"/>
          <w:color w:val="000000"/>
          <w:kern w:val="0"/>
          <w:sz w:val="32"/>
          <w:szCs w:val="22"/>
          <w:lang w:val="zh-CN" w:eastAsia="zh"/>
          <w:woUserID w:val="1"/>
        </w:rPr>
        <w:t>编号的“岗位职责”列文字中</w:t>
      </w:r>
      <w:r>
        <w:rPr>
          <w:rFonts w:ascii="华文仿宋" w:hAnsi="华文仿宋" w:eastAsia="华文仿宋" w:cs="华文仿宋"/>
          <w:color w:val="000000"/>
          <w:kern w:val="0"/>
          <w:sz w:val="32"/>
          <w:szCs w:val="22"/>
          <w:lang w:val="zh-CN"/>
          <w:woUserID w:val="1"/>
        </w:rPr>
        <w:t>内容中找到</w:t>
      </w:r>
      <w:r>
        <w:rPr>
          <w:rFonts w:hint="eastAsia" w:ascii="华文仿宋" w:hAnsi="华文仿宋" w:eastAsia="华文仿宋" w:cs="华文仿宋"/>
          <w:color w:val="000000"/>
          <w:kern w:val="0"/>
          <w:sz w:val="32"/>
          <w:szCs w:val="22"/>
          <w:lang w:val="zh-CN" w:eastAsia="zh"/>
          <w:woUserID w:val="1"/>
        </w:rPr>
        <w:t>对应的内容，找到已删除的相同字段就请提示“矩阵中对应的措施或载体已删除，请核对岗位职责描述是否规范”</w:t>
      </w:r>
      <w:r>
        <w:rPr>
          <w:rFonts w:ascii="华文仿宋" w:hAnsi="华文仿宋" w:eastAsia="华文仿宋" w:cs="华文仿宋"/>
          <w:color w:val="000000"/>
          <w:kern w:val="0"/>
          <w:sz w:val="32"/>
          <w:szCs w:val="22"/>
          <w:lang w:val="zh-CN"/>
          <w:woUserID w:val="1"/>
        </w:rPr>
        <w:t>。</w:t>
      </w:r>
    </w:p>
    <w:p w14:paraId="6FC61601">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完成空格、换行、约定标点及经确认别名的规范化后，编号仍不存在或载体明确不在对应范围内的，指出引用不一致。简称无法确认、职责仅作概括表述等无法可靠匹配的，填写意见。岗位仅涉及部分载体的，不要求复制矩阵全部载体。</w:t>
      </w:r>
    </w:p>
    <w:p w14:paraId="66268FCA">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本项以当前矩阵和当前岗位清单为依据，</w:t>
      </w:r>
      <w:r>
        <w:rPr>
          <w:rFonts w:hint="eastAsia" w:ascii="华文仿宋" w:hAnsi="华文仿宋" w:eastAsia="华文仿宋" w:cs="华文仿宋"/>
          <w:color w:val="000000"/>
          <w:kern w:val="0"/>
          <w:sz w:val="32"/>
          <w:szCs w:val="22"/>
          <w:lang w:val="zh-CN" w:eastAsia="zh"/>
          <w:woUserID w:val="1"/>
        </w:rPr>
        <w:t>需要</w:t>
      </w:r>
      <w:r>
        <w:rPr>
          <w:rFonts w:ascii="华文仿宋" w:hAnsi="华文仿宋" w:eastAsia="华文仿宋" w:cs="华文仿宋"/>
          <w:color w:val="000000"/>
          <w:kern w:val="0"/>
          <w:sz w:val="32"/>
          <w:szCs w:val="22"/>
          <w:lang w:val="zh-CN"/>
          <w:woUserID w:val="1"/>
        </w:rPr>
        <w:t>核查</w:t>
      </w:r>
      <w:r>
        <w:rPr>
          <w:rFonts w:hint="eastAsia" w:ascii="华文仿宋" w:hAnsi="华文仿宋" w:eastAsia="华文仿宋" w:cs="华文仿宋"/>
          <w:color w:val="000000"/>
          <w:kern w:val="0"/>
          <w:sz w:val="32"/>
          <w:szCs w:val="22"/>
          <w:lang w:val="zh-CN" w:eastAsia="zh"/>
          <w:woUserID w:val="1"/>
        </w:rPr>
        <w:t>矩阵对应的控制载体的</w:t>
      </w:r>
      <w:r>
        <w:rPr>
          <w:rFonts w:ascii="华文仿宋" w:hAnsi="华文仿宋" w:eastAsia="华文仿宋" w:cs="华文仿宋"/>
          <w:color w:val="000000"/>
          <w:kern w:val="0"/>
          <w:sz w:val="32"/>
          <w:szCs w:val="22"/>
          <w:lang w:val="zh-CN"/>
          <w:woUserID w:val="1"/>
        </w:rPr>
        <w:t>删除</w:t>
      </w:r>
      <w:r>
        <w:rPr>
          <w:rFonts w:hint="eastAsia" w:ascii="华文仿宋" w:hAnsi="华文仿宋" w:eastAsia="华文仿宋" w:cs="华文仿宋"/>
          <w:color w:val="000000"/>
          <w:kern w:val="0"/>
          <w:sz w:val="32"/>
          <w:szCs w:val="22"/>
          <w:lang w:val="zh-CN" w:eastAsia="zh"/>
          <w:woUserID w:val="1"/>
        </w:rPr>
        <w:t>字段</w:t>
      </w:r>
      <w:r>
        <w:rPr>
          <w:rFonts w:ascii="华文仿宋" w:hAnsi="华文仿宋" w:eastAsia="华文仿宋" w:cs="华文仿宋"/>
          <w:color w:val="000000"/>
          <w:kern w:val="0"/>
          <w:sz w:val="32"/>
          <w:szCs w:val="22"/>
          <w:lang w:val="zh-CN"/>
          <w:woUserID w:val="1"/>
        </w:rPr>
        <w:t>载体</w:t>
      </w:r>
      <w:r>
        <w:rPr>
          <w:rFonts w:hint="eastAsia" w:ascii="华文仿宋" w:hAnsi="华文仿宋" w:eastAsia="华文仿宋" w:cs="华文仿宋"/>
          <w:color w:val="000000"/>
          <w:kern w:val="0"/>
          <w:sz w:val="32"/>
          <w:szCs w:val="22"/>
          <w:lang w:val="zh-CN" w:eastAsia="zh"/>
          <w:woUserID w:val="1"/>
        </w:rPr>
        <w:t>和矩阵的控制措施列删除的字段，对应三清单中控制措施编号对应的岗位</w:t>
      </w:r>
      <w:r>
        <w:rPr>
          <w:rFonts w:ascii="华文仿宋" w:hAnsi="华文仿宋" w:eastAsia="华文仿宋" w:cs="华文仿宋"/>
          <w:color w:val="000000"/>
          <w:kern w:val="0"/>
          <w:sz w:val="32"/>
          <w:szCs w:val="22"/>
          <w:lang w:val="zh-CN"/>
          <w:woUserID w:val="1"/>
        </w:rPr>
        <w:t>职责</w:t>
      </w:r>
      <w:r>
        <w:rPr>
          <w:rFonts w:hint="eastAsia" w:ascii="华文仿宋" w:hAnsi="华文仿宋" w:eastAsia="华文仿宋" w:cs="华文仿宋"/>
          <w:color w:val="000000"/>
          <w:kern w:val="0"/>
          <w:sz w:val="32"/>
          <w:szCs w:val="22"/>
          <w:lang w:val="zh-CN" w:eastAsia="zh"/>
          <w:woUserID w:val="1"/>
        </w:rPr>
        <w:t>内容</w:t>
      </w:r>
      <w:r>
        <w:rPr>
          <w:rFonts w:ascii="华文仿宋" w:hAnsi="华文仿宋" w:eastAsia="华文仿宋" w:cs="华文仿宋"/>
          <w:color w:val="000000"/>
          <w:kern w:val="0"/>
          <w:sz w:val="32"/>
          <w:szCs w:val="22"/>
          <w:lang w:val="zh-CN"/>
          <w:woUserID w:val="1"/>
        </w:rPr>
        <w:t>是否同步</w:t>
      </w:r>
      <w:r>
        <w:rPr>
          <w:rFonts w:hint="eastAsia" w:ascii="华文仿宋" w:hAnsi="华文仿宋" w:eastAsia="华文仿宋" w:cs="华文仿宋"/>
          <w:color w:val="000000"/>
          <w:kern w:val="0"/>
          <w:sz w:val="32"/>
          <w:szCs w:val="22"/>
          <w:lang w:val="zh-CN" w:eastAsia="zh"/>
          <w:woUserID w:val="1"/>
        </w:rPr>
        <w:t>删除</w:t>
      </w:r>
      <w:r>
        <w:rPr>
          <w:rFonts w:ascii="华文仿宋" w:hAnsi="华文仿宋" w:eastAsia="华文仿宋" w:cs="华文仿宋"/>
          <w:color w:val="000000"/>
          <w:kern w:val="0"/>
          <w:sz w:val="32"/>
          <w:szCs w:val="22"/>
          <w:lang w:val="zh-CN"/>
          <w:woUserID w:val="1"/>
        </w:rPr>
        <w:t>，不开展历史变更追溯及业务语义冲突判断。</w:t>
      </w:r>
    </w:p>
    <w:p w14:paraId="6E137119">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（十）岗位职责基本责任表述</w:t>
      </w:r>
    </w:p>
    <w:p w14:paraId="7FBCA97F">
      <w:pPr>
        <w:widowControl/>
        <w:snapToGrid/>
        <w:spacing w:before="0" w:after="0" w:line="560" w:lineRule="exact"/>
        <w:ind w:firstLine="0"/>
        <w:rPr>
          <w:rFonts w:ascii="华文仿宋" w:hAnsi="华文仿宋" w:eastAsia="华文仿宋" w:cs="华文仿宋"/>
          <w:color w:val="000000"/>
          <w:kern w:val="0"/>
          <w:sz w:val="32"/>
          <w:szCs w:val="22"/>
          <w:lang w:val="zh-CN"/>
          <w:woUserID w:val="1"/>
        </w:rPr>
      </w:pPr>
      <w:r>
        <w:rPr>
          <w:rFonts w:hint="eastAsia" w:ascii="华文仿宋" w:hAnsi="华文仿宋" w:eastAsia="华文仿宋" w:cs="华文仿宋"/>
          <w:color w:val="000000"/>
          <w:kern w:val="0"/>
          <w:sz w:val="32"/>
          <w:szCs w:val="22"/>
          <w:lang w:val="zh-CN" w:eastAsia="zh"/>
          <w:woUserID w:val="1"/>
        </w:rPr>
        <w:t>检查每条有效岗位职责是否同时满足以下两个条件：</w:t>
      </w:r>
    </w:p>
    <w:p w14:paraId="3507E688">
      <w:pPr>
        <w:widowControl/>
        <w:snapToGrid/>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ab/>
      </w:r>
      <w:r>
        <w:rPr>
          <w:rFonts w:hint="eastAsia" w:ascii="华文仿宋" w:hAnsi="华文仿宋" w:eastAsia="华文仿宋" w:cs="华文仿宋"/>
          <w:color w:val="000000"/>
          <w:kern w:val="0"/>
          <w:sz w:val="32"/>
          <w:szCs w:val="22"/>
          <w:lang w:val="zh-CN" w:eastAsia="zh"/>
          <w:woUserID w:val="1"/>
        </w:rPr>
        <w:t>至少包含“一致性、准确性、真实性、完整性、有效性、及时性、合规性”中的任一项；</w:t>
      </w:r>
    </w:p>
    <w:p w14:paraId="6CA58757">
      <w:pPr>
        <w:widowControl/>
        <w:snapToGrid/>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ab/>
      </w:r>
      <w:r>
        <w:rPr>
          <w:rFonts w:hint="eastAsia" w:ascii="华文仿宋" w:hAnsi="华文仿宋" w:eastAsia="华文仿宋" w:cs="华文仿宋"/>
          <w:color w:val="000000"/>
          <w:kern w:val="0"/>
          <w:sz w:val="32"/>
          <w:szCs w:val="22"/>
          <w:lang w:val="zh-CN" w:eastAsia="zh"/>
          <w:woUserID w:val="1"/>
        </w:rPr>
        <w:t>至少包含“主体责任、审核责任、审批责任”中的任一项。</w:t>
      </w:r>
    </w:p>
    <w:p w14:paraId="0692A1C8">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hint="eastAsia" w:ascii="华文仿宋" w:hAnsi="华文仿宋" w:eastAsia="华文仿宋" w:cs="华文仿宋"/>
          <w:color w:val="000000"/>
          <w:kern w:val="0"/>
          <w:sz w:val="32"/>
          <w:szCs w:val="22"/>
          <w:lang w:val="zh-CN" w:eastAsia="zh"/>
          <w:woUserID w:val="1"/>
        </w:rPr>
        <w:t>如果没有满足条件，请提示“岗位职责请按照国网标准句式编制，“对……的</w:t>
      </w:r>
      <w:r>
        <w:rPr>
          <w:rFonts w:ascii="华文仿宋" w:hAnsi="华文仿宋" w:eastAsia="华文仿宋" w:cs="华文仿宋"/>
          <w:b w:val="0"/>
          <w:bCs w:val="0"/>
          <w:color w:val="000000"/>
          <w:kern w:val="0"/>
          <w:sz w:val="32"/>
          <w:szCs w:val="22"/>
          <w:lang w:val="zh-CN"/>
          <w:woUserID w:val="1"/>
        </w:rPr>
        <w:t>一致性</w:t>
      </w:r>
      <w:r>
        <w:rPr>
          <w:rFonts w:hint="eastAsia" w:ascii="华文仿宋" w:hAnsi="华文仿宋" w:eastAsia="华文仿宋" w:cs="华文仿宋"/>
          <w:b w:val="0"/>
          <w:bCs w:val="0"/>
          <w:color w:val="000000"/>
          <w:kern w:val="0"/>
          <w:sz w:val="32"/>
          <w:szCs w:val="22"/>
          <w:lang w:val="zh-CN" w:eastAsia="zh"/>
          <w:woUserID w:val="1"/>
        </w:rPr>
        <w:t>/</w:t>
      </w:r>
      <w:r>
        <w:rPr>
          <w:rFonts w:ascii="华文仿宋" w:hAnsi="华文仿宋" w:eastAsia="华文仿宋" w:cs="华文仿宋"/>
          <w:b w:val="0"/>
          <w:bCs w:val="0"/>
          <w:color w:val="000000"/>
          <w:kern w:val="0"/>
          <w:sz w:val="32"/>
          <w:szCs w:val="22"/>
          <w:lang w:val="zh-CN"/>
          <w:woUserID w:val="1"/>
        </w:rPr>
        <w:t>准确性</w:t>
      </w:r>
      <w:r>
        <w:rPr>
          <w:rFonts w:hint="eastAsia" w:ascii="华文仿宋" w:hAnsi="华文仿宋" w:eastAsia="华文仿宋" w:cs="华文仿宋"/>
          <w:b w:val="0"/>
          <w:bCs w:val="0"/>
          <w:color w:val="000000"/>
          <w:kern w:val="0"/>
          <w:sz w:val="32"/>
          <w:szCs w:val="22"/>
          <w:lang w:val="zh-CN" w:eastAsia="zh"/>
          <w:woUserID w:val="1"/>
        </w:rPr>
        <w:t>/</w:t>
      </w:r>
      <w:r>
        <w:rPr>
          <w:rFonts w:hint="eastAsia" w:ascii="仿宋_GB2312" w:hAnsi="宋体" w:eastAsia="仿宋_GB2312" w:cs="仿宋_GB2312"/>
          <w:b w:val="0"/>
          <w:bCs w:val="0"/>
          <w:color w:val="000000"/>
          <w:kern w:val="0"/>
          <w:sz w:val="32"/>
          <w:szCs w:val="32"/>
          <w:lang w:val="zh-CN" w:eastAsia="zh"/>
          <w:woUserID w:val="1"/>
        </w:rPr>
        <w:t>真实</w:t>
      </w:r>
      <w:r>
        <w:rPr>
          <w:rFonts w:hint="eastAsia" w:ascii="华文仿宋" w:hAnsi="华文仿宋" w:eastAsia="华文仿宋" w:cs="华文仿宋"/>
          <w:b w:val="0"/>
          <w:bCs w:val="0"/>
          <w:color w:val="000000"/>
          <w:kern w:val="0"/>
          <w:sz w:val="32"/>
          <w:szCs w:val="22"/>
          <w:lang w:val="zh-CN" w:eastAsia="zh"/>
          <w:woUserID w:val="1"/>
        </w:rPr>
        <w:t>性/</w:t>
      </w:r>
      <w:r>
        <w:rPr>
          <w:rFonts w:hint="eastAsia" w:ascii="宋体" w:hAnsi="宋体" w:eastAsia="宋体" w:cs="宋体"/>
          <w:b w:val="0"/>
          <w:bCs w:val="0"/>
          <w:color w:val="000000"/>
          <w:kern w:val="0"/>
          <w:sz w:val="31"/>
          <w:szCs w:val="31"/>
          <w:lang w:val="en-US" w:eastAsia="zh-CN" w:bidi="ar"/>
          <w:woUserID w:val="1"/>
        </w:rPr>
        <w:t>完整性</w:t>
      </w:r>
      <w:r>
        <w:rPr>
          <w:rFonts w:hint="eastAsia" w:ascii="宋体" w:hAnsi="宋体" w:eastAsia="宋体" w:cs="宋体"/>
          <w:b w:val="0"/>
          <w:bCs w:val="0"/>
          <w:color w:val="000000"/>
          <w:kern w:val="0"/>
          <w:sz w:val="31"/>
          <w:szCs w:val="31"/>
          <w:lang w:val="en-US" w:eastAsia="zh" w:bidi="ar"/>
          <w:woUserID w:val="1"/>
        </w:rPr>
        <w:t>/</w:t>
      </w:r>
      <w:r>
        <w:rPr>
          <w:rFonts w:hint="eastAsia" w:ascii="宋体" w:hAnsi="宋体" w:eastAsia="宋体" w:cs="宋体"/>
          <w:b w:val="0"/>
          <w:bCs w:val="0"/>
          <w:color w:val="000000"/>
          <w:kern w:val="0"/>
          <w:sz w:val="31"/>
          <w:szCs w:val="31"/>
          <w:lang w:val="en-US" w:eastAsia="zh-CN" w:bidi="ar"/>
          <w:woUserID w:val="1"/>
        </w:rPr>
        <w:t>有效性</w:t>
      </w:r>
      <w:r>
        <w:rPr>
          <w:rFonts w:hint="eastAsia" w:ascii="宋体" w:hAnsi="宋体" w:eastAsia="宋体" w:cs="宋体"/>
          <w:b w:val="0"/>
          <w:bCs w:val="0"/>
          <w:color w:val="000000"/>
          <w:kern w:val="0"/>
          <w:sz w:val="31"/>
          <w:szCs w:val="31"/>
          <w:lang w:val="en-US" w:eastAsia="zh" w:bidi="ar"/>
          <w:woUserID w:val="1"/>
        </w:rPr>
        <w:t>/</w:t>
      </w:r>
      <w:r>
        <w:rPr>
          <w:rFonts w:hint="eastAsia" w:ascii="宋体" w:hAnsi="宋体" w:eastAsia="宋体" w:cs="宋体"/>
          <w:b w:val="0"/>
          <w:bCs w:val="0"/>
          <w:color w:val="000000"/>
          <w:kern w:val="0"/>
          <w:sz w:val="31"/>
          <w:szCs w:val="31"/>
          <w:lang w:val="en-US" w:eastAsia="zh-CN" w:bidi="ar"/>
          <w:woUserID w:val="1"/>
        </w:rPr>
        <w:t>及时性</w:t>
      </w:r>
      <w:r>
        <w:rPr>
          <w:rFonts w:hint="eastAsia" w:ascii="宋体" w:hAnsi="宋体" w:eastAsia="宋体" w:cs="宋体"/>
          <w:b w:val="0"/>
          <w:bCs w:val="0"/>
          <w:color w:val="000000"/>
          <w:kern w:val="0"/>
          <w:sz w:val="31"/>
          <w:szCs w:val="31"/>
          <w:lang w:val="en-US" w:eastAsia="zh" w:bidi="ar"/>
          <w:woUserID w:val="1"/>
        </w:rPr>
        <w:t>/</w:t>
      </w:r>
      <w:r>
        <w:rPr>
          <w:rFonts w:hint="eastAsia" w:ascii="华文仿宋" w:hAnsi="华文仿宋" w:eastAsia="华文仿宋" w:cs="华文仿宋"/>
          <w:b w:val="0"/>
          <w:bCs w:val="0"/>
          <w:color w:val="000000"/>
          <w:kern w:val="0"/>
          <w:sz w:val="32"/>
          <w:szCs w:val="22"/>
          <w:lang w:val="zh-CN" w:eastAsia="zh"/>
          <w:woUserID w:val="1"/>
        </w:rPr>
        <w:t>合规性</w:t>
      </w:r>
      <w:r>
        <w:rPr>
          <w:rFonts w:hint="eastAsia" w:ascii="华文仿宋" w:hAnsi="华文仿宋" w:eastAsia="华文仿宋" w:cs="华文仿宋"/>
          <w:color w:val="000000"/>
          <w:kern w:val="0"/>
          <w:sz w:val="32"/>
          <w:szCs w:val="22"/>
          <w:lang w:val="zh-CN" w:eastAsia="zh"/>
          <w:woUserID w:val="1"/>
        </w:rPr>
        <w:t>负主体/审核/审批责任。”</w:t>
      </w:r>
      <w:r>
        <w:rPr>
          <w:rFonts w:ascii="华文仿宋" w:hAnsi="华文仿宋" w:eastAsia="华文仿宋" w:cs="华文仿宋"/>
          <w:color w:val="000000"/>
          <w:kern w:val="0"/>
          <w:sz w:val="32"/>
          <w:szCs w:val="22"/>
          <w:lang w:val="zh-CN"/>
          <w:woUserID w:val="1"/>
        </w:rPr>
        <w:t>。</w:t>
      </w:r>
    </w:p>
    <w:p w14:paraId="63362104">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（十一）角色与责任类型对应</w:t>
      </w:r>
    </w:p>
    <w:p w14:paraId="52D5A50D">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检查口径：按“经办对应主体责任、审核对应审核责任、审批对应审批责任”的对应关系执行检查。</w:t>
      </w:r>
    </w:p>
    <w:p w14:paraId="4105E57E">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一、岗位清单存在明确角色字段时</w:t>
      </w:r>
    </w:p>
    <w:p w14:paraId="2D5FBB58">
      <w:pPr>
        <w:widowControl/>
        <w:snapToGrid w:val="0"/>
        <w:spacing w:before="0" w:after="0" w:line="560" w:lineRule="exact"/>
        <w:ind w:firstLine="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将角色字段与岗位职责中的责任类型进行比对，存在明确不一致的，指出具体角色与责任表述之间的冲突，并给出提示词：“经办对应主体责任、审核对应审核责任、审批对应审批责任。”，不需要多的提示词。</w:t>
      </w:r>
    </w:p>
    <w:p w14:paraId="25D1CA38">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二、岗位清单无角色字段时</w:t>
      </w:r>
    </w:p>
    <w:p w14:paraId="3123D9F8">
      <w:pPr>
        <w:widowControl/>
        <w:snapToGrid w:val="0"/>
        <w:spacing w:before="0" w:after="0" w:line="560" w:lineRule="exact"/>
        <w:ind w:firstLine="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可从“负主体责任”“负审核责任”“负审批责任”等明确表述中提取角色，提取结果仅供第八项检查使用，但不得据此声称已完成独立的一致性验证。</w:t>
      </w:r>
    </w:p>
    <w:p w14:paraId="3BBC49C6">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三、禁止事项</w:t>
      </w:r>
    </w:p>
    <w:p w14:paraId="00CBBB55">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不得仅凭岗位名称或职责描述中的普通动作词推断角色。</w:t>
      </w:r>
    </w:p>
    <w:p w14:paraId="20CF56F4">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r>
        <w:rPr>
          <w:rFonts w:hint="eastAsia" w:ascii="华文仿宋" w:hAnsi="华文仿宋" w:eastAsia="华文仿宋" w:cs="华文仿宋"/>
          <w:color w:val="000000"/>
          <w:kern w:val="0"/>
          <w:sz w:val="32"/>
          <w:szCs w:val="22"/>
          <w:lang w:val="zh-CN" w:eastAsia="zh"/>
          <w:woUserID w:val="1"/>
        </w:rPr>
        <w:t>四、同一岗位存在多个责任类型</w:t>
      </w:r>
    </w:p>
    <w:p w14:paraId="43819B4E">
      <w:pPr>
        <w:widowControl/>
        <w:snapToGrid w:val="0"/>
        <w:spacing w:before="0" w:after="0" w:line="560" w:lineRule="exact"/>
        <w:ind w:firstLine="640"/>
        <w:rPr>
          <w:rFonts w:hint="eastAsia" w:ascii="华文仿宋" w:hAnsi="华文仿宋" w:eastAsia="华文仿宋" w:cs="华文仿宋"/>
          <w:color w:val="000000"/>
          <w:kern w:val="0"/>
          <w:sz w:val="32"/>
          <w:szCs w:val="22"/>
          <w:lang w:val="en-US" w:eastAsia="zh-CN"/>
          <w:woUserID w:val="1"/>
        </w:rPr>
      </w:pPr>
      <w:r>
        <w:rPr>
          <w:rFonts w:hint="eastAsia" w:ascii="华文仿宋" w:hAnsi="华文仿宋" w:eastAsia="华文仿宋" w:cs="华文仿宋"/>
          <w:color w:val="000000"/>
          <w:kern w:val="0"/>
          <w:sz w:val="32"/>
          <w:szCs w:val="22"/>
          <w:lang w:val="zh-CN" w:eastAsia="zh"/>
          <w:woUserID w:val="1"/>
        </w:rPr>
        <w:t>同一岗位存在多个责任类型混杂、且无法明确区分的，只要满足经办对应主体责任、审核对应审核责任、审批对应审批责任之一就不再提示。</w:t>
      </w:r>
    </w:p>
    <w:p w14:paraId="61E56EAA">
      <w:pPr>
        <w:keepNext/>
        <w:keepLines/>
        <w:widowControl/>
        <w:snapToGrid w:val="0"/>
        <w:spacing w:before="0" w:after="0" w:line="560" w:lineRule="exact"/>
        <w:ind w:firstLine="640"/>
        <w:jc w:val="both"/>
        <w:outlineLvl w:val="1"/>
        <w:rPr>
          <w:rFonts w:hint="eastAsia" w:ascii="华文楷体" w:hAnsi="华文楷体" w:eastAsia="华文楷体" w:cs="华文楷体"/>
          <w:b/>
          <w:bCs/>
          <w:color w:val="000000"/>
          <w:sz w:val="32"/>
          <w:szCs w:val="26"/>
          <w:lang w:val="en-US" w:eastAsia="zh" w:bidi="ar-SA"/>
          <w:woUserID w:val="1"/>
        </w:rPr>
      </w:pPr>
      <w:r>
        <w:rPr>
          <w:rFonts w:hint="eastAsia" w:ascii="华文楷体" w:hAnsi="华文楷体" w:eastAsia="华文楷体" w:cs="华文楷体"/>
          <w:b/>
          <w:bCs/>
          <w:color w:val="000000"/>
          <w:sz w:val="32"/>
          <w:szCs w:val="26"/>
          <w:lang w:val="en-US" w:eastAsia="zh" w:bidi="ar-SA"/>
          <w:woUserID w:val="1"/>
        </w:rPr>
        <w:t>（十五）岗位职责清单中重复项筛查</w:t>
      </w:r>
    </w:p>
    <w:p w14:paraId="29838221">
      <w:pPr>
        <w:widowControl/>
        <w:numPr>
          <w:ilvl w:val="-1"/>
          <w:numId w:val="0"/>
        </w:numPr>
        <w:snapToGrid w:val="0"/>
        <w:spacing w:before="0" w:after="0" w:line="560" w:lineRule="exact"/>
        <w:ind w:firstLine="0" w:firstLineChars="0"/>
        <w:rPr>
          <w:rFonts w:hint="eastAsia" w:ascii="华文仿宋" w:hAnsi="华文仿宋" w:eastAsia="华文仿宋" w:cs="华文仿宋"/>
          <w:color w:val="000000"/>
          <w:kern w:val="0"/>
          <w:sz w:val="32"/>
          <w:szCs w:val="22"/>
          <w:lang w:val="en-US" w:eastAsia="zh"/>
          <w:woUserID w:val="1"/>
        </w:rPr>
      </w:pPr>
      <w:r>
        <w:rPr>
          <w:rFonts w:hint="eastAsia" w:ascii="华文仿宋" w:hAnsi="华文仿宋" w:eastAsia="华文仿宋" w:cs="华文仿宋"/>
          <w:color w:val="000000"/>
          <w:kern w:val="0"/>
          <w:sz w:val="32"/>
          <w:szCs w:val="22"/>
          <w:lang w:val="zh-CN" w:eastAsia="zh"/>
          <w:woUserID w:val="1"/>
        </w:rPr>
        <w:t>在</w:t>
      </w:r>
      <w:r>
        <w:rPr>
          <w:rFonts w:hint="eastAsia" w:ascii="华文仿宋" w:hAnsi="华文仿宋" w:eastAsia="华文仿宋" w:cs="华文仿宋"/>
          <w:color w:val="000000"/>
          <w:kern w:val="0"/>
          <w:sz w:val="32"/>
          <w:szCs w:val="22"/>
          <w:lang w:val="en-US" w:eastAsia="zh"/>
          <w:woUserID w:val="1"/>
        </w:rPr>
        <w:t>岗位职责清单同一个sheet中筛选重复项，同一控制措施编号，同样的岗位职责描述，同样的部门，同样的岗位名称，同样的人员姓名，同样的角色，提示“重复项保留一个即可”。</w:t>
      </w:r>
    </w:p>
    <w:p w14:paraId="3C4E03DC">
      <w:pPr>
        <w:keepNext/>
        <w:keepLines/>
        <w:widowControl/>
        <w:numPr>
          <w:ilvl w:val="0"/>
          <w:numId w:val="2"/>
        </w:numPr>
        <w:snapToGrid w:val="0"/>
        <w:spacing w:before="0" w:after="0" w:line="560" w:lineRule="exact"/>
        <w:ind w:firstLine="640"/>
        <w:jc w:val="both"/>
        <w:outlineLvl w:val="1"/>
        <w:rPr>
          <w:rFonts w:hint="eastAsia" w:ascii="华文楷体" w:hAnsi="华文楷体" w:eastAsia="华文楷体" w:cs="华文楷体"/>
          <w:b/>
          <w:bCs/>
          <w:color w:val="000000"/>
          <w:sz w:val="32"/>
          <w:szCs w:val="26"/>
          <w:lang w:val="en-US" w:eastAsia="zh" w:bidi="ar-SA"/>
          <w:woUserID w:val="1"/>
        </w:rPr>
      </w:pPr>
      <w:r>
        <w:rPr>
          <w:rFonts w:hint="eastAsia" w:ascii="华文楷体" w:hAnsi="华文楷体" w:eastAsia="华文楷体" w:cs="华文楷体"/>
          <w:b/>
          <w:bCs/>
          <w:color w:val="000000"/>
          <w:sz w:val="32"/>
          <w:szCs w:val="26"/>
          <w:lang w:val="en-US" w:eastAsia="zh" w:bidi="ar-SA"/>
          <w:woUserID w:val="1"/>
        </w:rPr>
        <w:t>在矩阵最后一列单独列出岗位清单中已有的控制措施编号及适用性判断</w:t>
      </w:r>
    </w:p>
    <w:p w14:paraId="4D07D211">
      <w:pPr>
        <w:widowControl/>
        <w:numPr>
          <w:ilvl w:val="-1"/>
          <w:numId w:val="0"/>
        </w:numPr>
        <w:snapToGrid w:val="0"/>
        <w:spacing w:before="0" w:after="0" w:line="560" w:lineRule="exact"/>
        <w:ind w:firstLine="0"/>
        <w:rPr>
          <w:rFonts w:hint="eastAsia" w:ascii="华文仿宋" w:hAnsi="华文仿宋" w:eastAsia="华文仿宋" w:cs="华文仿宋"/>
          <w:color w:val="000000"/>
          <w:kern w:val="0"/>
          <w:sz w:val="32"/>
          <w:szCs w:val="22"/>
          <w:lang w:val="en-US" w:eastAsia="zh"/>
          <w:woUserID w:val="1"/>
        </w:rPr>
      </w:pPr>
      <w:r>
        <w:rPr>
          <w:rFonts w:hint="eastAsia" w:ascii="华文仿宋" w:hAnsi="华文仿宋" w:eastAsia="华文仿宋" w:cs="华文仿宋"/>
          <w:color w:val="000000"/>
          <w:kern w:val="0"/>
          <w:sz w:val="32"/>
          <w:szCs w:val="22"/>
          <w:lang w:val="en-US" w:eastAsia="zh"/>
          <w:woUserID w:val="1"/>
        </w:rPr>
        <w:t>矩阵对应的位置中单独列出一列显示岗位责任清单中已有的控制措施编号，请注意提取编号中的数字部分。</w:t>
      </w:r>
    </w:p>
    <w:p w14:paraId="4F519F55">
      <w:pPr>
        <w:widowControl/>
        <w:numPr>
          <w:ilvl w:val="-1"/>
          <w:numId w:val="0"/>
        </w:numPr>
        <w:snapToGrid w:val="0"/>
        <w:spacing w:before="0" w:after="0" w:line="560" w:lineRule="exact"/>
        <w:ind w:firstLine="0"/>
        <w:rPr>
          <w:rFonts w:hint="eastAsia" w:ascii="华文仿宋" w:hAnsi="华文仿宋" w:eastAsia="华文仿宋" w:cs="华文仿宋"/>
          <w:color w:val="000000"/>
          <w:kern w:val="0"/>
          <w:sz w:val="32"/>
          <w:szCs w:val="22"/>
          <w:lang w:val="en-US" w:eastAsia="zh"/>
          <w:woUserID w:val="1"/>
        </w:rPr>
      </w:pPr>
      <w:r>
        <w:rPr>
          <w:rFonts w:hint="eastAsia" w:ascii="华文仿宋" w:hAnsi="华文仿宋" w:eastAsia="华文仿宋" w:cs="华文仿宋"/>
          <w:color w:val="000000"/>
          <w:kern w:val="0"/>
          <w:sz w:val="32"/>
          <w:szCs w:val="22"/>
          <w:lang w:val="en-US" w:eastAsia="zh"/>
          <w:woUserID w:val="1"/>
        </w:rPr>
        <w:t>1）当“岗位清单已有的控制措施编号”列存在值时：</w:t>
      </w:r>
    </w:p>
    <w:p w14:paraId="2EB7B8D6">
      <w:pPr>
        <w:widowControl/>
        <w:numPr>
          <w:ilvl w:val="-1"/>
          <w:numId w:val="0"/>
        </w:numPr>
        <w:snapToGrid w:val="0"/>
        <w:spacing w:before="0" w:after="0" w:line="560" w:lineRule="exact"/>
        <w:ind w:firstLine="0"/>
        <w:rPr>
          <w:rFonts w:hint="eastAsia" w:ascii="华文仿宋" w:hAnsi="华文仿宋" w:eastAsia="华文仿宋" w:cs="华文仿宋"/>
          <w:color w:val="000000"/>
          <w:kern w:val="0"/>
          <w:sz w:val="32"/>
          <w:szCs w:val="22"/>
          <w:lang w:val="en-US" w:eastAsia="zh"/>
          <w:woUserID w:val="1"/>
        </w:rPr>
      </w:pPr>
      <w:r>
        <w:rPr>
          <w:rFonts w:hint="eastAsia" w:ascii="华文仿宋" w:hAnsi="华文仿宋" w:eastAsia="华文仿宋" w:cs="华文仿宋"/>
          <w:color w:val="000000"/>
          <w:kern w:val="0"/>
          <w:sz w:val="32"/>
          <w:szCs w:val="22"/>
          <w:lang w:val="en-US" w:eastAsia="zh"/>
          <w:woUserID w:val="1"/>
        </w:rPr>
        <w:t>若“是否适用”列的值为“是”“适用”或其他表达相同含义的值，则“审核意见”列留空。</w:t>
      </w:r>
    </w:p>
    <w:p w14:paraId="5B35F43C">
      <w:pPr>
        <w:widowControl/>
        <w:numPr>
          <w:ilvl w:val="-1"/>
          <w:numId w:val="0"/>
        </w:numPr>
        <w:snapToGrid w:val="0"/>
        <w:spacing w:before="0" w:after="0" w:line="560" w:lineRule="exact"/>
        <w:ind w:firstLine="0"/>
        <w:rPr>
          <w:rFonts w:hint="eastAsia" w:ascii="华文仿宋" w:hAnsi="华文仿宋" w:eastAsia="华文仿宋" w:cs="华文仿宋"/>
          <w:color w:val="000000"/>
          <w:kern w:val="0"/>
          <w:sz w:val="32"/>
          <w:szCs w:val="22"/>
          <w:lang w:val="en-US" w:eastAsia="zh"/>
          <w:woUserID w:val="1"/>
        </w:rPr>
      </w:pPr>
      <w:r>
        <w:rPr>
          <w:rFonts w:hint="eastAsia" w:ascii="华文仿宋" w:hAnsi="华文仿宋" w:eastAsia="华文仿宋" w:cs="华文仿宋"/>
          <w:color w:val="000000"/>
          <w:kern w:val="0"/>
          <w:sz w:val="32"/>
          <w:szCs w:val="22"/>
          <w:lang w:val="en-US" w:eastAsia="zh"/>
          <w:woUserID w:val="1"/>
        </w:rPr>
        <w:t>若“是否适用”列为空，审核意见列不做任何提示，为空即可。若值为“否”“不适用”或其他表达相同含义的值，则“审核意见”列提示：“请结合业务实际再次核实适用性。”</w:t>
      </w:r>
    </w:p>
    <w:p w14:paraId="2C725260">
      <w:pPr>
        <w:widowControl/>
        <w:numPr>
          <w:ilvl w:val="-1"/>
          <w:numId w:val="0"/>
        </w:numPr>
        <w:snapToGrid w:val="0"/>
        <w:spacing w:before="0" w:after="0" w:line="560" w:lineRule="exact"/>
        <w:ind w:firstLine="0"/>
        <w:rPr>
          <w:rFonts w:hint="eastAsia" w:ascii="华文仿宋" w:hAnsi="华文仿宋" w:eastAsia="华文仿宋" w:cs="华文仿宋"/>
          <w:color w:val="000000"/>
          <w:kern w:val="0"/>
          <w:sz w:val="32"/>
          <w:szCs w:val="22"/>
          <w:lang w:val="en-US" w:eastAsia="zh"/>
          <w:woUserID w:val="1"/>
        </w:rPr>
      </w:pPr>
      <w:r>
        <w:rPr>
          <w:rFonts w:hint="eastAsia" w:ascii="华文仿宋" w:hAnsi="华文仿宋" w:eastAsia="华文仿宋" w:cs="华文仿宋"/>
          <w:color w:val="000000"/>
          <w:kern w:val="0"/>
          <w:sz w:val="32"/>
          <w:szCs w:val="22"/>
          <w:lang w:val="en-US" w:eastAsia="zh"/>
          <w:woUserID w:val="1"/>
        </w:rPr>
        <w:t>2）当“岗位清单已有的控制措施编号”列不存在值时：</w:t>
      </w:r>
    </w:p>
    <w:p w14:paraId="24C9FD0C">
      <w:pPr>
        <w:widowControl/>
        <w:numPr>
          <w:ilvl w:val="-1"/>
          <w:numId w:val="0"/>
        </w:numPr>
        <w:snapToGrid w:val="0"/>
        <w:spacing w:before="0" w:after="0" w:line="560" w:lineRule="exact"/>
        <w:ind w:firstLine="0"/>
        <w:rPr>
          <w:rFonts w:hint="eastAsia" w:ascii="华文仿宋" w:hAnsi="华文仿宋" w:eastAsia="华文仿宋" w:cs="华文仿宋"/>
          <w:color w:val="000000"/>
          <w:kern w:val="0"/>
          <w:sz w:val="32"/>
          <w:szCs w:val="22"/>
          <w:lang w:val="en-US" w:eastAsia="zh"/>
          <w:woUserID w:val="1"/>
        </w:rPr>
      </w:pPr>
      <w:r>
        <w:rPr>
          <w:rFonts w:hint="eastAsia" w:ascii="华文仿宋" w:hAnsi="华文仿宋" w:eastAsia="华文仿宋" w:cs="华文仿宋"/>
          <w:color w:val="000000"/>
          <w:kern w:val="0"/>
          <w:sz w:val="32"/>
          <w:szCs w:val="22"/>
          <w:lang w:val="en-US" w:eastAsia="zh"/>
          <w:woUserID w:val="1"/>
        </w:rPr>
        <w:t>若“是否适用”列的值为“是”“适用”或其他表达相同含义的值，则“审核意见”列提示：“请结合业务实际再次核实适用性。”</w:t>
      </w:r>
    </w:p>
    <w:p w14:paraId="7359E539">
      <w:pPr>
        <w:widowControl/>
        <w:numPr>
          <w:ilvl w:val="-1"/>
          <w:numId w:val="0"/>
        </w:numPr>
        <w:snapToGrid w:val="0"/>
        <w:spacing w:before="0" w:after="0" w:line="560" w:lineRule="exact"/>
        <w:ind w:firstLine="0"/>
        <w:rPr>
          <w:del w:id="34" w:author="你说的都对" w:date="2026-10-12T12:06:08Z"/>
          <w:rFonts w:hint="eastAsia" w:ascii="华文仿宋" w:hAnsi="华文仿宋" w:eastAsia="华文仿宋" w:cs="华文仿宋"/>
          <w:color w:val="000000"/>
          <w:kern w:val="0"/>
          <w:sz w:val="32"/>
          <w:szCs w:val="22"/>
          <w:lang w:val="en-US" w:eastAsia="zh"/>
          <w:woUserID w:val="1"/>
        </w:rPr>
      </w:pPr>
      <w:r>
        <w:rPr>
          <w:rFonts w:hint="eastAsia" w:ascii="华文仿宋" w:hAnsi="华文仿宋" w:eastAsia="华文仿宋" w:cs="华文仿宋"/>
          <w:color w:val="000000"/>
          <w:kern w:val="0"/>
          <w:sz w:val="32"/>
          <w:szCs w:val="22"/>
          <w:lang w:val="en-US" w:eastAsia="zh"/>
          <w:woUserID w:val="1"/>
        </w:rPr>
        <w:t>若“是否适用”列为空，或值为“否”“不适用”或其他表达相同含义的值，则“审核意见”列留空。</w:t>
      </w:r>
      <w:bookmarkStart w:id="3" w:name="_GoBack"/>
      <w:bookmarkEnd w:id="3"/>
    </w:p>
    <w:p w14:paraId="7359E539">
      <w:pPr>
        <w:keepNext w:val="0"/>
        <w:keepLines w:val="0"/>
        <w:widowControl/>
        <w:numPr>
          <w:ilvl w:val="-1"/>
          <w:numId w:val="0"/>
        </w:numPr>
        <w:snapToGrid w:val="0"/>
        <w:spacing w:before="0" w:after="0" w:line="560" w:lineRule="exact"/>
        <w:ind w:firstLine="0"/>
        <w:jc w:val="left"/>
        <w:outlineLvl w:val="9"/>
        <w:rPr>
          <w:del w:id="36" w:author="你说的都对" w:date="2026-10-12T12:06:04Z"/>
          <w:rFonts w:hint="eastAsia" w:ascii="华文楷体" w:hAnsi="华文楷体" w:eastAsia="华文楷体" w:cs="华文楷体"/>
          <w:b/>
          <w:bCs/>
          <w:color w:val="000000"/>
          <w:sz w:val="32"/>
          <w:szCs w:val="26"/>
          <w:lang w:val="en-US" w:eastAsia="zh" w:bidi="ar-SA"/>
          <w:woUserID w:val="1"/>
        </w:rPr>
        <w:pPrChange w:id="35" w:author="你说的都对" w:date="2026-10-12T12:06:08Z">
          <w:pPr>
            <w:keepNext/>
            <w:keepLines/>
            <w:widowControl/>
            <w:numPr>
              <w:ilvl w:val="0"/>
              <w:numId w:val="2"/>
            </w:numPr>
            <w:snapToGrid w:val="0"/>
            <w:spacing w:before="0" w:after="0" w:line="560" w:lineRule="exact"/>
            <w:ind w:firstLine="640"/>
            <w:jc w:val="both"/>
            <w:outlineLvl w:val="1"/>
          </w:pPr>
        </w:pPrChange>
      </w:pPr>
      <w:del w:id="37" w:author="你说的都对" w:date="2026-10-12T12:06:07Z">
        <w:r>
          <w:rPr>
            <w:rFonts w:hint="eastAsia" w:ascii="华文楷体" w:hAnsi="华文楷体" w:eastAsia="华文楷体" w:cs="华文楷体"/>
            <w:b/>
            <w:bCs/>
            <w:color w:val="000000"/>
            <w:sz w:val="32"/>
            <w:szCs w:val="26"/>
            <w:lang w:val="en-US" w:eastAsia="zh" w:bidi="ar-SA"/>
            <w:woUserID w:val="1"/>
          </w:rPr>
          <w:delText>第</w:delText>
        </w:r>
      </w:del>
      <w:del w:id="38" w:author="你说的都对" w:date="2026-10-12T12:06:06Z">
        <w:r>
          <w:rPr>
            <w:rFonts w:hint="eastAsia" w:ascii="华文楷体" w:hAnsi="华文楷体" w:eastAsia="华文楷体" w:cs="华文楷体"/>
            <w:b/>
            <w:bCs/>
            <w:color w:val="000000"/>
            <w:sz w:val="32"/>
            <w:szCs w:val="26"/>
            <w:lang w:val="en-US" w:eastAsia="zh" w:bidi="ar-SA"/>
            <w:woUserID w:val="1"/>
          </w:rPr>
          <w:delText>二批财务管理矩</w:delText>
        </w:r>
      </w:del>
      <w:del w:id="39" w:author="你说的都对" w:date="2026-10-12T12:06:05Z">
        <w:r>
          <w:rPr>
            <w:rFonts w:hint="eastAsia" w:ascii="华文楷体" w:hAnsi="华文楷体" w:eastAsia="华文楷体" w:cs="华文楷体"/>
            <w:b/>
            <w:bCs/>
            <w:color w:val="000000"/>
            <w:sz w:val="32"/>
            <w:szCs w:val="26"/>
            <w:lang w:val="en-US" w:eastAsia="zh" w:bidi="ar-SA"/>
            <w:woUserID w:val="1"/>
          </w:rPr>
          <w:delText>阵适用性判断</w:delText>
        </w:r>
      </w:del>
    </w:p>
    <w:p w14:paraId="7359E539">
      <w:pPr>
        <w:widowControl/>
        <w:numPr>
          <w:ilvl w:val="-1"/>
          <w:numId w:val="0"/>
        </w:numPr>
        <w:snapToGrid w:val="0"/>
        <w:spacing w:before="0" w:after="0" w:line="560" w:lineRule="exact"/>
        <w:ind w:firstLine="0"/>
        <w:rPr>
          <w:del w:id="41" w:author="你说的都对" w:date="2026-10-12T12:06:03Z"/>
          <w:rFonts w:hint="eastAsia" w:ascii="华文仿宋" w:hAnsi="华文仿宋" w:eastAsia="华文仿宋" w:cs="华文仿宋"/>
          <w:color w:val="000000"/>
          <w:kern w:val="0"/>
          <w:sz w:val="32"/>
          <w:szCs w:val="22"/>
          <w:lang w:val="en-US" w:eastAsia="zh"/>
          <w:woUserID w:val="1"/>
        </w:rPr>
        <w:pPrChange w:id="40" w:author="你说的都对" w:date="2026-10-12T12:06:08Z">
          <w:pPr>
            <w:widowControl/>
            <w:spacing w:before="0" w:after="0" w:line="560" w:lineRule="exact"/>
            <w:ind w:firstLine="640"/>
          </w:pPr>
        </w:pPrChange>
      </w:pPr>
      <w:del w:id="42" w:author="你说的都对" w:date="2026-10-12T12:06:04Z">
        <w:r>
          <w:rPr>
            <w:rFonts w:hint="eastAsia" w:ascii="华文仿宋" w:hAnsi="华文仿宋" w:eastAsia="华文仿宋" w:cs="华文仿宋"/>
            <w:color w:val="000000"/>
            <w:kern w:val="0"/>
            <w:sz w:val="32"/>
            <w:szCs w:val="22"/>
            <w:lang w:val="en-US" w:eastAsia="zh"/>
            <w:woUserID w:val="1"/>
          </w:rPr>
          <w:delText>第二批</w:delText>
        </w:r>
      </w:del>
      <w:del w:id="43" w:author="你说的都对" w:date="2026-10-12T12:06:03Z">
        <w:r>
          <w:rPr>
            <w:rFonts w:hint="eastAsia" w:ascii="华文仿宋" w:hAnsi="华文仿宋" w:eastAsia="华文仿宋" w:cs="华文仿宋"/>
            <w:color w:val="000000"/>
            <w:kern w:val="0"/>
            <w:sz w:val="32"/>
            <w:szCs w:val="22"/>
            <w:lang w:val="en-US" w:eastAsia="zh"/>
            <w:woUserID w:val="1"/>
          </w:rPr>
          <w:delText>的02财务管理矩阵中对应的控制措施编号财务管理-45.现金收费解缴控制-控制措施01、财务管理-45.现金收费解缴控制-控制措施02、财务管理-45.现金收费解缴控制-控制措施03、财务管理-45.现金收费解缴控制-控制措施04、财务管理-45.现金收费解缴控制-控制措施05、财务管理-29.项目可研经济性、财务合规性检查-控制措施01，在对应的岗位清单里面必须有对应的控制措施编号存在，优先选取编号进行对应，如没有请提示“29.项目可研经济性、财务合规性检查和45.现金收费解缴控制关键控制点的 适用性请再次核实”。</w:delText>
        </w:r>
      </w:del>
    </w:p>
    <w:p w14:paraId="7359E539">
      <w:pPr>
        <w:widowControl/>
        <w:numPr>
          <w:ilvl w:val="-1"/>
          <w:numId w:val="0"/>
        </w:numPr>
        <w:snapToGrid w:val="0"/>
        <w:spacing w:before="0" w:after="0" w:line="560" w:lineRule="exact"/>
        <w:ind w:firstLine="0"/>
        <w:rPr>
          <w:rFonts w:hint="eastAsia" w:ascii="华文仿宋" w:hAnsi="华文仿宋" w:eastAsia="华文仿宋" w:cs="华文仿宋"/>
          <w:color w:val="000000"/>
          <w:kern w:val="0"/>
          <w:sz w:val="32"/>
          <w:szCs w:val="22"/>
          <w:lang w:val="en-US" w:eastAsia="zh"/>
          <w:woUserID w:val="1"/>
        </w:rPr>
        <w:pPrChange w:id="44" w:author="你说的都对" w:date="2026-10-12T12:06:08Z">
          <w:pPr>
            <w:widowControl/>
            <w:snapToGrid/>
            <w:spacing w:before="0" w:after="0" w:line="560" w:lineRule="exact"/>
            <w:ind w:firstLine="640"/>
          </w:pPr>
        </w:pPrChange>
      </w:pPr>
      <w:del w:id="45" w:author="你说的都对" w:date="2026-10-12T12:06:03Z">
        <w:r>
          <w:rPr>
            <w:rFonts w:hint="eastAsia" w:ascii="华文仿宋" w:hAnsi="华文仿宋" w:eastAsia="华文仿宋" w:cs="华文仿宋"/>
            <w:color w:val="000000"/>
            <w:kern w:val="0"/>
            <w:sz w:val="32"/>
            <w:szCs w:val="22"/>
            <w:lang w:val="en-US" w:eastAsia="zh"/>
            <w:woUserID w:val="1"/>
          </w:rPr>
          <w:delText>第二批的02财务管理矩阵中对应的控制措施编号财务管理-45.现金收费解缴控制-控制措施01、财务管理-45.现金收费解缴控制-控制措施02、财务管理-45.现金收费解缴控制-控制措施03、财务管理-45.现金收费解缴控制-控制措施04、财务管理-45.现金收费解缴控制-控制措施05、财务管理-29.项目可研经济性、财务合规性检查-控制措施01，识别“是否适用”列内容，如选取“不适用”或“否”，则提示“29.项目可研经济性、财务合规性检查和45.现金收费解缴控制关键控制点的适用性请再次核实”。未识别识别“是否适用”列不做提示。</w:delText>
        </w:r>
      </w:del>
    </w:p>
    <w:p w14:paraId="7D39F0CD">
      <w:pPr>
        <w:keepNext/>
        <w:keepLines/>
        <w:widowControl/>
        <w:numPr>
          <w:ilvl w:val="0"/>
          <w:numId w:val="2"/>
        </w:numPr>
        <w:snapToGrid w:val="0"/>
        <w:spacing w:before="0" w:after="0" w:line="560" w:lineRule="exact"/>
        <w:ind w:firstLine="640"/>
        <w:jc w:val="both"/>
        <w:outlineLvl w:val="1"/>
        <w:rPr>
          <w:rFonts w:hint="eastAsia" w:ascii="华文楷体" w:hAnsi="华文楷体" w:eastAsia="华文楷体" w:cs="华文楷体"/>
          <w:b/>
          <w:bCs/>
          <w:color w:val="FF0000"/>
          <w:sz w:val="32"/>
          <w:szCs w:val="26"/>
          <w:lang w:val="en-US" w:eastAsia="zh" w:bidi="ar-SA"/>
          <w:woUserID w:val="1"/>
        </w:rPr>
      </w:pPr>
      <w:r>
        <w:rPr>
          <w:rFonts w:hint="eastAsia" w:ascii="华文楷体" w:hAnsi="华文楷体" w:eastAsia="华文楷体" w:cs="华文楷体"/>
          <w:b/>
          <w:bCs/>
          <w:color w:val="FF0000"/>
          <w:sz w:val="32"/>
          <w:szCs w:val="26"/>
          <w:lang w:val="en-US" w:eastAsia="zh" w:bidi="ar-SA"/>
          <w:woUserID w:val="1"/>
        </w:rPr>
        <w:t>系统控制清单控制方式匹配性判断</w:t>
      </w:r>
    </w:p>
    <w:p w14:paraId="59E79A2F">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22"/>
          <w:lang w:val="en-US" w:eastAsia="zh-CN" w:bidi="ar"/>
          <w:woUserID w:val="3"/>
        </w:rPr>
      </w:pPr>
      <w:r>
        <w:rPr>
          <w:rFonts w:hint="eastAsia" w:ascii="华文仿宋" w:hAnsi="华文仿宋" w:eastAsia="华文仿宋" w:cs="华文仿宋"/>
          <w:color w:val="FF0000"/>
          <w:kern w:val="0"/>
          <w:sz w:val="32"/>
          <w:szCs w:val="22"/>
          <w:lang w:val="en-US" w:eastAsia="zh-CN" w:bidi="ar"/>
          <w:woUserID w:val="3"/>
        </w:rPr>
        <w:t>将矩阵中控制方式与系统控制规则清单中建设状态比对。矩阵中控制方式为“系统待建”和“系统已建”的控制措施编号，在系统控制清单中该控制措施编号应有对应的行项目，其中，系统控制规则清单中的“建设状态”应与矩阵中的“控制方式”保持一致，如不一致则提示“需核实系统规则清单中建设状态与矩阵中控制方式的一致性”；系统控制规则清单中分开或合并列示的系统名称应当与矩阵中的控制系统保持一致，如不一致则提示“需核实系统规则清单中系统名称与矩阵中控制系统的一致性”。系统控制规则清单中已有控制措施编号的，在矩阵中对应控制方式应当为“系统待建”或“系统已建”，如果不是则提示“需核实系统规则清单中建设状态与矩阵中控制方式的一致性”。</w:t>
      </w:r>
    </w:p>
    <w:p w14:paraId="259EB0F5">
      <w:pPr>
        <w:keepNext/>
        <w:keepLines/>
        <w:widowControl/>
        <w:numPr>
          <w:ilvl w:val="0"/>
          <w:numId w:val="2"/>
        </w:numPr>
        <w:snapToGrid w:val="0"/>
        <w:spacing w:before="0" w:after="0" w:line="560" w:lineRule="exact"/>
        <w:ind w:firstLine="640"/>
        <w:jc w:val="both"/>
        <w:outlineLvl w:val="1"/>
        <w:rPr>
          <w:rFonts w:hint="eastAsia" w:ascii="华文楷体" w:hAnsi="华文楷体" w:eastAsia="华文楷体" w:cs="华文楷体"/>
          <w:b/>
          <w:bCs/>
          <w:color w:val="FF0000"/>
          <w:sz w:val="32"/>
          <w:szCs w:val="26"/>
          <w:lang w:val="en-US" w:eastAsia="zh" w:bidi="ar-SA"/>
          <w:woUserID w:val="1"/>
        </w:rPr>
      </w:pPr>
      <w:r>
        <w:rPr>
          <w:rFonts w:hint="eastAsia" w:ascii="华文楷体" w:hAnsi="华文楷体" w:eastAsia="华文楷体" w:cs="华文楷体"/>
          <w:b/>
          <w:bCs/>
          <w:color w:val="FF0000"/>
          <w:sz w:val="32"/>
          <w:szCs w:val="26"/>
          <w:lang w:val="en-US" w:eastAsia="zh-CN" w:bidi="ar-SA"/>
          <w:woUserID w:val="1"/>
        </w:rPr>
        <w:t>供电分公司适用关键控制点审核</w:t>
      </w:r>
    </w:p>
    <w:p w14:paraId="71B86721">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22"/>
          <w:lang w:val="en-US"/>
          <w:woUserID w:val="3"/>
        </w:rPr>
      </w:pPr>
      <w:r>
        <w:rPr>
          <w:rFonts w:hint="eastAsia" w:ascii="华文仿宋" w:hAnsi="华文仿宋" w:eastAsia="华文仿宋" w:cs="华文仿宋"/>
          <w:color w:val="FF0000"/>
          <w:kern w:val="0"/>
          <w:sz w:val="32"/>
          <w:szCs w:val="22"/>
          <w:lang w:val="en-US" w:eastAsia="zh-CN" w:bidi="ar"/>
          <w:woUserID w:val="3"/>
        </w:rPr>
        <w:t>将各供电分公司（公司名称中含有供电分公司的单位）矩阵中的关键控制点与模板中的矩阵和关键控制点比对。如果模板中有的矩阵或关键控制点在供电分公司中没有，则提示“需核实适用的矩阵或关键控制点是否完整”；如果供电分公司提交的矩阵或关键控制点在模板中没有，则提示“需核实该矩阵或关键控制点是否适用”。</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33"/>
        <w:gridCol w:w="5928"/>
      </w:tblGrid>
      <w:tr w14:paraId="63E23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000" w:type="pct"/>
            <w:gridSpan w:val="2"/>
            <w:tcBorders>
              <w:top w:val="single" w:color="auto" w:sz="4" w:space="0"/>
              <w:left w:val="single" w:color="auto" w:sz="4" w:space="0"/>
              <w:bottom w:val="single" w:color="auto" w:sz="4" w:space="0"/>
              <w:right w:val="single" w:color="auto" w:sz="4" w:space="0"/>
            </w:tcBorders>
            <w:shd w:val="clear" w:color="auto" w:fill="FFFFFF"/>
            <w:noWrap/>
            <w:vAlign w:val="center"/>
          </w:tcPr>
          <w:p w14:paraId="59AF4DB9">
            <w:pPr>
              <w:keepNext w:val="0"/>
              <w:keepLines w:val="0"/>
              <w:widowControl/>
              <w:suppressLineNumbers w:val="0"/>
              <w:spacing w:before="0" w:beforeAutospacing="0" w:after="0" w:afterAutospacing="0"/>
              <w:ind w:left="0" w:right="0"/>
              <w:jc w:val="center"/>
              <w:rPr>
                <w:rFonts w:hint="eastAsia" w:ascii="方正仿宋_GBK" w:hAnsi="等线" w:eastAsia="方正仿宋_GBK" w:cs="宋体"/>
                <w:b/>
                <w:bCs/>
                <w:color w:val="EE0000"/>
                <w:kern w:val="0"/>
                <w:sz w:val="22"/>
                <w:szCs w:val="22"/>
                <w:lang w:val="en-US"/>
                <w:woUserID w:val="3"/>
              </w:rPr>
            </w:pPr>
            <w:r>
              <w:rPr>
                <w:rFonts w:hint="eastAsia" w:ascii="方正仿宋_GBK" w:hAnsi="等线" w:eastAsia="方正仿宋_GBK" w:cs="宋体"/>
                <w:b/>
                <w:bCs/>
                <w:color w:val="EE0000"/>
                <w:kern w:val="0"/>
                <w:sz w:val="22"/>
                <w:szCs w:val="22"/>
                <w:lang w:val="en-US" w:eastAsia="zh-CN" w:bidi="ar"/>
                <w:woUserID w:val="3"/>
              </w:rPr>
              <w:t>重庆公司供电分工适用的关键控制点（模板）</w:t>
            </w:r>
          </w:p>
        </w:tc>
      </w:tr>
      <w:tr w14:paraId="28AB9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vAlign w:val="center"/>
          </w:tcPr>
          <w:p w14:paraId="0BE7AFF9">
            <w:pPr>
              <w:keepNext w:val="0"/>
              <w:keepLines w:val="0"/>
              <w:widowControl/>
              <w:suppressLineNumbers w:val="0"/>
              <w:spacing w:before="0" w:beforeAutospacing="0" w:after="0" w:afterAutospacing="0"/>
              <w:ind w:left="0" w:right="0"/>
              <w:jc w:val="center"/>
              <w:rPr>
                <w:rFonts w:hint="eastAsia" w:ascii="方正仿宋_GBK" w:hAnsi="等线" w:eastAsia="方正仿宋_GBK" w:cs="宋体"/>
                <w:b/>
                <w:bCs/>
                <w:color w:val="EE0000"/>
                <w:kern w:val="0"/>
                <w:sz w:val="22"/>
                <w:szCs w:val="22"/>
                <w:lang w:val="en-US"/>
                <w:woUserID w:val="3"/>
              </w:rPr>
            </w:pPr>
            <w:r>
              <w:rPr>
                <w:rFonts w:hint="eastAsia" w:ascii="方正仿宋_GBK" w:hAnsi="等线" w:eastAsia="方正仿宋_GBK" w:cs="宋体"/>
                <w:b/>
                <w:bCs/>
                <w:color w:val="EE0000"/>
                <w:kern w:val="0"/>
                <w:sz w:val="22"/>
                <w:szCs w:val="22"/>
                <w:lang w:val="en-US" w:eastAsia="zh-CN" w:bidi="ar"/>
                <w:woUserID w:val="3"/>
              </w:rPr>
              <w:t>矩阵名称</w:t>
            </w:r>
          </w:p>
        </w:tc>
        <w:tc>
          <w:tcPr>
            <w:tcW w:w="3270" w:type="pct"/>
            <w:tcBorders>
              <w:top w:val="nil"/>
              <w:left w:val="nil"/>
              <w:bottom w:val="single" w:color="auto" w:sz="4" w:space="0"/>
              <w:right w:val="single" w:color="auto" w:sz="4" w:space="0"/>
            </w:tcBorders>
            <w:shd w:val="clear" w:color="auto" w:fill="FFFFFF"/>
            <w:noWrap/>
            <w:vAlign w:val="center"/>
          </w:tcPr>
          <w:p w14:paraId="74A8E583">
            <w:pPr>
              <w:keepNext w:val="0"/>
              <w:keepLines w:val="0"/>
              <w:widowControl/>
              <w:suppressLineNumbers w:val="0"/>
              <w:spacing w:before="0" w:beforeAutospacing="0" w:after="0" w:afterAutospacing="0"/>
              <w:ind w:left="0" w:right="0"/>
              <w:jc w:val="center"/>
              <w:rPr>
                <w:rFonts w:hint="eastAsia" w:ascii="方正仿宋_GBK" w:hAnsi="等线" w:eastAsia="方正仿宋_GBK" w:cs="宋体"/>
                <w:b/>
                <w:bCs/>
                <w:color w:val="EE0000"/>
                <w:kern w:val="0"/>
                <w:sz w:val="22"/>
                <w:szCs w:val="22"/>
                <w:lang w:val="en-US"/>
                <w:woUserID w:val="3"/>
              </w:rPr>
            </w:pPr>
            <w:r>
              <w:rPr>
                <w:rFonts w:hint="eastAsia" w:ascii="方正仿宋_GBK" w:hAnsi="等线" w:eastAsia="方正仿宋_GBK" w:cs="宋体"/>
                <w:b/>
                <w:bCs/>
                <w:color w:val="EE0000"/>
                <w:kern w:val="0"/>
                <w:sz w:val="22"/>
                <w:szCs w:val="22"/>
                <w:lang w:val="en-US" w:eastAsia="zh-CN" w:bidi="ar"/>
                <w:woUserID w:val="3"/>
              </w:rPr>
              <w:t>关键控制点</w:t>
            </w:r>
          </w:p>
        </w:tc>
      </w:tr>
      <w:tr w14:paraId="2853C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D9534A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6920918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1.系统客户信息创建</w:t>
            </w:r>
          </w:p>
        </w:tc>
      </w:tr>
      <w:tr w14:paraId="5419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F8E529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599D1EC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2.客户用电容量的确定</w:t>
            </w:r>
          </w:p>
        </w:tc>
      </w:tr>
      <w:tr w14:paraId="5302F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A5E8E5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0570C6C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3.系统客户信息变更</w:t>
            </w:r>
          </w:p>
        </w:tc>
      </w:tr>
      <w:tr w14:paraId="30749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4E4F92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56BA67D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5.供用电合同审核</w:t>
            </w:r>
          </w:p>
        </w:tc>
      </w:tr>
      <w:tr w14:paraId="2CA88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1B11E8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4D938D0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7.客户电价执行管控</w:t>
            </w:r>
          </w:p>
        </w:tc>
      </w:tr>
      <w:tr w14:paraId="41CD1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7F42A5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5B4E39E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16.营财账务协同管理</w:t>
            </w:r>
          </w:p>
        </w:tc>
      </w:tr>
      <w:tr w14:paraId="526FB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874667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45C965E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17.电费发票开具</w:t>
            </w:r>
          </w:p>
        </w:tc>
      </w:tr>
      <w:tr w14:paraId="7154D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A587E8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2FDE009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18.价外基金上交</w:t>
            </w:r>
          </w:p>
        </w:tc>
      </w:tr>
      <w:tr w14:paraId="3279D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54C737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49D452E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20.代收渠道在途资金管理</w:t>
            </w:r>
          </w:p>
        </w:tc>
      </w:tr>
      <w:tr w14:paraId="04DCA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DFC443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2770F2B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21.柜台收费在途资金管理</w:t>
            </w:r>
          </w:p>
        </w:tc>
      </w:tr>
      <w:tr w14:paraId="3B431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2D7ACC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21F1294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22.电费销账标准制定</w:t>
            </w:r>
          </w:p>
        </w:tc>
      </w:tr>
      <w:tr w14:paraId="49A40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5C7ECB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513B351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24.电费账龄与客户信用管理</w:t>
            </w:r>
          </w:p>
        </w:tc>
      </w:tr>
      <w:tr w14:paraId="5C766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84F023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5710617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25.电费坏账计提与核销</w:t>
            </w:r>
          </w:p>
        </w:tc>
      </w:tr>
      <w:tr w14:paraId="2C618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6F867E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40791A8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27.不明款确认与核销</w:t>
            </w:r>
          </w:p>
        </w:tc>
      </w:tr>
      <w:tr w14:paraId="4A7FD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7F132F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61FF24F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29.退费审批权限及流程设置</w:t>
            </w:r>
          </w:p>
        </w:tc>
      </w:tr>
      <w:tr w14:paraId="253FB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54917A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278EF0C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32.异常事项闭环销号</w:t>
            </w:r>
          </w:p>
        </w:tc>
      </w:tr>
      <w:tr w14:paraId="199BE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4020DF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4CB9344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33.出库出账标准</w:t>
            </w:r>
          </w:p>
        </w:tc>
      </w:tr>
      <w:tr w14:paraId="604DA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2CBB5B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5DCF3B7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34.计量表计安装</w:t>
            </w:r>
          </w:p>
        </w:tc>
      </w:tr>
      <w:tr w14:paraId="17069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0368F9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营销售电</w:t>
            </w:r>
          </w:p>
        </w:tc>
        <w:tc>
          <w:tcPr>
            <w:tcW w:w="3270" w:type="pct"/>
            <w:tcBorders>
              <w:top w:val="nil"/>
              <w:left w:val="nil"/>
              <w:bottom w:val="single" w:color="auto" w:sz="4" w:space="0"/>
              <w:right w:val="single" w:color="auto" w:sz="4" w:space="0"/>
            </w:tcBorders>
            <w:shd w:val="clear" w:color="auto" w:fill="FFFFFF"/>
            <w:noWrap/>
            <w:vAlign w:val="center"/>
          </w:tcPr>
          <w:p w14:paraId="64FEFB5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35.欠费停电催收</w:t>
            </w:r>
          </w:p>
        </w:tc>
      </w:tr>
      <w:tr w14:paraId="1B19C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ED386E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625A9FB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1.发电机组电力业务许可证的核实</w:t>
            </w:r>
          </w:p>
        </w:tc>
      </w:tr>
      <w:tr w14:paraId="189DC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AA66B5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01C5839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3.合同(协议)的签订、解除</w:t>
            </w:r>
          </w:p>
        </w:tc>
      </w:tr>
      <w:tr w14:paraId="47825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F8AEF5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0FAAE4A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4.发电客户新建信息的确定</w:t>
            </w:r>
          </w:p>
        </w:tc>
      </w:tr>
      <w:tr w14:paraId="4325C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7C13BF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3016CFF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5.发电客户的变更</w:t>
            </w:r>
          </w:p>
        </w:tc>
      </w:tr>
      <w:tr w14:paraId="09515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993629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4E7E29F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6.新能源项目档案的管理</w:t>
            </w:r>
          </w:p>
        </w:tc>
      </w:tr>
      <w:tr w14:paraId="4CC98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A6A1DD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63DCB53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8.计量点设置</w:t>
            </w:r>
          </w:p>
        </w:tc>
      </w:tr>
      <w:tr w14:paraId="5F90C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A08C7D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28E8642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9.计量和采集周期</w:t>
            </w:r>
          </w:p>
        </w:tc>
      </w:tr>
      <w:tr w14:paraId="17C7F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001456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60BB953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12.结算依据的传递</w:t>
            </w:r>
          </w:p>
        </w:tc>
      </w:tr>
      <w:tr w14:paraId="550B0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5C3FAC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4FD0EB0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14.结算数据的退补</w:t>
            </w:r>
          </w:p>
        </w:tc>
      </w:tr>
      <w:tr w14:paraId="7A9E6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DAAD4C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44EB02B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16.电网代开发票范围</w:t>
            </w:r>
          </w:p>
        </w:tc>
      </w:tr>
      <w:tr w14:paraId="4FD3F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39A6FE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0C8BE6D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17.电费支付时限管控</w:t>
            </w:r>
          </w:p>
        </w:tc>
      </w:tr>
      <w:tr w14:paraId="29A3C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02AEA3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58722DE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18.银行账号的确定与变更</w:t>
            </w:r>
          </w:p>
        </w:tc>
      </w:tr>
      <w:tr w14:paraId="352F2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846EB3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6841BFC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20.支付失败的处理</w:t>
            </w:r>
          </w:p>
        </w:tc>
      </w:tr>
      <w:tr w14:paraId="2D741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335AC6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1C3A581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23.营财凭证的传递</w:t>
            </w:r>
          </w:p>
        </w:tc>
      </w:tr>
      <w:tr w14:paraId="74BAF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5294A3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40DB32C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24.可再生项目档案的管理</w:t>
            </w:r>
          </w:p>
        </w:tc>
      </w:tr>
      <w:tr w14:paraId="115E5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94DEF7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4AF0D50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25.补贴电量双控</w:t>
            </w:r>
          </w:p>
        </w:tc>
      </w:tr>
      <w:tr w14:paraId="783DC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DCE6A9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70B9499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26.补贴需求的统计</w:t>
            </w:r>
          </w:p>
        </w:tc>
      </w:tr>
      <w:tr w14:paraId="09A22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463D45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交易与购电</w:t>
            </w:r>
          </w:p>
        </w:tc>
        <w:tc>
          <w:tcPr>
            <w:tcW w:w="3270" w:type="pct"/>
            <w:tcBorders>
              <w:top w:val="nil"/>
              <w:left w:val="nil"/>
              <w:bottom w:val="single" w:color="auto" w:sz="4" w:space="0"/>
              <w:right w:val="single" w:color="auto" w:sz="4" w:space="0"/>
            </w:tcBorders>
            <w:shd w:val="clear" w:color="auto" w:fill="FFFFFF"/>
            <w:noWrap/>
            <w:vAlign w:val="center"/>
          </w:tcPr>
          <w:p w14:paraId="3D50777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27.补贴资金的分配与转付</w:t>
            </w:r>
          </w:p>
        </w:tc>
      </w:tr>
      <w:tr w14:paraId="32B63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C7D46F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2EFE384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1.严格禁止类、特别监管类项目投资决策审批</w:t>
            </w:r>
          </w:p>
        </w:tc>
      </w:tr>
      <w:tr w14:paraId="3D119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1CA3B2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16AF418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2.可研报告（估算）准确性、完整性审核控制</w:t>
            </w:r>
          </w:p>
        </w:tc>
      </w:tr>
      <w:tr w14:paraId="46E3E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C18408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52F43A7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3.可研经济性评审、财务合规性审核控制</w:t>
            </w:r>
          </w:p>
        </w:tc>
      </w:tr>
      <w:tr w14:paraId="3E3CD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86EB7E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3B0D2C7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4.前期费用列支范围、规模审核控制</w:t>
            </w:r>
          </w:p>
        </w:tc>
      </w:tr>
      <w:tr w14:paraId="3909B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1857A2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5C38D5E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5.长期挂账前期费用清理</w:t>
            </w:r>
          </w:p>
        </w:tc>
      </w:tr>
      <w:tr w14:paraId="6715B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5B9CFB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1B75F07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6.储备项目合规性、金额准确性的审批控制</w:t>
            </w:r>
          </w:p>
        </w:tc>
      </w:tr>
      <w:tr w14:paraId="5561E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ED690B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34E33CE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7.概算审核控制</w:t>
            </w:r>
          </w:p>
        </w:tc>
      </w:tr>
      <w:tr w14:paraId="4E3DD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A5C7CF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278E679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8.工程计划与预算的规模控制</w:t>
            </w:r>
          </w:p>
        </w:tc>
      </w:tr>
      <w:tr w14:paraId="0B6E6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9D5214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77CA242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9.施工图预算控制</w:t>
            </w:r>
          </w:p>
        </w:tc>
      </w:tr>
      <w:tr w14:paraId="37C66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4DDBDC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360A090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10.施工合同合规性、时效性控制</w:t>
            </w:r>
          </w:p>
        </w:tc>
      </w:tr>
      <w:tr w14:paraId="356D7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99CB8D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3C9C461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11.对系统内总包单位转分包行为控制</w:t>
            </w:r>
          </w:p>
        </w:tc>
      </w:tr>
      <w:tr w14:paraId="5CA9B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04836C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0A6E1BD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12.农民工工资总包代发控制</w:t>
            </w:r>
          </w:p>
        </w:tc>
      </w:tr>
      <w:tr w14:paraId="5277C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454EA4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2B50400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13.征地社会稳定风险评估合规性控制</w:t>
            </w:r>
          </w:p>
        </w:tc>
      </w:tr>
      <w:tr w14:paraId="47D31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FEFE31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31B3E9F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14.划拨用地合规性控制</w:t>
            </w:r>
          </w:p>
        </w:tc>
      </w:tr>
      <w:tr w14:paraId="3EDA3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599534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37DEC26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15.耕地占用税合规性控制</w:t>
            </w:r>
          </w:p>
        </w:tc>
      </w:tr>
      <w:tr w14:paraId="3040B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808483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2F25870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16.城镇土地使用税免税合规性控制</w:t>
            </w:r>
          </w:p>
        </w:tc>
      </w:tr>
      <w:tr w14:paraId="569B3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96AE58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22D4766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17.项目开工合规性审核</w:t>
            </w:r>
          </w:p>
        </w:tc>
      </w:tr>
      <w:tr w14:paraId="78CF0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34D8D5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06893D3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18.施工安全控制</w:t>
            </w:r>
          </w:p>
        </w:tc>
      </w:tr>
      <w:tr w14:paraId="5C9C0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F34807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1083BF6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19.施工质量控制</w:t>
            </w:r>
          </w:p>
        </w:tc>
      </w:tr>
      <w:tr w14:paraId="2A137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E57E7A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0A1EBA6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20.项目施工环水保控制</w:t>
            </w:r>
          </w:p>
        </w:tc>
      </w:tr>
      <w:tr w14:paraId="2E064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F414A6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3C2EC10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21.设计变更与现场签证真实性审核控制</w:t>
            </w:r>
          </w:p>
        </w:tc>
      </w:tr>
      <w:tr w14:paraId="43DF5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909B99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15A3E35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22.物资现场到货与采购一致性控制</w:t>
            </w:r>
          </w:p>
        </w:tc>
      </w:tr>
      <w:tr w14:paraId="41513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06BC83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0368FE2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23.物资成本报账与现场实物到货一致性控制</w:t>
            </w:r>
          </w:p>
        </w:tc>
      </w:tr>
      <w:tr w14:paraId="5315F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11A14C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4B9F225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24.施工成本报账与现场进度一致性控制</w:t>
            </w:r>
          </w:p>
        </w:tc>
      </w:tr>
      <w:tr w14:paraId="72FC5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61C350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38D8F72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25.长期挂账在建工程清理</w:t>
            </w:r>
          </w:p>
        </w:tc>
      </w:tr>
      <w:tr w14:paraId="4AF9F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C95D60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408E05C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26.现场实际工程量与验收报告一致性控制</w:t>
            </w:r>
          </w:p>
        </w:tc>
      </w:tr>
      <w:tr w14:paraId="40904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A6C7CE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1DA2795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27.竣工资产移交闭环控制</w:t>
            </w:r>
          </w:p>
        </w:tc>
      </w:tr>
      <w:tr w14:paraId="57226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FB7FB9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2080EBB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28.暂估转资节点刚性控制</w:t>
            </w:r>
          </w:p>
        </w:tc>
      </w:tr>
      <w:tr w14:paraId="08F80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843004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11C3EA8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29.已领未用物资退库控制</w:t>
            </w:r>
          </w:p>
        </w:tc>
      </w:tr>
      <w:tr w14:paraId="434AB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D08157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6188CB9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30.拆旧物资处置控制</w:t>
            </w:r>
          </w:p>
        </w:tc>
      </w:tr>
      <w:tr w14:paraId="26149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006A31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257791C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31.项目竣工合规性管理</w:t>
            </w:r>
          </w:p>
        </w:tc>
      </w:tr>
      <w:tr w14:paraId="7B891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2F69DB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73BE790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32.房产税计税依据合规性控制</w:t>
            </w:r>
          </w:p>
        </w:tc>
      </w:tr>
      <w:tr w14:paraId="6472E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A1E898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0A9EE9A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33.预留尾工时限与规模控制</w:t>
            </w:r>
          </w:p>
        </w:tc>
      </w:tr>
      <w:tr w14:paraId="4376A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E7FBB9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329C5E8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34.工程量真实性、一致性管控</w:t>
            </w:r>
          </w:p>
        </w:tc>
      </w:tr>
      <w:tr w14:paraId="7C011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B9998D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5FD51A4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35.合同计价的合规性控制</w:t>
            </w:r>
          </w:p>
        </w:tc>
      </w:tr>
      <w:tr w14:paraId="27C22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28FF7D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2E890B4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36.项目结算时效管控</w:t>
            </w:r>
          </w:p>
        </w:tc>
      </w:tr>
      <w:tr w14:paraId="44D01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51CB89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06DA477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37.工程质保金支付合规性控制</w:t>
            </w:r>
          </w:p>
        </w:tc>
      </w:tr>
      <w:tr w14:paraId="074B7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141329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1125F79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38.工程竣工决算报告编制时效性管控</w:t>
            </w:r>
          </w:p>
        </w:tc>
      </w:tr>
      <w:tr w14:paraId="6CFB7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E2EC29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39210C1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39.工程竣工决算分级审核控制</w:t>
            </w:r>
          </w:p>
        </w:tc>
      </w:tr>
      <w:tr w14:paraId="73511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6474F9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19FE699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40.工程投后管理</w:t>
            </w:r>
          </w:p>
        </w:tc>
      </w:tr>
      <w:tr w14:paraId="6E85D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D4710A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35千伏-750千伏电网基建</w:t>
            </w:r>
          </w:p>
        </w:tc>
        <w:tc>
          <w:tcPr>
            <w:tcW w:w="3270" w:type="pct"/>
            <w:tcBorders>
              <w:top w:val="nil"/>
              <w:left w:val="nil"/>
              <w:bottom w:val="single" w:color="auto" w:sz="4" w:space="0"/>
              <w:right w:val="single" w:color="auto" w:sz="4" w:space="0"/>
            </w:tcBorders>
            <w:shd w:val="clear" w:color="auto" w:fill="FFFFFF"/>
            <w:noWrap/>
            <w:vAlign w:val="center"/>
          </w:tcPr>
          <w:p w14:paraId="5F055C7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41.档案管理</w:t>
            </w:r>
          </w:p>
        </w:tc>
      </w:tr>
      <w:tr w14:paraId="249B5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537EE4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1777A48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1.被迁改资产价值控制</w:t>
            </w:r>
          </w:p>
        </w:tc>
      </w:tr>
      <w:tr w14:paraId="607B4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B99386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4095C7C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2.电网功能适应性控制</w:t>
            </w:r>
          </w:p>
        </w:tc>
      </w:tr>
      <w:tr w14:paraId="3C126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0A87D8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53D2670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3.补偿金额与回收时间控制</w:t>
            </w:r>
          </w:p>
        </w:tc>
      </w:tr>
      <w:tr w14:paraId="1CAB0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88F8E9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1927970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4.迁改业务类型的审核控制</w:t>
            </w:r>
          </w:p>
        </w:tc>
      </w:tr>
      <w:tr w14:paraId="3E630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56E1DC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098396F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5.拆旧资产归属控制</w:t>
            </w:r>
          </w:p>
        </w:tc>
      </w:tr>
      <w:tr w14:paraId="297C7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C5AE58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253D4B6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6.资产拆旧时点控制</w:t>
            </w:r>
          </w:p>
        </w:tc>
      </w:tr>
      <w:tr w14:paraId="3C1BE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D0410F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78F34A8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7.农民工工资支付控制</w:t>
            </w:r>
          </w:p>
        </w:tc>
      </w:tr>
      <w:tr w14:paraId="0C07B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C98991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2575E0A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8.增值税风险控制</w:t>
            </w:r>
          </w:p>
        </w:tc>
      </w:tr>
      <w:tr w14:paraId="3E835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E19F1A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1B36E0D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9.新建资产税金房产土地税缴纳控制</w:t>
            </w:r>
          </w:p>
        </w:tc>
      </w:tr>
      <w:tr w14:paraId="57593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1EC649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67E15C6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10.新建资产功能性验证</w:t>
            </w:r>
          </w:p>
        </w:tc>
      </w:tr>
      <w:tr w14:paraId="6E2E2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62F43E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0F70DE8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11.新建资产价值确定</w:t>
            </w:r>
          </w:p>
        </w:tc>
      </w:tr>
      <w:tr w14:paraId="2DB70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EB168A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7200189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12.技术鉴定控制</w:t>
            </w:r>
          </w:p>
        </w:tc>
      </w:tr>
      <w:tr w14:paraId="3FE92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C982E7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迁改工程管理</w:t>
            </w:r>
          </w:p>
        </w:tc>
        <w:tc>
          <w:tcPr>
            <w:tcW w:w="3270" w:type="pct"/>
            <w:tcBorders>
              <w:top w:val="nil"/>
              <w:left w:val="nil"/>
              <w:bottom w:val="single" w:color="auto" w:sz="4" w:space="0"/>
              <w:right w:val="single" w:color="auto" w:sz="4" w:space="0"/>
            </w:tcBorders>
            <w:shd w:val="clear" w:color="auto" w:fill="FFFFFF"/>
            <w:noWrap/>
            <w:vAlign w:val="center"/>
          </w:tcPr>
          <w:p w14:paraId="66587FF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14.迁改资金清算控制</w:t>
            </w:r>
          </w:p>
        </w:tc>
      </w:tr>
      <w:tr w14:paraId="5B26D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09CB1D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36C6D30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1.估算准确性、完整性审核控制</w:t>
            </w:r>
          </w:p>
        </w:tc>
      </w:tr>
      <w:tr w14:paraId="33FD1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5E9A3D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775B986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2.项目储备经济性评审、财务合规性审核控制</w:t>
            </w:r>
          </w:p>
        </w:tc>
      </w:tr>
      <w:tr w14:paraId="33515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FB1F3B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7E6D104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3.配网项目储备入库和评审</w:t>
            </w:r>
          </w:p>
        </w:tc>
      </w:tr>
      <w:tr w14:paraId="277CB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8191C1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4D20A11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4.配网项目立项规范性审核</w:t>
            </w:r>
          </w:p>
        </w:tc>
      </w:tr>
      <w:tr w14:paraId="3D4BD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28E03E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4B28C0E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5.储备项目必要性、可行性、投资准确性的审批控制</w:t>
            </w:r>
          </w:p>
        </w:tc>
      </w:tr>
      <w:tr w14:paraId="60C46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236883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67FE6E6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6.项目概（预）算审核控制</w:t>
            </w:r>
          </w:p>
        </w:tc>
      </w:tr>
      <w:tr w14:paraId="2B21B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AA9F8C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36F6353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7.工程预算与计划的规模控制</w:t>
            </w:r>
          </w:p>
        </w:tc>
      </w:tr>
      <w:tr w14:paraId="28FB9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556B27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3B99E23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8.招标采购合规及防舞弊控制</w:t>
            </w:r>
          </w:p>
        </w:tc>
      </w:tr>
      <w:tr w14:paraId="4A103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AB42A7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2DF6D9D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9.合同合规性、时效性控制</w:t>
            </w:r>
          </w:p>
        </w:tc>
      </w:tr>
      <w:tr w14:paraId="7CAA8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4D9B93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0BE5B0B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10.合同签订及审核</w:t>
            </w:r>
          </w:p>
        </w:tc>
      </w:tr>
      <w:tr w14:paraId="429B6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D48F27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0B52856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11.对系统内总包单位转分包行为控制</w:t>
            </w:r>
          </w:p>
        </w:tc>
      </w:tr>
      <w:tr w14:paraId="13105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4AB45C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757AB6E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12.农民工工资总包代发控制</w:t>
            </w:r>
          </w:p>
        </w:tc>
      </w:tr>
      <w:tr w14:paraId="7E448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ACA4EA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7830F47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13.物资现场到货与采购一致性控制</w:t>
            </w:r>
          </w:p>
        </w:tc>
      </w:tr>
      <w:tr w14:paraId="580D5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CD827E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32CB44C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14.施工方案评审控制</w:t>
            </w:r>
          </w:p>
        </w:tc>
      </w:tr>
      <w:tr w14:paraId="110ED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4E8823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04D0017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15.配网项目工程结算审计</w:t>
            </w:r>
          </w:p>
        </w:tc>
      </w:tr>
      <w:tr w14:paraId="3B15D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B9B4B1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6C9E376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16.配网项目开工报告和进度确认</w:t>
            </w:r>
          </w:p>
        </w:tc>
      </w:tr>
      <w:tr w14:paraId="2AAF0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CA8D13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762E507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17.配网项目监理人员履职控制</w:t>
            </w:r>
          </w:p>
        </w:tc>
      </w:tr>
      <w:tr w14:paraId="445D0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5A4672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3F6A54D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18.配网项目竣工验收及结算审计</w:t>
            </w:r>
          </w:p>
        </w:tc>
      </w:tr>
      <w:tr w14:paraId="655DB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4ACE48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3009286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19.配网项目建卡清册核对</w:t>
            </w:r>
          </w:p>
        </w:tc>
      </w:tr>
      <w:tr w14:paraId="2CFA5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EECBC6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4F35437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20.配网项目暂估转资流程提交</w:t>
            </w:r>
          </w:p>
        </w:tc>
      </w:tr>
      <w:tr w14:paraId="12F98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C437A1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626315A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21.已领未用物资退库控制</w:t>
            </w:r>
          </w:p>
        </w:tc>
      </w:tr>
      <w:tr w14:paraId="1DD08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A0254E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2748F1C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22.拆旧计划执行和物资处置控制</w:t>
            </w:r>
          </w:p>
        </w:tc>
      </w:tr>
      <w:tr w14:paraId="0597F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A55460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2F1C7D0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23.配网项目结算报账</w:t>
            </w:r>
          </w:p>
        </w:tc>
      </w:tr>
      <w:tr w14:paraId="1ADB2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19A2AD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3E417D6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24.工程质保金支付合规性控制</w:t>
            </w:r>
          </w:p>
        </w:tc>
      </w:tr>
      <w:tr w14:paraId="6DA62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4511FD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配网工程管理</w:t>
            </w:r>
          </w:p>
        </w:tc>
        <w:tc>
          <w:tcPr>
            <w:tcW w:w="3270" w:type="pct"/>
            <w:tcBorders>
              <w:top w:val="nil"/>
              <w:left w:val="nil"/>
              <w:bottom w:val="single" w:color="auto" w:sz="4" w:space="0"/>
              <w:right w:val="single" w:color="auto" w:sz="4" w:space="0"/>
            </w:tcBorders>
            <w:shd w:val="clear" w:color="auto" w:fill="FFFFFF"/>
            <w:noWrap/>
            <w:vAlign w:val="center"/>
          </w:tcPr>
          <w:p w14:paraId="6DC93A0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25.工程竣工决算报告编制时效性管控</w:t>
            </w:r>
          </w:p>
        </w:tc>
      </w:tr>
      <w:tr w14:paraId="6F3FA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5F5BFB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65006B9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1.设备验收盘点与转资新增管控</w:t>
            </w:r>
          </w:p>
        </w:tc>
      </w:tr>
      <w:tr w14:paraId="7C7EA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B9C052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277C533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2.委托运维资产新增设备台账信息维护与资产卡片创建</w:t>
            </w:r>
          </w:p>
        </w:tc>
      </w:tr>
      <w:tr w14:paraId="2F3CF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D518D1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059081E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3.接收资产审核</w:t>
            </w:r>
          </w:p>
        </w:tc>
      </w:tr>
      <w:tr w14:paraId="60647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E5F4EA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483ED0A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4.用户资产卡片创建</w:t>
            </w:r>
          </w:p>
        </w:tc>
      </w:tr>
      <w:tr w14:paraId="092E6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07C5CC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3DA7AEE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5.资产调拨办理</w:t>
            </w:r>
          </w:p>
        </w:tc>
      </w:tr>
      <w:tr w14:paraId="4D0D2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391ACB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6FAB15F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6.资产权属变更</w:t>
            </w:r>
          </w:p>
        </w:tc>
      </w:tr>
      <w:tr w14:paraId="4F0B1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8ED720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14A2E54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7.设备资产盘点与处置</w:t>
            </w:r>
          </w:p>
        </w:tc>
      </w:tr>
      <w:tr w14:paraId="50F01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C02BD5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66A67D7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8.修理项目立项审核</w:t>
            </w:r>
          </w:p>
        </w:tc>
      </w:tr>
      <w:tr w14:paraId="152AF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DE562C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75F2A59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9.设备资产备品维保与消纳管理</w:t>
            </w:r>
          </w:p>
        </w:tc>
      </w:tr>
      <w:tr w14:paraId="2863C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D0A28E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7595555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10.设备资产保险报案与索赔</w:t>
            </w:r>
          </w:p>
        </w:tc>
      </w:tr>
      <w:tr w14:paraId="3CAE8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64B72A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6CE5732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11.退役设备资产技术鉴定</w:t>
            </w:r>
          </w:p>
        </w:tc>
      </w:tr>
      <w:tr w14:paraId="5486E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9F9AFA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0BDB494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12.退役设备资产拆除与足额回收管控</w:t>
            </w:r>
          </w:p>
        </w:tc>
      </w:tr>
      <w:tr w14:paraId="04C13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15C46A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332F11A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13.设备资产报废流程审批办理</w:t>
            </w:r>
          </w:p>
        </w:tc>
      </w:tr>
      <w:tr w14:paraId="45B60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DB5E51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1D2DA18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14.资产调拨手续办理</w:t>
            </w:r>
          </w:p>
        </w:tc>
      </w:tr>
      <w:tr w14:paraId="35898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30DC16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4FB860F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15.委托运维资产技术鉴定及审批手续办理</w:t>
            </w:r>
          </w:p>
        </w:tc>
      </w:tr>
      <w:tr w14:paraId="6FCFB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54D230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1542641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16.委托运维资产房产土地税金申报缴纳</w:t>
            </w:r>
          </w:p>
        </w:tc>
      </w:tr>
      <w:tr w14:paraId="27CAD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99603B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设备（资产）管理</w:t>
            </w:r>
          </w:p>
        </w:tc>
        <w:tc>
          <w:tcPr>
            <w:tcW w:w="3270" w:type="pct"/>
            <w:tcBorders>
              <w:top w:val="nil"/>
              <w:left w:val="nil"/>
              <w:bottom w:val="single" w:color="auto" w:sz="4" w:space="0"/>
              <w:right w:val="single" w:color="auto" w:sz="4" w:space="0"/>
            </w:tcBorders>
            <w:shd w:val="clear" w:color="auto" w:fill="FFFFFF"/>
            <w:noWrap/>
            <w:vAlign w:val="center"/>
          </w:tcPr>
          <w:p w14:paraId="1D26E03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17.设备资产报废决策程序</w:t>
            </w:r>
          </w:p>
        </w:tc>
      </w:tr>
      <w:tr w14:paraId="103F1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822C01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6A84799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1.需求计划优先利库</w:t>
            </w:r>
          </w:p>
        </w:tc>
      </w:tr>
      <w:tr w14:paraId="26FBA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7EC485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497ABB6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2.采购计划与项目需求匹配</w:t>
            </w:r>
          </w:p>
        </w:tc>
      </w:tr>
      <w:tr w14:paraId="59553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6DD97A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28756BC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3.招标采购合规控制</w:t>
            </w:r>
          </w:p>
        </w:tc>
      </w:tr>
      <w:tr w14:paraId="7A30C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49EA94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3F13599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4.应急采购规范性及合理性控制</w:t>
            </w:r>
          </w:p>
        </w:tc>
      </w:tr>
      <w:tr w14:paraId="5C896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723AC5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2BE6431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5.供应商履约风险控制</w:t>
            </w:r>
          </w:p>
        </w:tc>
      </w:tr>
      <w:tr w14:paraId="58CC8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D4EC9F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5E2B115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6.合同关键条款控制</w:t>
            </w:r>
          </w:p>
        </w:tc>
      </w:tr>
      <w:tr w14:paraId="705C7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C75FFC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59A9CBC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7.合同变更合理性控制</w:t>
            </w:r>
          </w:p>
        </w:tc>
      </w:tr>
      <w:tr w14:paraId="1EFBE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16D93B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6566872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8.履约保险（保函）有效性控制</w:t>
            </w:r>
          </w:p>
        </w:tc>
      </w:tr>
      <w:tr w14:paraId="4F4F6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181014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6A70F89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9.物资结算真实性与进度准确性控制</w:t>
            </w:r>
          </w:p>
        </w:tc>
      </w:tr>
      <w:tr w14:paraId="55C92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E46279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62D3DD8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10.协议执行规范性控制</w:t>
            </w:r>
          </w:p>
        </w:tc>
      </w:tr>
      <w:tr w14:paraId="1753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8B9B2E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72A703A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11.应付清理及时性控制</w:t>
            </w:r>
          </w:p>
        </w:tc>
      </w:tr>
      <w:tr w14:paraId="76FC2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687F89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5F8E06D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13.集货商履约控制</w:t>
            </w:r>
          </w:p>
        </w:tc>
      </w:tr>
      <w:tr w14:paraId="66009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03507F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5A63373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15.电商采购物资到货验收控制</w:t>
            </w:r>
          </w:p>
        </w:tc>
      </w:tr>
      <w:tr w14:paraId="6433B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42C8B2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61D50B6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16.物资到货验收一致性控制</w:t>
            </w:r>
          </w:p>
        </w:tc>
      </w:tr>
      <w:tr w14:paraId="3CCA0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1D9000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3EA8AA1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17.物资出库真实性控制</w:t>
            </w:r>
          </w:p>
        </w:tc>
      </w:tr>
      <w:tr w14:paraId="469C7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BBE134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45BB986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18.直发现场物资使用规范性控制</w:t>
            </w:r>
            <w:r>
              <w:rPr>
                <w:rFonts w:hint="eastAsia" w:ascii="方正仿宋_GBK" w:hAnsi="等线" w:eastAsia="方正仿宋_GBK" w:cs="宋体"/>
                <w:color w:val="EE0000"/>
                <w:kern w:val="0"/>
                <w:sz w:val="22"/>
                <w:szCs w:val="22"/>
                <w:lang w:val="en-US" w:eastAsia="zh-CN" w:bidi="ar"/>
                <w:woUserID w:val="3"/>
              </w:rPr>
              <w:br w:type="textWrapping"/>
            </w:r>
            <w:r>
              <w:rPr>
                <w:rFonts w:hint="eastAsia" w:ascii="方正仿宋_GBK" w:hAnsi="等线" w:eastAsia="方正仿宋_GBK" w:cs="宋体"/>
                <w:color w:val="EE0000"/>
                <w:kern w:val="0"/>
                <w:sz w:val="22"/>
                <w:szCs w:val="22"/>
                <w:lang w:val="en-US" w:eastAsia="zh-CN" w:bidi="ar"/>
                <w:woUserID w:val="3"/>
              </w:rPr>
              <w:t>（特高压工程物资管理参照特高压矩阵执行）</w:t>
            </w:r>
          </w:p>
        </w:tc>
      </w:tr>
      <w:tr w14:paraId="53707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77F7D8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36FAD07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19.寄存物资出库一致性审核</w:t>
            </w:r>
          </w:p>
        </w:tc>
      </w:tr>
      <w:tr w14:paraId="2CB5A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4ECC87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6FED5BD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20.结余物资退库控制</w:t>
            </w:r>
          </w:p>
        </w:tc>
      </w:tr>
      <w:tr w14:paraId="10674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83A3AA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7762C08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21.专业仓设置及审批控制</w:t>
            </w:r>
          </w:p>
        </w:tc>
      </w:tr>
      <w:tr w14:paraId="5AEAA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AF38B1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089D85E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22.物资入仓准确性控制</w:t>
            </w:r>
          </w:p>
        </w:tc>
      </w:tr>
      <w:tr w14:paraId="452ED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8A4FD8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010D39C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23.物资出仓准确性控制</w:t>
            </w:r>
          </w:p>
        </w:tc>
      </w:tr>
      <w:tr w14:paraId="698A5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528C4A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053F7F6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24.物资盘点准确性控制</w:t>
            </w:r>
          </w:p>
        </w:tc>
      </w:tr>
      <w:tr w14:paraId="05F40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7FC728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6B54A32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25.利库及时性控制</w:t>
            </w:r>
          </w:p>
        </w:tc>
      </w:tr>
      <w:tr w14:paraId="23EC5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E44D8D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47303C8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26.拆旧物资退役控制</w:t>
            </w:r>
          </w:p>
        </w:tc>
      </w:tr>
      <w:tr w14:paraId="5397D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C8E7A2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3F46895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27.销售回款及物资出库准确性控制</w:t>
            </w:r>
          </w:p>
        </w:tc>
      </w:tr>
      <w:tr w14:paraId="47E2E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FAF1CC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69B00C7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28.采购计划与项目需求匹配</w:t>
            </w:r>
          </w:p>
        </w:tc>
      </w:tr>
      <w:tr w14:paraId="0BD19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5CA273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584430D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29.招标采购合规控制</w:t>
            </w:r>
          </w:p>
        </w:tc>
      </w:tr>
      <w:tr w14:paraId="588C7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D65040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4B1A59F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30.服务商履约风险控制</w:t>
            </w:r>
          </w:p>
        </w:tc>
      </w:tr>
      <w:tr w14:paraId="2476A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504D1F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46292F2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31.合同关键条款控制</w:t>
            </w:r>
          </w:p>
        </w:tc>
      </w:tr>
      <w:tr w14:paraId="6EE79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729A80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48FA986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32.合同变更合理性控制</w:t>
            </w:r>
          </w:p>
        </w:tc>
      </w:tr>
      <w:tr w14:paraId="50F44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A68A63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1AD8313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33.服务结算真实性与进度准确性控制</w:t>
            </w:r>
          </w:p>
        </w:tc>
      </w:tr>
      <w:tr w14:paraId="65AF5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E3FD04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物资（服务）采购与实施</w:t>
            </w:r>
          </w:p>
        </w:tc>
        <w:tc>
          <w:tcPr>
            <w:tcW w:w="3270" w:type="pct"/>
            <w:tcBorders>
              <w:top w:val="nil"/>
              <w:left w:val="nil"/>
              <w:bottom w:val="single" w:color="auto" w:sz="4" w:space="0"/>
              <w:right w:val="single" w:color="auto" w:sz="4" w:space="0"/>
            </w:tcBorders>
            <w:shd w:val="clear" w:color="auto" w:fill="FFFFFF"/>
            <w:noWrap/>
            <w:vAlign w:val="center"/>
          </w:tcPr>
          <w:p w14:paraId="38525F9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34.应付清理及时性控制</w:t>
            </w:r>
          </w:p>
        </w:tc>
      </w:tr>
      <w:tr w14:paraId="1F7E6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B2BAE6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2CDA99E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1.储备立项的程序控制</w:t>
            </w:r>
          </w:p>
        </w:tc>
      </w:tr>
      <w:tr w14:paraId="616C0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17EA65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2C4DBA9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2.计划预算安排合规性</w:t>
            </w:r>
          </w:p>
        </w:tc>
      </w:tr>
      <w:tr w14:paraId="170D7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69259F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48A20DD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3.入账成本准确性</w:t>
            </w:r>
          </w:p>
        </w:tc>
      </w:tr>
      <w:tr w14:paraId="014B9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3E65D0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38AD9C4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4.专业分包比例合规性</w:t>
            </w:r>
          </w:p>
        </w:tc>
      </w:tr>
      <w:tr w14:paraId="1FC01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F424BC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2665FD8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5.资产信息真实性</w:t>
            </w:r>
          </w:p>
        </w:tc>
      </w:tr>
      <w:tr w14:paraId="60904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7AD4E0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754A24D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6.项目验收质量</w:t>
            </w:r>
          </w:p>
        </w:tc>
      </w:tr>
      <w:tr w14:paraId="026AF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1B1F17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7F0FF65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7.项目转资合规性</w:t>
            </w:r>
          </w:p>
        </w:tc>
      </w:tr>
      <w:tr w14:paraId="27361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A217DA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2312946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8.储备立项的程序</w:t>
            </w:r>
          </w:p>
        </w:tc>
      </w:tr>
      <w:tr w14:paraId="72948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2AB2E7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5B5D4AA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9.计划调整及时性</w:t>
            </w:r>
          </w:p>
        </w:tc>
      </w:tr>
      <w:tr w14:paraId="58AEA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BE366F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098614D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10.入账成本准确性</w:t>
            </w:r>
          </w:p>
        </w:tc>
      </w:tr>
      <w:tr w14:paraId="7F23C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93C0FE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2EF8F3D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11.研发项目加计扣除合规性</w:t>
            </w:r>
          </w:p>
        </w:tc>
      </w:tr>
      <w:tr w14:paraId="0CEDB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BB9E94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0DB22C2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12.研发费用核算与分摊准确性</w:t>
            </w:r>
          </w:p>
        </w:tc>
      </w:tr>
      <w:tr w14:paraId="584B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820F37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6F6CE38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13.内部受托研发项目三方信息一致性控制</w:t>
            </w:r>
          </w:p>
        </w:tc>
      </w:tr>
      <w:tr w14:paraId="1AF04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4F60B9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7337617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14.项目验收质量</w:t>
            </w:r>
          </w:p>
        </w:tc>
      </w:tr>
      <w:tr w14:paraId="58806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C7E340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数字化与研发投入</w:t>
            </w:r>
          </w:p>
        </w:tc>
        <w:tc>
          <w:tcPr>
            <w:tcW w:w="3270" w:type="pct"/>
            <w:tcBorders>
              <w:top w:val="nil"/>
              <w:left w:val="nil"/>
              <w:bottom w:val="single" w:color="auto" w:sz="4" w:space="0"/>
              <w:right w:val="single" w:color="auto" w:sz="4" w:space="0"/>
            </w:tcBorders>
            <w:shd w:val="clear" w:color="auto" w:fill="FFFFFF"/>
            <w:noWrap/>
            <w:vAlign w:val="center"/>
          </w:tcPr>
          <w:p w14:paraId="6DD722D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15.科研成果权属保护有效性</w:t>
            </w:r>
          </w:p>
        </w:tc>
      </w:tr>
      <w:tr w14:paraId="65EA1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34D809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696CFCA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1.员工信息管理</w:t>
            </w:r>
          </w:p>
        </w:tc>
      </w:tr>
      <w:tr w14:paraId="75D27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5EAC4B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4748509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2.工资总额计划管理</w:t>
            </w:r>
          </w:p>
        </w:tc>
      </w:tr>
      <w:tr w14:paraId="0FA8E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AA6526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7AD5554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3.工资明细管理</w:t>
            </w:r>
          </w:p>
        </w:tc>
      </w:tr>
      <w:tr w14:paraId="0848F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235C9E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37C35C9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4.员工用工管理</w:t>
            </w:r>
          </w:p>
        </w:tc>
      </w:tr>
      <w:tr w14:paraId="79BD1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A09F87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5AA6EA5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5.工资发放</w:t>
            </w:r>
          </w:p>
        </w:tc>
      </w:tr>
      <w:tr w14:paraId="4BFED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63EC01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72DFA26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6.社保公积金计提缴纳</w:t>
            </w:r>
          </w:p>
        </w:tc>
      </w:tr>
      <w:tr w14:paraId="4CC78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C67E6F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7199A78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7.企业年金及补充医疗保险拨付运作</w:t>
            </w:r>
          </w:p>
        </w:tc>
      </w:tr>
      <w:tr w14:paraId="4A2DC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145943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775EEED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8.食堂经费使用</w:t>
            </w:r>
          </w:p>
        </w:tc>
      </w:tr>
      <w:tr w14:paraId="4CA1B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5AAF98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572F543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9.职工疗养组织</w:t>
            </w:r>
          </w:p>
        </w:tc>
      </w:tr>
      <w:tr w14:paraId="4D76A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B1A5D7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2BBB963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10.职工体检费使用</w:t>
            </w:r>
          </w:p>
        </w:tc>
      </w:tr>
      <w:tr w14:paraId="0A7CB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6017A8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0C3A817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11.其他福利费使用</w:t>
            </w:r>
          </w:p>
        </w:tc>
      </w:tr>
      <w:tr w14:paraId="3E24D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1E4F44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3C71A4C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12.工会经费计提拨缴</w:t>
            </w:r>
          </w:p>
        </w:tc>
      </w:tr>
      <w:tr w14:paraId="29896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76BBF5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3DF8FD7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13.职工教育经费列支</w:t>
            </w:r>
          </w:p>
        </w:tc>
      </w:tr>
      <w:tr w14:paraId="00DDF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94A911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职工福利保障与薪酬管理</w:t>
            </w:r>
          </w:p>
        </w:tc>
        <w:tc>
          <w:tcPr>
            <w:tcW w:w="3270" w:type="pct"/>
            <w:tcBorders>
              <w:top w:val="nil"/>
              <w:left w:val="nil"/>
              <w:bottom w:val="single" w:color="auto" w:sz="4" w:space="0"/>
              <w:right w:val="single" w:color="auto" w:sz="4" w:space="0"/>
            </w:tcBorders>
            <w:shd w:val="clear" w:color="auto" w:fill="FFFFFF"/>
            <w:noWrap/>
            <w:vAlign w:val="center"/>
          </w:tcPr>
          <w:p w14:paraId="12A1916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14.食材价格管控</w:t>
            </w:r>
          </w:p>
        </w:tc>
      </w:tr>
      <w:tr w14:paraId="69EAF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02418F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6B7DCBE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1.出差申请发起</w:t>
            </w:r>
          </w:p>
        </w:tc>
      </w:tr>
      <w:tr w14:paraId="28010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50FDF6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558C2FA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2.出差申请审批</w:t>
            </w:r>
          </w:p>
        </w:tc>
      </w:tr>
      <w:tr w14:paraId="28BDD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94C9B0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08CB653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3.出差申请流程控制</w:t>
            </w:r>
          </w:p>
        </w:tc>
      </w:tr>
      <w:tr w14:paraId="62932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9044F7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684B099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5.单体酒店上架及价格定价管控</w:t>
            </w:r>
          </w:p>
        </w:tc>
      </w:tr>
      <w:tr w14:paraId="02489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F9C988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35AAEAF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6.酒店预订</w:t>
            </w:r>
          </w:p>
        </w:tc>
      </w:tr>
      <w:tr w14:paraId="5E9F7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FDFFF6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46869CF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7.差旅标准执行</w:t>
            </w:r>
          </w:p>
        </w:tc>
      </w:tr>
      <w:tr w14:paraId="52487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0A0FBA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1DF3B6F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8.差旅报销合规性控制</w:t>
            </w:r>
          </w:p>
        </w:tc>
      </w:tr>
      <w:tr w14:paraId="1BE60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E18281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243FF8C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9.自付单据审核</w:t>
            </w:r>
          </w:p>
        </w:tc>
      </w:tr>
      <w:tr w14:paraId="448D0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04A9E8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6B369B0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10.报销事项合规性控制</w:t>
            </w:r>
          </w:p>
        </w:tc>
      </w:tr>
      <w:tr w14:paraId="1CD0B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2DBBE5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63529E9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11.报销发票审核</w:t>
            </w:r>
          </w:p>
        </w:tc>
      </w:tr>
      <w:tr w14:paraId="380FA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386600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3414B68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12.公务接待范围、执行制度、费用报销</w:t>
            </w:r>
          </w:p>
        </w:tc>
      </w:tr>
      <w:tr w14:paraId="6F822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2C11F7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6C70663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13.公务车辆单车核算管理</w:t>
            </w:r>
          </w:p>
        </w:tc>
      </w:tr>
      <w:tr w14:paraId="79498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6CFCFE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1BBAD8F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14.因公出国（境）经费使用</w:t>
            </w:r>
          </w:p>
        </w:tc>
      </w:tr>
      <w:tr w14:paraId="5F180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D5DBBA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1E1F7FE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15.会议规模、费用报销</w:t>
            </w:r>
          </w:p>
        </w:tc>
      </w:tr>
      <w:tr w14:paraId="3CD62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0B5F24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56570E0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16.办公费使用</w:t>
            </w:r>
          </w:p>
        </w:tc>
      </w:tr>
      <w:tr w14:paraId="41DB5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CD641B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5B02FCA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17.办公用品采购、发放</w:t>
            </w:r>
          </w:p>
        </w:tc>
      </w:tr>
      <w:tr w14:paraId="29480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76D4E2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3BBB039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18.党组织工作经费报销</w:t>
            </w:r>
          </w:p>
        </w:tc>
      </w:tr>
      <w:tr w14:paraId="7B6C7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F95116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0530489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19.安全费报销</w:t>
            </w:r>
          </w:p>
        </w:tc>
      </w:tr>
      <w:tr w14:paraId="6CBD6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007FD4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00E4488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20.劳动保护费报销</w:t>
            </w:r>
          </w:p>
        </w:tc>
      </w:tr>
      <w:tr w14:paraId="22A30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12E85D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37E5066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21.现场青苗赔偿类型、数量的确定</w:t>
            </w:r>
          </w:p>
        </w:tc>
      </w:tr>
      <w:tr w14:paraId="183DF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721182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5DFBA6D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22.青苗赔偿支付对象的确定</w:t>
            </w:r>
          </w:p>
        </w:tc>
      </w:tr>
      <w:tr w14:paraId="4F38F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DFBD07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6727ECA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23.资金支付管理</w:t>
            </w:r>
          </w:p>
        </w:tc>
      </w:tr>
      <w:tr w14:paraId="1E3CE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1C1920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5B03695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24.软科学课题经费报销</w:t>
            </w:r>
          </w:p>
        </w:tc>
      </w:tr>
      <w:tr w14:paraId="6CB2B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8AF1E2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34EADB3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25.车辆油料费用申请</w:t>
            </w:r>
          </w:p>
        </w:tc>
      </w:tr>
      <w:tr w14:paraId="47ACD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FB4DAC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6062F6D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26.车辆油料费用报销</w:t>
            </w:r>
          </w:p>
        </w:tc>
      </w:tr>
      <w:tr w14:paraId="2DEDB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2F032B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4D4EEA3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27.车辆油耗合规性控制</w:t>
            </w:r>
          </w:p>
        </w:tc>
      </w:tr>
      <w:tr w14:paraId="20680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9F2D75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0256B1C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28.车辆维修保养费用申请</w:t>
            </w:r>
          </w:p>
        </w:tc>
      </w:tr>
      <w:tr w14:paraId="4D9B3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C30AE4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7611C6E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29.车辆维修保养费用报销</w:t>
            </w:r>
          </w:p>
        </w:tc>
      </w:tr>
      <w:tr w14:paraId="66AC8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A46022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员工报账</w:t>
            </w:r>
          </w:p>
        </w:tc>
        <w:tc>
          <w:tcPr>
            <w:tcW w:w="3270" w:type="pct"/>
            <w:tcBorders>
              <w:top w:val="nil"/>
              <w:left w:val="nil"/>
              <w:bottom w:val="single" w:color="auto" w:sz="4" w:space="0"/>
              <w:right w:val="single" w:color="auto" w:sz="4" w:space="0"/>
            </w:tcBorders>
            <w:shd w:val="clear" w:color="auto" w:fill="FFFFFF"/>
            <w:noWrap/>
            <w:vAlign w:val="center"/>
          </w:tcPr>
          <w:p w14:paraId="4B4150E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30.车辆维修保养费用合规性控制</w:t>
            </w:r>
          </w:p>
        </w:tc>
      </w:tr>
      <w:tr w14:paraId="28D5E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658FE8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5839ED7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1.会计主体完整性管控</w:t>
            </w:r>
          </w:p>
        </w:tc>
      </w:tr>
      <w:tr w14:paraId="7D1A5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E95B12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0513938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2.业务完整性管控</w:t>
            </w:r>
          </w:p>
        </w:tc>
      </w:tr>
      <w:tr w14:paraId="7D9AA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0A6035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7C89AB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6.会计政策和会计估计执行管控</w:t>
            </w:r>
          </w:p>
        </w:tc>
      </w:tr>
      <w:tr w14:paraId="6F87C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476950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E5AB11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7.会计政策和会计估计变更审批</w:t>
            </w:r>
          </w:p>
        </w:tc>
      </w:tr>
      <w:tr w14:paraId="47BB6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65293B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12584AF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8.会计不相容岗位管控</w:t>
            </w:r>
          </w:p>
        </w:tc>
      </w:tr>
      <w:tr w14:paraId="4D222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54E1D2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6E3C6A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9.会计岗位交接管控</w:t>
            </w:r>
          </w:p>
        </w:tc>
      </w:tr>
      <w:tr w14:paraId="17A7C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BF3B81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50A9E66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10.银行账户合规开立控制</w:t>
            </w:r>
          </w:p>
        </w:tc>
      </w:tr>
      <w:tr w14:paraId="38792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5F6684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2F7975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11.银行账户办理监控控制</w:t>
            </w:r>
          </w:p>
        </w:tc>
      </w:tr>
      <w:tr w14:paraId="6D902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B4947D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3029E83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12.商户号合规开立控制</w:t>
            </w:r>
          </w:p>
        </w:tc>
      </w:tr>
      <w:tr w14:paraId="4FC64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6C145C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537B32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13.商户号办理监控控制</w:t>
            </w:r>
          </w:p>
        </w:tc>
      </w:tr>
      <w:tr w14:paraId="29D3E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3DA113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1B31C98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14.数字钱包合规开立控制</w:t>
            </w:r>
          </w:p>
        </w:tc>
      </w:tr>
      <w:tr w14:paraId="34F67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0E12B3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DE3216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15.数字钱包监控控制</w:t>
            </w:r>
          </w:p>
        </w:tc>
      </w:tr>
      <w:tr w14:paraId="75101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815B30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6084ED4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16.银行账户变更及时性、必要性控制</w:t>
            </w:r>
          </w:p>
        </w:tc>
      </w:tr>
      <w:tr w14:paraId="02116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BCC4F1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587FC5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17.商户号变更及时性、必要性控制</w:t>
            </w:r>
          </w:p>
        </w:tc>
      </w:tr>
      <w:tr w14:paraId="6DA2A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34455E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992892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18.数字钱包变更及时性、必要性控制</w:t>
            </w:r>
          </w:p>
        </w:tc>
      </w:tr>
      <w:tr w14:paraId="610A1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1936CC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F9B36F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19.银行账户注销及时性、规范性控制</w:t>
            </w:r>
          </w:p>
        </w:tc>
      </w:tr>
      <w:tr w14:paraId="2C4E0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E3F9CA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45A202B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20.商户号注销及时性、规范性控制</w:t>
            </w:r>
          </w:p>
        </w:tc>
      </w:tr>
      <w:tr w14:paraId="4F843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80002D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18B2398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21.数字钱包注销及时性、规范性控制</w:t>
            </w:r>
          </w:p>
        </w:tc>
      </w:tr>
      <w:tr w14:paraId="2039C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1BDD0F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43C3D79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22.账户完整性管控</w:t>
            </w:r>
          </w:p>
        </w:tc>
      </w:tr>
      <w:tr w14:paraId="48ADF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90B05F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160835D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24.预算决策程序审核</w:t>
            </w:r>
          </w:p>
        </w:tc>
      </w:tr>
      <w:tr w14:paraId="5A708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910FCB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05CA1FD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25.资源配置精准性管控</w:t>
            </w:r>
          </w:p>
        </w:tc>
      </w:tr>
      <w:tr w14:paraId="2DC57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7EE5F0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42A5575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26.预算执行情况分析</w:t>
            </w:r>
          </w:p>
        </w:tc>
      </w:tr>
      <w:tr w14:paraId="17A04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60B368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A1027F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27.各会计科目、项目预算系统编制及控制</w:t>
            </w:r>
          </w:p>
        </w:tc>
      </w:tr>
      <w:tr w14:paraId="0D5B3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A5BAB0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5B4C3EA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28.重点单项费用预算编制及控制</w:t>
            </w:r>
          </w:p>
        </w:tc>
      </w:tr>
      <w:tr w14:paraId="67464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AA10D7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0A610F0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29.项目可研经济性、财务合规性检查</w:t>
            </w:r>
          </w:p>
        </w:tc>
      </w:tr>
      <w:tr w14:paraId="591CF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5E91EF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047034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30.项目预算执行控制</w:t>
            </w:r>
          </w:p>
        </w:tc>
      </w:tr>
      <w:tr w14:paraId="3B17B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07DC76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F64639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31.预算编制与输配电成本一致性审核</w:t>
            </w:r>
          </w:p>
        </w:tc>
      </w:tr>
      <w:tr w14:paraId="2A5F5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F79F98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4CA39CE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32.售电收入管控</w:t>
            </w:r>
          </w:p>
        </w:tc>
      </w:tr>
      <w:tr w14:paraId="54999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7AA041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8AB934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33.非电收入管控</w:t>
            </w:r>
          </w:p>
        </w:tc>
      </w:tr>
      <w:tr w14:paraId="10316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2C1016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195C53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34.成本真实性管控</w:t>
            </w:r>
          </w:p>
        </w:tc>
      </w:tr>
      <w:tr w14:paraId="1F83B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CFBEDE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734D38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35.成本合规性、完整性管控</w:t>
            </w:r>
          </w:p>
        </w:tc>
      </w:tr>
      <w:tr w14:paraId="39A5E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7F28E6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614714C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36.收入成本匹配性管控</w:t>
            </w:r>
          </w:p>
        </w:tc>
      </w:tr>
      <w:tr w14:paraId="631CF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D044BD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4F70AAE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37.往来挂账规范性管控</w:t>
            </w:r>
          </w:p>
        </w:tc>
      </w:tr>
      <w:tr w14:paraId="05230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3EB423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02A9EE2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38.往来清账及时性管控</w:t>
            </w:r>
          </w:p>
        </w:tc>
      </w:tr>
      <w:tr w14:paraId="6B21C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981331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104167E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39.往来对账规范性管控</w:t>
            </w:r>
          </w:p>
        </w:tc>
      </w:tr>
      <w:tr w14:paraId="1CB21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F6ED10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34FC3E2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40.长期挂账款项管理</w:t>
            </w:r>
          </w:p>
        </w:tc>
      </w:tr>
      <w:tr w14:paraId="3C5A1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D7A554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4F234B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41.坏账准备及往来款项处置管理</w:t>
            </w:r>
          </w:p>
        </w:tc>
      </w:tr>
      <w:tr w14:paraId="1D828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3809B7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62E4C9D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42.税基溯源管理控制</w:t>
            </w:r>
          </w:p>
        </w:tc>
      </w:tr>
      <w:tr w14:paraId="10B87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C24997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572E767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43.发票合规管理控制</w:t>
            </w:r>
          </w:p>
        </w:tc>
      </w:tr>
      <w:tr w14:paraId="16243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915068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3A970AA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44.合规纳税申报控制</w:t>
            </w:r>
          </w:p>
        </w:tc>
      </w:tr>
      <w:tr w14:paraId="2D327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AEBE35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5C3B821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45.现金收费解缴控制</w:t>
            </w:r>
          </w:p>
        </w:tc>
      </w:tr>
      <w:tr w14:paraId="03AAF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8C4838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50EFB6B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46.账户资金到账确认控制</w:t>
            </w:r>
          </w:p>
        </w:tc>
      </w:tr>
      <w:tr w14:paraId="1080A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A8221D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44DDEC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47.应收票据可靠性、合规性管控</w:t>
            </w:r>
          </w:p>
        </w:tc>
      </w:tr>
      <w:tr w14:paraId="6DD04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31DEDA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61F4316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48.资金支付审批权限控制</w:t>
            </w:r>
          </w:p>
        </w:tc>
      </w:tr>
      <w:tr w14:paraId="1CEA8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5BD628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7C6D84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49.传统结算事前审批控制</w:t>
            </w:r>
          </w:p>
        </w:tc>
      </w:tr>
      <w:tr w14:paraId="4F00E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2F209C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4182DA2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50.付款结算合规性控制</w:t>
            </w:r>
          </w:p>
        </w:tc>
      </w:tr>
      <w:tr w14:paraId="28C47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7C2394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5EFE763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52.保函合规性控制</w:t>
            </w:r>
          </w:p>
        </w:tc>
      </w:tr>
      <w:tr w14:paraId="3313D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664548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491DD7E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53.银企对账及时性、准确性控制</w:t>
            </w:r>
          </w:p>
        </w:tc>
      </w:tr>
      <w:tr w14:paraId="33891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E11021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144B6B7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54.数字钱包“零余额”控制</w:t>
            </w:r>
          </w:p>
        </w:tc>
      </w:tr>
      <w:tr w14:paraId="49A86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506304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E7FB18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57.密钥新增配置控制</w:t>
            </w:r>
          </w:p>
        </w:tc>
      </w:tr>
      <w:tr w14:paraId="4E75B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5A44B9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016CD95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58.网银权限配置控制</w:t>
            </w:r>
          </w:p>
        </w:tc>
      </w:tr>
      <w:tr w14:paraId="36D10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7BBBD7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557A40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59.密钥变更合规性控制</w:t>
            </w:r>
          </w:p>
        </w:tc>
      </w:tr>
      <w:tr w14:paraId="203A6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07BD5B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63DC969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60.密钥注销合规性控制</w:t>
            </w:r>
          </w:p>
        </w:tc>
      </w:tr>
      <w:tr w14:paraId="02867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119044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D87CA8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61.密钥授权使用控制</w:t>
            </w:r>
          </w:p>
        </w:tc>
      </w:tr>
      <w:tr w14:paraId="212DF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E1BAD3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5E3F5B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62.密钥账实盘点一致性控制</w:t>
            </w:r>
          </w:p>
        </w:tc>
      </w:tr>
      <w:tr w14:paraId="7BEF8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9CD780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56D6C2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63.密钥交接手续规范性控制</w:t>
            </w:r>
          </w:p>
        </w:tc>
      </w:tr>
      <w:tr w14:paraId="652E4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DC88A8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5FBC4DF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64.印鉴新增配置</w:t>
            </w:r>
          </w:p>
        </w:tc>
      </w:tr>
      <w:tr w14:paraId="1F70B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3C8567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6D6DE9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65.印鉴变更合规性控制</w:t>
            </w:r>
          </w:p>
        </w:tc>
      </w:tr>
      <w:tr w14:paraId="06833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5EDA70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4928DF0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66.印鉴注销合规性控制</w:t>
            </w:r>
          </w:p>
        </w:tc>
      </w:tr>
      <w:tr w14:paraId="4CAE9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AB5299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489B919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67.印鉴授权使用控制</w:t>
            </w:r>
          </w:p>
        </w:tc>
      </w:tr>
      <w:tr w14:paraId="07E78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0A02F9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2CED6A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68.印鉴交接手续规范性控制</w:t>
            </w:r>
          </w:p>
        </w:tc>
      </w:tr>
      <w:tr w14:paraId="2B233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DBE4A9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4346BCF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74.关联交易协同管控</w:t>
            </w:r>
          </w:p>
        </w:tc>
      </w:tr>
      <w:tr w14:paraId="6F7C9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0616B1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07D3D78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75.期末结账规范性管控</w:t>
            </w:r>
          </w:p>
        </w:tc>
      </w:tr>
      <w:tr w14:paraId="3F54B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9E909A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6BD4B39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76.银行账户余额准确性管控</w:t>
            </w:r>
          </w:p>
        </w:tc>
      </w:tr>
      <w:tr w14:paraId="70442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E357EB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1E1B985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77.资产账实一致性核查</w:t>
            </w:r>
          </w:p>
        </w:tc>
      </w:tr>
      <w:tr w14:paraId="111B1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6A5BA3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0A05FA7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78.期初调整规范性管控</w:t>
            </w:r>
          </w:p>
        </w:tc>
      </w:tr>
      <w:tr w14:paraId="48D45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0529A8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0E0FD8F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79.财务报告编报及报出</w:t>
            </w:r>
          </w:p>
        </w:tc>
      </w:tr>
      <w:tr w14:paraId="647A4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9EDB1A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764E094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80.投入产出分析评价</w:t>
            </w:r>
          </w:p>
        </w:tc>
      </w:tr>
      <w:tr w14:paraId="480C0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AE291B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FDEC81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82.会计档案归档</w:t>
            </w:r>
          </w:p>
        </w:tc>
      </w:tr>
      <w:tr w14:paraId="0B766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1AF91D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4988573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83.无纸化存档管控</w:t>
            </w:r>
          </w:p>
        </w:tc>
      </w:tr>
      <w:tr w14:paraId="5443A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22B6B7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3672280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84.税务档案归档控制</w:t>
            </w:r>
          </w:p>
        </w:tc>
      </w:tr>
      <w:tr w14:paraId="658FC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04BB60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财务管理</w:t>
            </w:r>
          </w:p>
        </w:tc>
        <w:tc>
          <w:tcPr>
            <w:tcW w:w="3270" w:type="pct"/>
            <w:tcBorders>
              <w:top w:val="nil"/>
              <w:left w:val="nil"/>
              <w:bottom w:val="single" w:color="auto" w:sz="4" w:space="0"/>
              <w:right w:val="single" w:color="auto" w:sz="4" w:space="0"/>
            </w:tcBorders>
            <w:shd w:val="clear" w:color="auto" w:fill="FFFFFF"/>
            <w:noWrap/>
            <w:vAlign w:val="center"/>
          </w:tcPr>
          <w:p w14:paraId="2D087E0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86.资金归集合规性管控</w:t>
            </w:r>
          </w:p>
        </w:tc>
      </w:tr>
      <w:tr w14:paraId="708B2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D8BF0E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25C005A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1.统一合同文本审查</w:t>
            </w:r>
          </w:p>
        </w:tc>
      </w:tr>
      <w:tr w14:paraId="58842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C93E0A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4CDED2D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2.合同对方当事人资信审查</w:t>
            </w:r>
          </w:p>
        </w:tc>
      </w:tr>
      <w:tr w14:paraId="79292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5AA818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37EC287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3.合同关键信息一致性管控</w:t>
            </w:r>
          </w:p>
        </w:tc>
      </w:tr>
      <w:tr w14:paraId="28A8E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3201F1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464F2C6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4.分包业务合同管控</w:t>
            </w:r>
          </w:p>
        </w:tc>
      </w:tr>
      <w:tr w14:paraId="41421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6E1947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7F1FA48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5.贸易业务合同管控</w:t>
            </w:r>
          </w:p>
        </w:tc>
      </w:tr>
      <w:tr w14:paraId="1D0FF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05BEBC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7A01C99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6.合同会签流转管控</w:t>
            </w:r>
          </w:p>
        </w:tc>
      </w:tr>
      <w:tr w14:paraId="7BD9F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76F140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461868A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7.合同签署授权管控</w:t>
            </w:r>
          </w:p>
        </w:tc>
      </w:tr>
      <w:tr w14:paraId="70051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519B58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708988C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8.数字化法治平台审定版本与线下盖章版本一致性审查</w:t>
            </w:r>
          </w:p>
        </w:tc>
      </w:tr>
      <w:tr w14:paraId="18CEB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B4D551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08E9F9A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9.合同用印管控</w:t>
            </w:r>
          </w:p>
        </w:tc>
      </w:tr>
      <w:tr w14:paraId="35361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3A6649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5018200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10.合同未签先履管控</w:t>
            </w:r>
          </w:p>
        </w:tc>
      </w:tr>
      <w:tr w14:paraId="7EAB0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271058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68502FF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11.框架合同履约管控</w:t>
            </w:r>
          </w:p>
        </w:tc>
      </w:tr>
      <w:tr w14:paraId="235FD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632365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77DCB76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12.合同成果真实性管控</w:t>
            </w:r>
          </w:p>
        </w:tc>
      </w:tr>
      <w:tr w14:paraId="34366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38E870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27FD56D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13.合同款项支付管控</w:t>
            </w:r>
          </w:p>
        </w:tc>
      </w:tr>
      <w:tr w14:paraId="7EACE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C70E61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合同管理</w:t>
            </w:r>
          </w:p>
        </w:tc>
        <w:tc>
          <w:tcPr>
            <w:tcW w:w="3270" w:type="pct"/>
            <w:tcBorders>
              <w:top w:val="nil"/>
              <w:left w:val="nil"/>
              <w:bottom w:val="single" w:color="auto" w:sz="4" w:space="0"/>
              <w:right w:val="single" w:color="auto" w:sz="4" w:space="0"/>
            </w:tcBorders>
            <w:shd w:val="clear" w:color="auto" w:fill="FFFFFF"/>
            <w:noWrap/>
            <w:vAlign w:val="center"/>
          </w:tcPr>
          <w:p w14:paraId="36295B7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14.合同变更或解除管控</w:t>
            </w:r>
          </w:p>
        </w:tc>
      </w:tr>
      <w:tr w14:paraId="087EC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FEE69D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特高压建设</w:t>
            </w:r>
          </w:p>
        </w:tc>
        <w:tc>
          <w:tcPr>
            <w:tcW w:w="3270" w:type="pct"/>
            <w:tcBorders>
              <w:top w:val="nil"/>
              <w:left w:val="nil"/>
              <w:bottom w:val="single" w:color="auto" w:sz="4" w:space="0"/>
              <w:right w:val="single" w:color="auto" w:sz="4" w:space="0"/>
            </w:tcBorders>
            <w:shd w:val="clear" w:color="auto" w:fill="FFFFFF"/>
            <w:noWrap/>
            <w:vAlign w:val="center"/>
          </w:tcPr>
          <w:p w14:paraId="1F4A1BC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6.服务采购计划与项目需求匹配</w:t>
            </w:r>
          </w:p>
        </w:tc>
      </w:tr>
      <w:tr w14:paraId="47BD2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5B56E9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特高压建设</w:t>
            </w:r>
          </w:p>
        </w:tc>
        <w:tc>
          <w:tcPr>
            <w:tcW w:w="3270" w:type="pct"/>
            <w:tcBorders>
              <w:top w:val="nil"/>
              <w:left w:val="nil"/>
              <w:bottom w:val="single" w:color="auto" w:sz="4" w:space="0"/>
              <w:right w:val="single" w:color="auto" w:sz="4" w:space="0"/>
            </w:tcBorders>
            <w:shd w:val="clear" w:color="auto" w:fill="FFFFFF"/>
            <w:noWrap/>
            <w:vAlign w:val="center"/>
          </w:tcPr>
          <w:p w14:paraId="276236B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7.服务合同关键条款审核</w:t>
            </w:r>
          </w:p>
        </w:tc>
      </w:tr>
      <w:tr w14:paraId="6813D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EC34EA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特高压建设</w:t>
            </w:r>
          </w:p>
        </w:tc>
        <w:tc>
          <w:tcPr>
            <w:tcW w:w="3270" w:type="pct"/>
            <w:tcBorders>
              <w:top w:val="nil"/>
              <w:left w:val="nil"/>
              <w:bottom w:val="single" w:color="auto" w:sz="4" w:space="0"/>
              <w:right w:val="single" w:color="auto" w:sz="4" w:space="0"/>
            </w:tcBorders>
            <w:shd w:val="clear" w:color="auto" w:fill="FFFFFF"/>
            <w:noWrap/>
            <w:vAlign w:val="center"/>
          </w:tcPr>
          <w:p w14:paraId="2B05F4B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13.服务类合同成本报账与服务进度、合同进度一致性审核</w:t>
            </w:r>
          </w:p>
        </w:tc>
      </w:tr>
      <w:tr w14:paraId="6FAFD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F57ACA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数科平台业务</w:t>
            </w:r>
          </w:p>
        </w:tc>
        <w:tc>
          <w:tcPr>
            <w:tcW w:w="3270" w:type="pct"/>
            <w:tcBorders>
              <w:top w:val="nil"/>
              <w:left w:val="nil"/>
              <w:bottom w:val="single" w:color="auto" w:sz="4" w:space="0"/>
              <w:right w:val="single" w:color="auto" w:sz="4" w:space="0"/>
            </w:tcBorders>
            <w:shd w:val="clear" w:color="auto" w:fill="FFFFFF"/>
            <w:noWrap/>
            <w:vAlign w:val="center"/>
          </w:tcPr>
          <w:p w14:paraId="05AC0A9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1.差旅标准执行及差旅规则管控</w:t>
            </w:r>
          </w:p>
        </w:tc>
      </w:tr>
      <w:tr w14:paraId="3D297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4EB323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数科平台业务</w:t>
            </w:r>
          </w:p>
        </w:tc>
        <w:tc>
          <w:tcPr>
            <w:tcW w:w="3270" w:type="pct"/>
            <w:tcBorders>
              <w:top w:val="nil"/>
              <w:left w:val="nil"/>
              <w:bottom w:val="single" w:color="auto" w:sz="4" w:space="0"/>
              <w:right w:val="single" w:color="auto" w:sz="4" w:space="0"/>
            </w:tcBorders>
            <w:shd w:val="clear" w:color="auto" w:fill="FFFFFF"/>
            <w:noWrap/>
            <w:vAlign w:val="center"/>
          </w:tcPr>
          <w:p w14:paraId="39DFDCF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2.差旅业务功能配置控制</w:t>
            </w:r>
          </w:p>
        </w:tc>
      </w:tr>
      <w:tr w14:paraId="5C640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F31C33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数科平台业务</w:t>
            </w:r>
          </w:p>
        </w:tc>
        <w:tc>
          <w:tcPr>
            <w:tcW w:w="3270" w:type="pct"/>
            <w:tcBorders>
              <w:top w:val="nil"/>
              <w:left w:val="nil"/>
              <w:bottom w:val="single" w:color="auto" w:sz="4" w:space="0"/>
              <w:right w:val="single" w:color="auto" w:sz="4" w:space="0"/>
            </w:tcBorders>
            <w:shd w:val="clear" w:color="auto" w:fill="FFFFFF"/>
            <w:noWrap/>
            <w:vAlign w:val="center"/>
          </w:tcPr>
          <w:p w14:paraId="0BC376F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3.资源在线预订规则控制</w:t>
            </w:r>
          </w:p>
        </w:tc>
      </w:tr>
      <w:tr w14:paraId="54F41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811577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数科平台业务</w:t>
            </w:r>
          </w:p>
        </w:tc>
        <w:tc>
          <w:tcPr>
            <w:tcW w:w="3270" w:type="pct"/>
            <w:tcBorders>
              <w:top w:val="nil"/>
              <w:left w:val="nil"/>
              <w:bottom w:val="single" w:color="auto" w:sz="4" w:space="0"/>
              <w:right w:val="single" w:color="auto" w:sz="4" w:space="0"/>
            </w:tcBorders>
            <w:shd w:val="clear" w:color="auto" w:fill="FFFFFF"/>
            <w:noWrap/>
            <w:vAlign w:val="center"/>
          </w:tcPr>
          <w:p w14:paraId="584E75D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4.资源谈判及引入流程签约</w:t>
            </w:r>
          </w:p>
        </w:tc>
      </w:tr>
      <w:tr w14:paraId="2EF21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062E7F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数科平台业务</w:t>
            </w:r>
          </w:p>
        </w:tc>
        <w:tc>
          <w:tcPr>
            <w:tcW w:w="3270" w:type="pct"/>
            <w:tcBorders>
              <w:top w:val="nil"/>
              <w:left w:val="nil"/>
              <w:bottom w:val="single" w:color="auto" w:sz="4" w:space="0"/>
              <w:right w:val="single" w:color="auto" w:sz="4" w:space="0"/>
            </w:tcBorders>
            <w:shd w:val="clear" w:color="auto" w:fill="FFFFFF"/>
            <w:noWrap/>
            <w:vAlign w:val="center"/>
          </w:tcPr>
          <w:p w14:paraId="4A10BD1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5.酒店资源入驻上架管控</w:t>
            </w:r>
          </w:p>
        </w:tc>
      </w:tr>
      <w:tr w14:paraId="0A9D3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5AC1FE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数科平台业务</w:t>
            </w:r>
          </w:p>
        </w:tc>
        <w:tc>
          <w:tcPr>
            <w:tcW w:w="3270" w:type="pct"/>
            <w:tcBorders>
              <w:top w:val="nil"/>
              <w:left w:val="nil"/>
              <w:bottom w:val="single" w:color="auto" w:sz="4" w:space="0"/>
              <w:right w:val="single" w:color="auto" w:sz="4" w:space="0"/>
            </w:tcBorders>
            <w:shd w:val="clear" w:color="auto" w:fill="FFFFFF"/>
            <w:noWrap/>
            <w:vAlign w:val="center"/>
          </w:tcPr>
          <w:p w14:paraId="6A8C5EF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9.商品价格管控</w:t>
            </w:r>
          </w:p>
        </w:tc>
      </w:tr>
      <w:tr w14:paraId="1D85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92EC60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数科平台业务</w:t>
            </w:r>
          </w:p>
        </w:tc>
        <w:tc>
          <w:tcPr>
            <w:tcW w:w="3270" w:type="pct"/>
            <w:tcBorders>
              <w:top w:val="nil"/>
              <w:left w:val="nil"/>
              <w:bottom w:val="single" w:color="auto" w:sz="4" w:space="0"/>
              <w:right w:val="single" w:color="auto" w:sz="4" w:space="0"/>
            </w:tcBorders>
            <w:shd w:val="clear" w:color="auto" w:fill="FFFFFF"/>
            <w:noWrap/>
            <w:vAlign w:val="center"/>
          </w:tcPr>
          <w:p w14:paraId="21AF33D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11.到货验收及出入库管理</w:t>
            </w:r>
          </w:p>
        </w:tc>
      </w:tr>
      <w:tr w14:paraId="4DA73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C059DB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数科平台业务</w:t>
            </w:r>
          </w:p>
        </w:tc>
        <w:tc>
          <w:tcPr>
            <w:tcW w:w="3270" w:type="pct"/>
            <w:tcBorders>
              <w:top w:val="nil"/>
              <w:left w:val="nil"/>
              <w:bottom w:val="single" w:color="auto" w:sz="4" w:space="0"/>
              <w:right w:val="single" w:color="auto" w:sz="4" w:space="0"/>
            </w:tcBorders>
            <w:shd w:val="clear" w:color="auto" w:fill="FFFFFF"/>
            <w:noWrap/>
            <w:vAlign w:val="center"/>
          </w:tcPr>
          <w:p w14:paraId="7F51557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12.支付结算管理</w:t>
            </w:r>
          </w:p>
        </w:tc>
      </w:tr>
      <w:tr w14:paraId="481B4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ED40A1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3610E2B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1.项目维护</w:t>
            </w:r>
          </w:p>
        </w:tc>
      </w:tr>
      <w:tr w14:paraId="76301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23D6F7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62362B7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2.成本测算</w:t>
            </w:r>
          </w:p>
        </w:tc>
      </w:tr>
      <w:tr w14:paraId="2B491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6C5269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2F4710D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3.合同审批</w:t>
            </w:r>
          </w:p>
        </w:tc>
      </w:tr>
      <w:tr w14:paraId="4AFC4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AB689E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217E285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4.履约管控</w:t>
            </w:r>
          </w:p>
        </w:tc>
      </w:tr>
      <w:tr w14:paraId="1CFDF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91AD0E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5486BED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5.履约评价</w:t>
            </w:r>
          </w:p>
        </w:tc>
      </w:tr>
      <w:tr w14:paraId="5A5EC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B4CC9E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626AE22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6.付款结算</w:t>
            </w:r>
          </w:p>
        </w:tc>
      </w:tr>
      <w:tr w14:paraId="53640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C98888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170FF5F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7.代垫水电费</w:t>
            </w:r>
          </w:p>
        </w:tc>
      </w:tr>
      <w:tr w14:paraId="5C617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44C616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01D03CB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8.岗位设置</w:t>
            </w:r>
          </w:p>
        </w:tc>
      </w:tr>
      <w:tr w14:paraId="4C350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C5753A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3C880F4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9.供应商履约评价</w:t>
            </w:r>
          </w:p>
        </w:tc>
      </w:tr>
      <w:tr w14:paraId="091DF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91FEEC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0C89187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10.到货验收</w:t>
            </w:r>
          </w:p>
        </w:tc>
      </w:tr>
      <w:tr w14:paraId="17AB9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E1CD19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4E690E3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11.领用出库</w:t>
            </w:r>
          </w:p>
        </w:tc>
      </w:tr>
      <w:tr w14:paraId="0ADCC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A0CA3D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1377051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12.库存盘点</w:t>
            </w:r>
          </w:p>
        </w:tc>
      </w:tr>
      <w:tr w14:paraId="5E101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B383FB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0EF575B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13.出租定价</w:t>
            </w:r>
          </w:p>
        </w:tc>
      </w:tr>
      <w:tr w14:paraId="67650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B047C5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32B4663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14.出租审批</w:t>
            </w:r>
          </w:p>
        </w:tc>
      </w:tr>
      <w:tr w14:paraId="6A4AD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72574A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69ADBE4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15.房产租赁合同签订</w:t>
            </w:r>
          </w:p>
        </w:tc>
      </w:tr>
      <w:tr w14:paraId="0B779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78A968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49F6A2D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16.房屋到期收回</w:t>
            </w:r>
          </w:p>
        </w:tc>
      </w:tr>
      <w:tr w14:paraId="672A2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E3547E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4638460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17.税费计缴</w:t>
            </w:r>
          </w:p>
        </w:tc>
      </w:tr>
      <w:tr w14:paraId="3B2AB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D9F878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物业后勤业务</w:t>
            </w:r>
          </w:p>
        </w:tc>
        <w:tc>
          <w:tcPr>
            <w:tcW w:w="3270" w:type="pct"/>
            <w:tcBorders>
              <w:top w:val="nil"/>
              <w:left w:val="nil"/>
              <w:bottom w:val="single" w:color="auto" w:sz="4" w:space="0"/>
              <w:right w:val="single" w:color="auto" w:sz="4" w:space="0"/>
            </w:tcBorders>
            <w:shd w:val="clear" w:color="auto" w:fill="FFFFFF"/>
            <w:noWrap/>
            <w:vAlign w:val="center"/>
          </w:tcPr>
          <w:p w14:paraId="5D885EF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18.租赁资产核算</w:t>
            </w:r>
          </w:p>
        </w:tc>
      </w:tr>
      <w:tr w14:paraId="50AA5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B05D1A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135C7F9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1.运维问题、需求收集、汇总</w:t>
            </w:r>
          </w:p>
        </w:tc>
      </w:tr>
      <w:tr w14:paraId="32758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DEA6FD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5EB4F44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2.项目必要性、经济性、技术方案合理性初步评审</w:t>
            </w:r>
          </w:p>
        </w:tc>
      </w:tr>
      <w:tr w14:paraId="41817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76FED3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7E65432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3.项目的必要性、经济性、技术方案合理性专业评审</w:t>
            </w:r>
          </w:p>
        </w:tc>
      </w:tr>
      <w:tr w14:paraId="30B7D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FBDE19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0E05E07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4.项目储备审查</w:t>
            </w:r>
          </w:p>
        </w:tc>
      </w:tr>
      <w:tr w14:paraId="38505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E45076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7616667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5.项目预算管控</w:t>
            </w:r>
          </w:p>
        </w:tc>
      </w:tr>
      <w:tr w14:paraId="0C995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C5AC13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4CAE888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6.项目服务采购</w:t>
            </w:r>
          </w:p>
        </w:tc>
      </w:tr>
      <w:tr w14:paraId="6BA74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84BC66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4B01D69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7.供应商匹配</w:t>
            </w:r>
          </w:p>
        </w:tc>
      </w:tr>
      <w:tr w14:paraId="78C9D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78A57C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20BEDDB2">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8.项目合同起草、会签</w:t>
            </w:r>
          </w:p>
        </w:tc>
      </w:tr>
      <w:tr w14:paraId="7E171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1CFA62F">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29BA733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9.施工（设计）方案评审</w:t>
            </w:r>
          </w:p>
        </w:tc>
      </w:tr>
      <w:tr w14:paraId="174AA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8F60F3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2D5471D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10.设计变更审批</w:t>
            </w:r>
          </w:p>
        </w:tc>
      </w:tr>
      <w:tr w14:paraId="71848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62795E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00A3A8E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11.项目监理履职控制</w:t>
            </w:r>
          </w:p>
        </w:tc>
      </w:tr>
      <w:tr w14:paraId="22EF3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1BD8D68">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68D6221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12.项目完工验收</w:t>
            </w:r>
          </w:p>
        </w:tc>
      </w:tr>
      <w:tr w14:paraId="10C77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38F64A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5617222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13.项目验收评价</w:t>
            </w:r>
          </w:p>
        </w:tc>
      </w:tr>
      <w:tr w14:paraId="0B41B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70EAB7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6FD3AE0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14.物资采购申请审核</w:t>
            </w:r>
          </w:p>
        </w:tc>
      </w:tr>
      <w:tr w14:paraId="34567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774B16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6D93F8F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15.物资入账</w:t>
            </w:r>
          </w:p>
        </w:tc>
      </w:tr>
      <w:tr w14:paraId="2ABB7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67C4CAE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59EDB8D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16.物资现场到货验收</w:t>
            </w:r>
          </w:p>
        </w:tc>
      </w:tr>
      <w:tr w14:paraId="0941B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69410A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608316F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17.项目结算审核审计</w:t>
            </w:r>
          </w:p>
        </w:tc>
      </w:tr>
      <w:tr w14:paraId="451C6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A436B7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781C07E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18.项目合同签订</w:t>
            </w:r>
          </w:p>
        </w:tc>
      </w:tr>
      <w:tr w14:paraId="3FFA5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EC2D66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13340A1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19.项目结算审核</w:t>
            </w:r>
          </w:p>
        </w:tc>
      </w:tr>
      <w:tr w14:paraId="6FDB8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C95814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79A4E9D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20.项目结算控制</w:t>
            </w:r>
          </w:p>
        </w:tc>
      </w:tr>
      <w:tr w14:paraId="50360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F39C064">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58626FA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21.项目成本报销</w:t>
            </w:r>
          </w:p>
        </w:tc>
      </w:tr>
      <w:tr w14:paraId="71235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2ADA7D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10B63015">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22.项目工程款支付</w:t>
            </w:r>
          </w:p>
        </w:tc>
      </w:tr>
      <w:tr w14:paraId="65C04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39B29A4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检修运维成本项目全流程管理</w:t>
            </w:r>
          </w:p>
        </w:tc>
        <w:tc>
          <w:tcPr>
            <w:tcW w:w="3270" w:type="pct"/>
            <w:tcBorders>
              <w:top w:val="nil"/>
              <w:left w:val="nil"/>
              <w:bottom w:val="single" w:color="auto" w:sz="4" w:space="0"/>
              <w:right w:val="single" w:color="auto" w:sz="4" w:space="0"/>
            </w:tcBorders>
            <w:shd w:val="clear" w:color="auto" w:fill="FFFFFF"/>
            <w:noWrap/>
            <w:vAlign w:val="center"/>
          </w:tcPr>
          <w:p w14:paraId="253E6F36">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23.项目质保金支付</w:t>
            </w:r>
          </w:p>
        </w:tc>
      </w:tr>
      <w:tr w14:paraId="47A01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04A165B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违章罚款收入管理</w:t>
            </w:r>
          </w:p>
        </w:tc>
        <w:tc>
          <w:tcPr>
            <w:tcW w:w="3270" w:type="pct"/>
            <w:tcBorders>
              <w:top w:val="nil"/>
              <w:left w:val="nil"/>
              <w:bottom w:val="single" w:color="auto" w:sz="4" w:space="0"/>
              <w:right w:val="single" w:color="auto" w:sz="4" w:space="0"/>
            </w:tcBorders>
            <w:shd w:val="clear" w:color="auto" w:fill="FFFFFF"/>
            <w:noWrap/>
            <w:vAlign w:val="center"/>
          </w:tcPr>
          <w:p w14:paraId="186B8010">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1.违章业务准确性审核</w:t>
            </w:r>
          </w:p>
        </w:tc>
      </w:tr>
      <w:tr w14:paraId="25333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7C8804A">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违章罚款收入管理</w:t>
            </w:r>
          </w:p>
        </w:tc>
        <w:tc>
          <w:tcPr>
            <w:tcW w:w="3270" w:type="pct"/>
            <w:tcBorders>
              <w:top w:val="nil"/>
              <w:left w:val="nil"/>
              <w:bottom w:val="single" w:color="auto" w:sz="4" w:space="0"/>
              <w:right w:val="single" w:color="auto" w:sz="4" w:space="0"/>
            </w:tcBorders>
            <w:shd w:val="clear" w:color="auto" w:fill="FFFFFF"/>
            <w:noWrap/>
            <w:vAlign w:val="center"/>
          </w:tcPr>
          <w:p w14:paraId="7E36ABD7">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2.风控系统信息录入</w:t>
            </w:r>
          </w:p>
        </w:tc>
      </w:tr>
      <w:tr w14:paraId="25304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17BE38CD">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违章罚款收入管理</w:t>
            </w:r>
          </w:p>
        </w:tc>
        <w:tc>
          <w:tcPr>
            <w:tcW w:w="3270" w:type="pct"/>
            <w:tcBorders>
              <w:top w:val="nil"/>
              <w:left w:val="nil"/>
              <w:bottom w:val="single" w:color="auto" w:sz="4" w:space="0"/>
              <w:right w:val="single" w:color="auto" w:sz="4" w:space="0"/>
            </w:tcBorders>
            <w:shd w:val="clear" w:color="auto" w:fill="FFFFFF"/>
            <w:noWrap/>
            <w:vAlign w:val="center"/>
          </w:tcPr>
          <w:p w14:paraId="40A6025B">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3.违章业务规范性审核</w:t>
            </w:r>
          </w:p>
        </w:tc>
      </w:tr>
      <w:tr w14:paraId="2CBFC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22D21E31">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违章罚款收入管理</w:t>
            </w:r>
          </w:p>
        </w:tc>
        <w:tc>
          <w:tcPr>
            <w:tcW w:w="3270" w:type="pct"/>
            <w:tcBorders>
              <w:top w:val="nil"/>
              <w:left w:val="nil"/>
              <w:bottom w:val="single" w:color="auto" w:sz="4" w:space="0"/>
              <w:right w:val="single" w:color="auto" w:sz="4" w:space="0"/>
            </w:tcBorders>
            <w:shd w:val="clear" w:color="auto" w:fill="FFFFFF"/>
            <w:noWrap/>
            <w:vAlign w:val="center"/>
          </w:tcPr>
          <w:p w14:paraId="29AEFC7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4.通知被考核人节点管控</w:t>
            </w:r>
          </w:p>
        </w:tc>
      </w:tr>
      <w:tr w14:paraId="2EA16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739A139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违章罚款收入管理</w:t>
            </w:r>
          </w:p>
        </w:tc>
        <w:tc>
          <w:tcPr>
            <w:tcW w:w="3270" w:type="pct"/>
            <w:tcBorders>
              <w:top w:val="nil"/>
              <w:left w:val="nil"/>
              <w:bottom w:val="single" w:color="auto" w:sz="4" w:space="0"/>
              <w:right w:val="single" w:color="auto" w:sz="4" w:space="0"/>
            </w:tcBorders>
            <w:shd w:val="clear" w:color="auto" w:fill="FFFFFF"/>
            <w:noWrap/>
            <w:vAlign w:val="center"/>
          </w:tcPr>
          <w:p w14:paraId="3B94C10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5.资金回收节点管控</w:t>
            </w:r>
          </w:p>
        </w:tc>
      </w:tr>
      <w:tr w14:paraId="0D33A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5433B87C">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违章罚款收入管理</w:t>
            </w:r>
          </w:p>
        </w:tc>
        <w:tc>
          <w:tcPr>
            <w:tcW w:w="3270" w:type="pct"/>
            <w:tcBorders>
              <w:top w:val="nil"/>
              <w:left w:val="nil"/>
              <w:bottom w:val="single" w:color="auto" w:sz="4" w:space="0"/>
              <w:right w:val="single" w:color="auto" w:sz="4" w:space="0"/>
            </w:tcBorders>
            <w:shd w:val="clear" w:color="auto" w:fill="FFFFFF"/>
            <w:noWrap/>
            <w:vAlign w:val="center"/>
          </w:tcPr>
          <w:p w14:paraId="25FBF103">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6.款项回收情况管控</w:t>
            </w:r>
          </w:p>
        </w:tc>
      </w:tr>
      <w:tr w14:paraId="05E24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9" w:type="pct"/>
            <w:tcBorders>
              <w:top w:val="nil"/>
              <w:left w:val="single" w:color="auto" w:sz="4" w:space="0"/>
              <w:bottom w:val="single" w:color="auto" w:sz="4" w:space="0"/>
              <w:right w:val="single" w:color="auto" w:sz="4" w:space="0"/>
            </w:tcBorders>
            <w:shd w:val="clear" w:color="auto" w:fill="FFFFFF"/>
            <w:noWrap/>
            <w:vAlign w:val="center"/>
          </w:tcPr>
          <w:p w14:paraId="492EBEA9">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违章罚款收入管理</w:t>
            </w:r>
          </w:p>
        </w:tc>
        <w:tc>
          <w:tcPr>
            <w:tcW w:w="3270" w:type="pct"/>
            <w:tcBorders>
              <w:top w:val="nil"/>
              <w:left w:val="nil"/>
              <w:bottom w:val="single" w:color="auto" w:sz="4" w:space="0"/>
              <w:right w:val="single" w:color="auto" w:sz="4" w:space="0"/>
            </w:tcBorders>
            <w:shd w:val="clear" w:color="auto" w:fill="FFFFFF"/>
            <w:noWrap/>
            <w:vAlign w:val="center"/>
          </w:tcPr>
          <w:p w14:paraId="6F7ACFDE">
            <w:pPr>
              <w:keepNext w:val="0"/>
              <w:keepLines w:val="0"/>
              <w:widowControl/>
              <w:suppressLineNumbers w:val="0"/>
              <w:spacing w:before="0" w:beforeAutospacing="0" w:after="0" w:afterAutospacing="0"/>
              <w:ind w:left="0" w:right="0"/>
              <w:jc w:val="left"/>
              <w:rPr>
                <w:rFonts w:hint="eastAsia" w:ascii="方正仿宋_GBK" w:hAnsi="等线" w:eastAsia="方正仿宋_GBK" w:cs="宋体"/>
                <w:color w:val="EE0000"/>
                <w:kern w:val="0"/>
                <w:sz w:val="22"/>
                <w:szCs w:val="22"/>
                <w:lang w:val="en-US"/>
                <w:woUserID w:val="3"/>
              </w:rPr>
            </w:pPr>
            <w:r>
              <w:rPr>
                <w:rFonts w:hint="eastAsia" w:ascii="方正仿宋_GBK" w:hAnsi="等线" w:eastAsia="方正仿宋_GBK" w:cs="宋体"/>
                <w:color w:val="EE0000"/>
                <w:kern w:val="0"/>
                <w:sz w:val="22"/>
                <w:szCs w:val="22"/>
                <w:lang w:val="en-US" w:eastAsia="zh-CN" w:bidi="ar"/>
                <w:woUserID w:val="3"/>
              </w:rPr>
              <w:t>7.违章考核业务账务管控</w:t>
            </w:r>
          </w:p>
        </w:tc>
      </w:tr>
    </w:tbl>
    <w:p w14:paraId="684381CD">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22"/>
          <w:lang w:val="en-US" w:eastAsia="zh-CN" w:bidi="ar"/>
          <w:woUserID w:val="3"/>
        </w:rPr>
      </w:pPr>
    </w:p>
    <w:p w14:paraId="621AB2BC">
      <w:pPr>
        <w:keepNext/>
        <w:keepLines/>
        <w:widowControl/>
        <w:snapToGrid w:val="0"/>
        <w:spacing w:before="0" w:after="0" w:line="560" w:lineRule="exact"/>
        <w:ind w:firstLine="640"/>
        <w:jc w:val="both"/>
        <w:outlineLvl w:val="0"/>
        <w:rPr>
          <w:rFonts w:ascii="Heiti SC" w:hAnsi="Heiti SC" w:eastAsia="Heiti SC" w:cs="Heiti SC"/>
          <w:bCs/>
          <w:color w:val="000000"/>
          <w:sz w:val="32"/>
          <w:szCs w:val="28"/>
          <w:lang w:val="zh-CN" w:eastAsia="zh-CN" w:bidi="ar-SA"/>
          <w:woUserID w:val="1"/>
        </w:rPr>
      </w:pPr>
      <w:r>
        <w:rPr>
          <w:rFonts w:ascii="Heiti SC" w:hAnsi="Heiti SC" w:eastAsia="Heiti SC" w:cs="Heiti SC"/>
          <w:bCs/>
          <w:color w:val="000000"/>
          <w:sz w:val="32"/>
          <w:szCs w:val="28"/>
          <w:lang w:val="zh-CN" w:eastAsia="zh-CN" w:bidi="ar-SA"/>
          <w:woUserID w:val="1"/>
        </w:rPr>
        <w:t>三、审核意见填写要求</w:t>
      </w:r>
    </w:p>
    <w:p w14:paraId="4BC59A83">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（一）统一追加审核意见列</w:t>
      </w:r>
    </w:p>
    <w:p w14:paraId="063569D2">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2880488C">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有问题填写具体问题，没有问题保持单元格为空，不填写“通过”“正常”“无问题”“不适用”或“未审核”等文字。本期不审核及不适用的检查不产生意见；缺件、字段缺失、归属不明等导致无法检查的，应明确写出缺失内容或事项，避免以空白掩盖问题。</w:t>
      </w:r>
    </w:p>
    <w:p w14:paraId="774EE816">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（二）按问题位置对应填写</w:t>
      </w:r>
    </w:p>
    <w:p w14:paraId="7216AF20">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38996378">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（三）明确资料级问题承载位置</w:t>
      </w:r>
    </w:p>
    <w:p w14:paraId="41FA8E8A">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528E3151">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52C43194">
      <w:pPr>
        <w:keepNext/>
        <w:keepLines/>
        <w:widowControl/>
        <w:snapToGrid w:val="0"/>
        <w:spacing w:before="0" w:after="0" w:line="560" w:lineRule="exact"/>
        <w:ind w:firstLine="640"/>
        <w:jc w:val="both"/>
        <w:outlineLvl w:val="1"/>
        <w:rPr>
          <w:rFonts w:ascii="华文楷体" w:hAnsi="华文楷体" w:eastAsia="华文楷体" w:cs="华文楷体"/>
          <w:b/>
          <w:bCs/>
          <w:color w:val="000000"/>
          <w:sz w:val="32"/>
          <w:szCs w:val="26"/>
          <w:lang w:val="zh-CN" w:eastAsia="zh-CN" w:bidi="ar-SA"/>
          <w:woUserID w:val="1"/>
        </w:rPr>
      </w:pPr>
      <w:r>
        <w:rPr>
          <w:rFonts w:ascii="华文楷体" w:hAnsi="华文楷体" w:eastAsia="华文楷体" w:cs="华文楷体"/>
          <w:b/>
          <w:bCs/>
          <w:color w:val="000000"/>
          <w:sz w:val="32"/>
          <w:szCs w:val="26"/>
          <w:lang w:val="zh-CN" w:eastAsia="zh-CN" w:bidi="ar-SA"/>
          <w:woUserID w:val="1"/>
        </w:rPr>
        <w:t>（四）统一意见表述和更新方式</w:t>
      </w:r>
    </w:p>
    <w:p w14:paraId="49418FFD">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意见应说明适用规则、实际问题及需补充或核实的事项。问题使用“”表述，不直接写成已确认错误。涉及其他主体时必须写明主体名称，避免将县公司问题误记为市公司本部问题。</w:t>
      </w:r>
    </w:p>
    <w:p w14:paraId="2694C87D">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4A430863">
      <w:pPr>
        <w:widowControl/>
        <w:snapToGrid w:val="0"/>
        <w:spacing w:before="0" w:after="0" w:line="560" w:lineRule="exact"/>
        <w:ind w:firstLine="640"/>
        <w:rPr>
          <w:rFonts w:ascii="华文仿宋" w:hAnsi="华文仿宋" w:eastAsia="华文仿宋" w:cs="华文仿宋"/>
          <w:color w:val="000000"/>
          <w:kern w:val="0"/>
          <w:sz w:val="32"/>
          <w:szCs w:val="22"/>
          <w:lang w:val="zh-CN"/>
          <w:woUserID w:val="1"/>
        </w:rPr>
      </w:pPr>
      <w:r>
        <w:rPr>
          <w:rFonts w:ascii="华文仿宋" w:hAnsi="华文仿宋" w:eastAsia="华文仿宋" w:cs="华文仿宋"/>
          <w:color w:val="000000"/>
          <w:kern w:val="0"/>
          <w:sz w:val="32"/>
          <w:szCs w:val="22"/>
          <w:lang w:val="zh-CN"/>
          <w:woUserID w:val="1"/>
        </w:rPr>
        <w:t>保留原有业务数据、修订格式及人工意见。复核时更新可识别的本次代码审核意见，避免重复累加；已整改的问题应清除相应代码审核意见，不擅自删除人工意见。</w:t>
      </w:r>
    </w:p>
    <w:p w14:paraId="5CF8DED8">
      <w:pPr>
        <w:widowControl/>
        <w:snapToGrid w:val="0"/>
        <w:spacing w:before="0" w:after="0" w:line="560" w:lineRule="exact"/>
        <w:ind w:firstLine="640"/>
        <w:rPr>
          <w:rFonts w:hint="eastAsia" w:ascii="华文仿宋" w:hAnsi="华文仿宋" w:eastAsia="华文仿宋" w:cs="华文仿宋"/>
          <w:color w:val="000000"/>
          <w:kern w:val="0"/>
          <w:sz w:val="32"/>
          <w:szCs w:val="22"/>
          <w:lang w:val="zh-CN" w:eastAsia="zh"/>
          <w:woUserID w:val="1"/>
        </w:rPr>
      </w:pPr>
    </w:p>
    <w:p w14:paraId="22BD9A65">
      <w:pPr>
        <w:rPr>
          <w:rFonts w:hint="default"/>
          <w:lang w:eastAsia="zh-CN"/>
        </w:rPr>
      </w:pPr>
    </w:p>
    <w:sectPr>
      <w:footerReference r:id="rId5"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67D6EE8A">
      <w:pPr>
        <w:widowControl/>
        <w:spacing w:before="0" w:after="0" w:line="560" w:lineRule="exact"/>
        <w:ind w:firstLine="640"/>
        <w:jc w:val="left"/>
        <w:rPr>
          <w:rFonts w:hint="eastAsia" w:ascii="华文仿宋" w:hAnsi="华文仿宋" w:eastAsia="华文仿宋" w:cs="华文仿宋"/>
          <w:color w:val="000000"/>
          <w:sz w:val="32"/>
          <w:szCs w:val="22"/>
          <w:lang w:val="zh-CN" w:eastAsia="zh" w:bidi="ar-SA"/>
        </w:rPr>
      </w:pPr>
      <w:bookmarkStart w:id="0" w:name="_T159295981_175619661"/>
      <w:r>
        <w:rPr>
          <w:rFonts w:hint="eastAsia" w:ascii="华文仿宋" w:hAnsi="华文仿宋" w:eastAsia="华文仿宋" w:cs="华文仿宋"/>
          <w:color w:val="000000"/>
          <w:sz w:val="32"/>
          <w:szCs w:val="22"/>
          <w:lang w:val="zh-CN" w:eastAsia="zh" w:bidi="ar-SA"/>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6831297E">
      <w:pPr>
        <w:widowControl/>
        <w:spacing w:before="0" w:after="0" w:line="560" w:lineRule="exact"/>
        <w:ind w:firstLine="640"/>
        <w:jc w:val="left"/>
        <w:rPr>
          <w:rFonts w:hint="eastAsia" w:ascii="华文仿宋" w:hAnsi="华文仿宋" w:eastAsia="华文仿宋" w:cs="华文仿宋"/>
          <w:color w:val="000000"/>
          <w:sz w:val="32"/>
          <w:szCs w:val="22"/>
          <w:lang w:val="zh-CN" w:eastAsia="zh" w:bidi="ar-SA"/>
        </w:rPr>
      </w:pPr>
      <w:bookmarkStart w:id="1" w:name="_T190599317_175619661"/>
      <w:r>
        <w:rPr>
          <w:rFonts w:hint="eastAsia" w:ascii="华文仿宋" w:hAnsi="华文仿宋" w:eastAsia="华文仿宋" w:cs="华文仿宋"/>
          <w:color w:val="000000"/>
          <w:sz w:val="32"/>
          <w:szCs w:val="22"/>
          <w:lang w:val="zh-CN" w:eastAsia="zh" w:bidi="ar-SA"/>
        </w:rPr>
        <w:t>以后通用的话，建议这里改成“二级单位发布版应用版矩阵”</w:t>
      </w:r>
    </w:p>
    <w:bookmarkEnd w:id="1"/>
  </w:comment>
  <w:comment w:id="2" w:author="18607164089手机用户" w:date="2026-09-15T09:08:32Z" w:initials="">
    <w:p w14:paraId="0DBF26B5">
      <w:pPr>
        <w:widowControl/>
        <w:spacing w:before="0" w:after="0" w:line="560" w:lineRule="exact"/>
        <w:ind w:firstLine="640"/>
        <w:jc w:val="left"/>
        <w:rPr>
          <w:rFonts w:hint="eastAsia" w:ascii="华文仿宋" w:hAnsi="华文仿宋" w:eastAsia="华文仿宋" w:cs="华文仿宋"/>
          <w:color w:val="000000"/>
          <w:sz w:val="32"/>
          <w:szCs w:val="22"/>
          <w:lang w:val="zh-CN" w:eastAsia="zh" w:bidi="ar-SA"/>
        </w:rPr>
      </w:pPr>
      <w:bookmarkStart w:id="2" w:name="_T2134604467_175619661"/>
      <w:r>
        <w:rPr>
          <w:rFonts w:hint="eastAsia" w:ascii="华文仿宋" w:hAnsi="华文仿宋" w:eastAsia="华文仿宋" w:cs="华文仿宋"/>
          <w:color w:val="000000"/>
          <w:sz w:val="32"/>
          <w:szCs w:val="22"/>
          <w:lang w:val="zh-CN" w:eastAsia="zh" w:bidi="ar-SA"/>
        </w:rPr>
        <w:t>有一个控制措施编号，拆解成2个工作内容的，然后同一人分别在两个不同的工作内容担任经办、审核角色。</w:t>
      </w:r>
    </w:p>
    <w:bookmarkEnd w:id="2"/>
  </w:comment>
  <w:comment w:id="3" w:author="18607164089手机用户" w:date="2026-09-15T09:08:32Z" w:initials="">
    <w:p w14:paraId="4B9BCBC2">
      <w:pPr>
        <w:widowControl/>
        <w:spacing w:before="0" w:after="0" w:line="560" w:lineRule="exact"/>
        <w:ind w:firstLine="640"/>
        <w:jc w:val="left"/>
        <w:rPr>
          <w:rFonts w:hint="eastAsia" w:ascii="华文仿宋" w:hAnsi="华文仿宋" w:eastAsia="华文仿宋" w:cs="华文仿宋"/>
          <w:color w:val="000000"/>
          <w:sz w:val="32"/>
          <w:szCs w:val="22"/>
          <w:lang w:val="zh-CN" w:eastAsia="zh" w:bidi="ar-SA"/>
        </w:rPr>
      </w:pPr>
      <w:r>
        <w:rPr>
          <w:rFonts w:hint="eastAsia" w:ascii="华文仿宋" w:hAnsi="华文仿宋" w:eastAsia="华文仿宋" w:cs="华文仿宋"/>
          <w:color w:val="000000"/>
          <w:sz w:val="32"/>
          <w:szCs w:val="22"/>
          <w:lang w:val="zh-CN" w:eastAsia="zh" w:bidi="ar-SA"/>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7D6EE8A" w15:done="0"/>
  <w15:commentEx w15:paraId="6831297E" w15:done="0"/>
  <w15:commentEx w15:paraId="0DBF26B5" w15:done="0"/>
  <w15:commentEx w15:paraId="4B9BCBC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12"/>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F5154"/>
    <w:multiLevelType w:val="singleLevel"/>
    <w:tmpl w:val="FDFF5154"/>
    <w:lvl w:ilvl="0" w:tentative="0">
      <w:start w:val="2"/>
      <w:numFmt w:val="decimal"/>
      <w:suff w:val="nothing"/>
      <w:lvlText w:val="%1、"/>
      <w:lvlJc w:val="left"/>
    </w:lvl>
  </w:abstractNum>
  <w:abstractNum w:abstractNumId="1">
    <w:nsid w:val="6FE27FB3"/>
    <w:multiLevelType w:val="singleLevel"/>
    <w:tmpl w:val="6FE27FB3"/>
    <w:lvl w:ilvl="0" w:tentative="0">
      <w:start w:val="16"/>
      <w:numFmt w:val="chineseCounting"/>
      <w:suff w:val="nothing"/>
      <w:lvlText w:val="（%1）"/>
      <w:lvlJc w:val="left"/>
      <w:rPr>
        <w:rFonts w:hint="eastAsia"/>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信仰">
    <w15:presenceInfo w15:providerId="WPS Office" w15:userId="3155751849"/>
  </w15:person>
  <w15:person w15:author="18607164089手机用户">
    <w15:presenceInfo w15:providerId="WPS Office" w15:userId="942132702"/>
  </w15:person>
  <w15:person w15:author="你说的都对">
    <w15:presenceInfo w15:providerId="WPS Office" w15:userId="2412295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trackRevisions w:val="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A9DF965"/>
    <w:rsid w:val="5B487E91"/>
    <w:rsid w:val="5CF9550F"/>
    <w:rsid w:val="5EFEBDE8"/>
    <w:rsid w:val="5F8E2D69"/>
    <w:rsid w:val="5FFD9FA8"/>
    <w:rsid w:val="68CA2609"/>
    <w:rsid w:val="68CC1AED"/>
    <w:rsid w:val="69BB0F42"/>
    <w:rsid w:val="6A637494"/>
    <w:rsid w:val="6BCF62E6"/>
    <w:rsid w:val="6CD3A16D"/>
    <w:rsid w:val="6D535020"/>
    <w:rsid w:val="6E5F49A6"/>
    <w:rsid w:val="6F79ECDA"/>
    <w:rsid w:val="6FFF37D2"/>
    <w:rsid w:val="70DE2EF1"/>
    <w:rsid w:val="7AFFE4B7"/>
    <w:rsid w:val="7C5F4108"/>
    <w:rsid w:val="7D65F84D"/>
    <w:rsid w:val="7EF6FC03"/>
    <w:rsid w:val="7F79C282"/>
    <w:rsid w:val="7F7B6CAE"/>
    <w:rsid w:val="7FBF6DD0"/>
    <w:rsid w:val="7FCD17FE"/>
    <w:rsid w:val="7FD7E9A0"/>
    <w:rsid w:val="7FE9FBB2"/>
    <w:rsid w:val="8FFFA67E"/>
    <w:rsid w:val="A97F623E"/>
    <w:rsid w:val="AFBF8780"/>
    <w:rsid w:val="B7FF9F51"/>
    <w:rsid w:val="BEEFCB4B"/>
    <w:rsid w:val="BFE6F841"/>
    <w:rsid w:val="D5DE8897"/>
    <w:rsid w:val="D5FFAE00"/>
    <w:rsid w:val="E7FE3684"/>
    <w:rsid w:val="EFFF70E4"/>
    <w:rsid w:val="F7EEC240"/>
    <w:rsid w:val="FBF75102"/>
    <w:rsid w:val="FDDC5620"/>
    <w:rsid w:val="FDEA700A"/>
    <w:rsid w:val="FFBCCC7B"/>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26"/>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27"/>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34"/>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link w:val="3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link w:val="22"/>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link w:val="28"/>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link w:val="24"/>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link w:val="25"/>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link w:val="32"/>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annotation text"/>
    <w:basedOn w:val="1"/>
    <w:link w:val="33"/>
    <w:semiHidden/>
    <w:unhideWhenUsed/>
    <w:qFormat/>
    <w:uiPriority w:val="99"/>
    <w:pPr>
      <w:jc w:val="left"/>
    </w:pPr>
  </w:style>
  <w:style w:type="paragraph" w:styleId="12">
    <w:name w:val="footer"/>
    <w:basedOn w:val="1"/>
    <w:link w:val="30"/>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13">
    <w:name w:val="Subtitle"/>
    <w:basedOn w:val="1"/>
    <w:next w:val="1"/>
    <w:link w:val="2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14">
    <w:name w:val="Normal (Web)"/>
    <w:basedOn w:val="1"/>
    <w:semiHidden/>
    <w:unhideWhenUsed/>
    <w:uiPriority w:val="99"/>
    <w:rPr>
      <w:sz w:val="24"/>
    </w:rPr>
  </w:style>
  <w:style w:type="paragraph" w:styleId="15">
    <w:name w:val="Title"/>
    <w:basedOn w:val="1"/>
    <w:next w:val="1"/>
    <w:link w:val="29"/>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uiPriority w:val="0"/>
    <w:rPr>
      <w:color w:val="954F72"/>
      <w:u w:val="single"/>
    </w:rPr>
  </w:style>
  <w:style w:type="character" w:styleId="20">
    <w:name w:val="Hyperlink"/>
    <w:basedOn w:val="18"/>
    <w:uiPriority w:val="0"/>
    <w:rPr>
      <w:color w:val="0563C1"/>
      <w:u w:val="single"/>
    </w:rPr>
  </w:style>
  <w:style w:type="character" w:styleId="21">
    <w:name w:val="annotation reference"/>
    <w:basedOn w:val="18"/>
    <w:uiPriority w:val="0"/>
    <w:rPr>
      <w:sz w:val="21"/>
      <w:szCs w:val="21"/>
    </w:rPr>
  </w:style>
  <w:style w:type="character" w:customStyle="1" w:styleId="22">
    <w:name w:val="标题 5 字符"/>
    <w:basedOn w:val="18"/>
    <w:link w:val="6"/>
    <w:uiPriority w:val="0"/>
    <w:rPr>
      <w:rFonts w:hint="default" w:ascii="Arial" w:hAnsi="Arial" w:eastAsia="微软雅黑" w:cs="Arial"/>
      <w:b/>
      <w:kern w:val="2"/>
      <w:sz w:val="28"/>
      <w:szCs w:val="24"/>
    </w:rPr>
  </w:style>
  <w:style w:type="character" w:customStyle="1" w:styleId="23">
    <w:name w:val="副标题 字符"/>
    <w:basedOn w:val="18"/>
    <w:link w:val="13"/>
    <w:uiPriority w:val="0"/>
    <w:rPr>
      <w:rFonts w:hint="eastAsia" w:ascii="华文楷体" w:hAnsi="华文楷体" w:eastAsia="华文楷体" w:cs="华文楷体"/>
      <w:iCs/>
      <w:color w:val="000000"/>
      <w:spacing w:val="15"/>
      <w:kern w:val="2"/>
      <w:sz w:val="32"/>
      <w:szCs w:val="24"/>
      <w:lang w:val="zh-CN"/>
    </w:rPr>
  </w:style>
  <w:style w:type="character" w:customStyle="1" w:styleId="24">
    <w:name w:val="标题 7 字符"/>
    <w:basedOn w:val="18"/>
    <w:link w:val="8"/>
    <w:uiPriority w:val="0"/>
    <w:rPr>
      <w:rFonts w:hint="default" w:ascii="Arial" w:hAnsi="Arial" w:eastAsia="微软雅黑" w:cs="Arial"/>
      <w:b/>
      <w:kern w:val="2"/>
      <w:sz w:val="24"/>
      <w:szCs w:val="24"/>
    </w:rPr>
  </w:style>
  <w:style w:type="character" w:customStyle="1" w:styleId="25">
    <w:name w:val="标题 8 字符"/>
    <w:basedOn w:val="18"/>
    <w:link w:val="9"/>
    <w:uiPriority w:val="0"/>
    <w:rPr>
      <w:rFonts w:hint="default" w:ascii="Arial" w:hAnsi="Arial" w:eastAsia="微软雅黑" w:cs="Arial"/>
      <w:kern w:val="2"/>
      <w:sz w:val="24"/>
      <w:szCs w:val="24"/>
    </w:rPr>
  </w:style>
  <w:style w:type="character" w:customStyle="1" w:styleId="26">
    <w:name w:val="标题 1 字符"/>
    <w:basedOn w:val="18"/>
    <w:link w:val="2"/>
    <w:uiPriority w:val="0"/>
    <w:rPr>
      <w:rFonts w:hint="default" w:ascii="Arial" w:hAnsi="Arial" w:eastAsia="微软雅黑" w:cs="Arial"/>
      <w:b/>
      <w:kern w:val="44"/>
      <w:sz w:val="36"/>
      <w:szCs w:val="24"/>
    </w:rPr>
  </w:style>
  <w:style w:type="character" w:customStyle="1" w:styleId="27">
    <w:name w:val="标题 2 字符"/>
    <w:basedOn w:val="18"/>
    <w:link w:val="3"/>
    <w:uiPriority w:val="0"/>
    <w:rPr>
      <w:rFonts w:hint="default" w:ascii="Arial" w:hAnsi="Arial" w:eastAsia="微软雅黑" w:cs="Arial"/>
      <w:b/>
      <w:kern w:val="2"/>
      <w:sz w:val="32"/>
      <w:szCs w:val="24"/>
    </w:rPr>
  </w:style>
  <w:style w:type="character" w:customStyle="1" w:styleId="28">
    <w:name w:val="标题 6 字符"/>
    <w:basedOn w:val="18"/>
    <w:link w:val="7"/>
    <w:uiPriority w:val="0"/>
    <w:rPr>
      <w:rFonts w:hint="default" w:ascii="Arial" w:hAnsi="Arial" w:eastAsia="微软雅黑" w:cs="Arial"/>
      <w:b/>
      <w:kern w:val="2"/>
      <w:sz w:val="24"/>
      <w:szCs w:val="24"/>
    </w:rPr>
  </w:style>
  <w:style w:type="character" w:customStyle="1" w:styleId="29">
    <w:name w:val="标题 字符"/>
    <w:basedOn w:val="18"/>
    <w:link w:val="15"/>
    <w:uiPriority w:val="0"/>
    <w:rPr>
      <w:rFonts w:hint="default" w:ascii="Songti SC" w:hAnsi="Songti SC" w:eastAsia="Songti SC" w:cs="Songti SC"/>
      <w:b/>
      <w:color w:val="000000"/>
      <w:spacing w:val="5"/>
      <w:kern w:val="28"/>
      <w:sz w:val="44"/>
      <w:szCs w:val="52"/>
      <w:lang w:val="zh-CN"/>
    </w:rPr>
  </w:style>
  <w:style w:type="character" w:customStyle="1" w:styleId="30">
    <w:name w:val="页脚 字符"/>
    <w:basedOn w:val="18"/>
    <w:link w:val="12"/>
    <w:uiPriority w:val="0"/>
    <w:rPr>
      <w:rFonts w:hint="eastAsia" w:ascii="华文宋体" w:hAnsi="华文宋体" w:eastAsia="华文宋体" w:cs="华文宋体"/>
      <w:color w:val="000000"/>
      <w:kern w:val="2"/>
      <w:sz w:val="28"/>
      <w:szCs w:val="24"/>
      <w:lang w:val="zh-CN"/>
    </w:rPr>
  </w:style>
  <w:style w:type="character" w:customStyle="1" w:styleId="31">
    <w:name w:val="标题 4 字符"/>
    <w:basedOn w:val="18"/>
    <w:link w:val="5"/>
    <w:uiPriority w:val="0"/>
    <w:rPr>
      <w:rFonts w:hint="default" w:ascii="Arial" w:hAnsi="Arial" w:eastAsia="微软雅黑" w:cs="Arial"/>
      <w:b/>
      <w:kern w:val="2"/>
      <w:sz w:val="28"/>
      <w:szCs w:val="24"/>
    </w:rPr>
  </w:style>
  <w:style w:type="character" w:customStyle="1" w:styleId="32">
    <w:name w:val="标题 9 字符"/>
    <w:basedOn w:val="18"/>
    <w:link w:val="10"/>
    <w:uiPriority w:val="0"/>
    <w:rPr>
      <w:rFonts w:hint="default" w:ascii="Arial" w:hAnsi="Arial" w:eastAsia="微软雅黑" w:cs="Arial"/>
      <w:kern w:val="2"/>
      <w:sz w:val="21"/>
      <w:szCs w:val="24"/>
    </w:rPr>
  </w:style>
  <w:style w:type="character" w:customStyle="1" w:styleId="33">
    <w:name w:val="批注文字 字符"/>
    <w:basedOn w:val="18"/>
    <w:link w:val="11"/>
    <w:uiPriority w:val="0"/>
    <w:rPr>
      <w:rFonts w:hint="default" w:ascii="Arial" w:hAnsi="Arial" w:eastAsia="微软雅黑" w:cs="Arial"/>
      <w:kern w:val="2"/>
      <w:sz w:val="21"/>
      <w:szCs w:val="24"/>
    </w:rPr>
  </w:style>
  <w:style w:type="character" w:customStyle="1" w:styleId="34">
    <w:name w:val="标题 3 字符"/>
    <w:basedOn w:val="18"/>
    <w:link w:val="4"/>
    <w:uiPriority w:val="0"/>
    <w:rPr>
      <w:rFonts w:hint="default" w:ascii="Arial" w:hAnsi="Arial" w:eastAsia="微软雅黑" w:cs="Arial"/>
      <w:b/>
      <w:kern w:val="2"/>
      <w:sz w:val="30"/>
      <w:szCs w:val="24"/>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0</Words>
  <Characters>0</Characters>
  <Lines>0</Lines>
  <Paragraphs>0</Paragraphs>
  <TotalTime>0</TotalTime>
  <ScaleCrop>false</ScaleCrop>
  <LinksUpToDate>false</LinksUpToDate>
  <CharactersWithSpaces>0</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2018-05-29T01:24:00Z</dcterms:created>
  <dcterms:modified xsi:type="dcterms:W3CDTF">2026-10-12T12:07:09Z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7030AD7CDDFAEC7CED5CCC6A9DA53AEF_43</vt:lpwstr>
  </property>
</Properties>
</file>