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rFonts w:ascii="黑体" w:hAnsi="黑体"/>
          <w:b/>
          <w:sz w:val="56"/>
        </w:rPr>
        <w:t>专业实践报告</w:t>
      </w:r>
    </w:p>
    <w:p/>
    <w:p>
      <w:pPr>
        <w:ind w:firstLine="0"/>
        <w:jc w:val="center"/>
      </w:pPr>
      <w:r>
        <w:rPr>
          <w:rFonts w:ascii="黑体" w:hAnsi="黑体"/>
          <w:sz w:val="36"/>
        </w:rPr>
        <w:t>基于微波辐射计观测与神经网络</w:t>
        <w:br/>
        <w:t>的大气温湿廓线反演方法研究</w:t>
      </w:r>
    </w:p>
    <w:p/>
    <w:p/>
    <w:p/>
    <w:p/>
    <w:p>
      <w:pPr>
        <w:ind w:firstLine="0"/>
        <w:jc w:val="center"/>
      </w:pPr>
      <w:r>
        <w:rPr>
          <w:rFonts w:ascii="宋体" w:hAnsi="宋体"/>
          <w:sz w:val="28"/>
        </w:rPr>
        <w:t>课题名称：基于 BRNN 的 MWR 大气温湿廓线反演系统</w:t>
      </w:r>
    </w:p>
    <w:p>
      <w:pPr>
        <w:ind w:firstLine="0"/>
        <w:jc w:val="center"/>
      </w:pPr>
      <w:r>
        <w:rPr>
          <w:rFonts w:ascii="宋体" w:hAnsi="宋体"/>
          <w:sz w:val="28"/>
        </w:rPr>
        <w:t>实践单位：（请填写）</w:t>
      </w:r>
    </w:p>
    <w:p>
      <w:pPr>
        <w:ind w:firstLine="0"/>
        <w:jc w:val="center"/>
      </w:pPr>
      <w:r>
        <w:rPr>
          <w:rFonts w:ascii="宋体" w:hAnsi="宋体"/>
          <w:sz w:val="28"/>
        </w:rPr>
        <w:t>指导教师：（请填写）</w:t>
      </w:r>
    </w:p>
    <w:p>
      <w:pPr>
        <w:ind w:firstLine="0"/>
        <w:jc w:val="center"/>
      </w:pPr>
      <w:r>
        <w:rPr>
          <w:rFonts w:ascii="宋体" w:hAnsi="宋体"/>
          <w:sz w:val="28"/>
        </w:rPr>
        <w:t>学生姓名：（请填写）</w:t>
      </w:r>
    </w:p>
    <w:p>
      <w:pPr>
        <w:ind w:firstLine="0"/>
        <w:jc w:val="center"/>
      </w:pPr>
      <w:r>
        <w:rPr>
          <w:rFonts w:ascii="宋体" w:hAnsi="宋体"/>
          <w:sz w:val="28"/>
        </w:rPr>
        <w:t>实践时间：2026年3月 – 2026年6月</w:t>
      </w:r>
    </w:p>
    <w:p>
      <w:pPr>
        <w:ind w:firstLine="0"/>
        <w:jc w:val="center"/>
      </w:pPr>
      <w:r>
        <w:rPr>
          <w:rFonts w:ascii="宋体" w:hAnsi="宋体"/>
          <w:sz w:val="28"/>
        </w:rPr>
        <w:t>报告日期：2026年06月12日</w:t>
      </w:r>
    </w:p>
    <w:p>
      <w:r>
        <w:br w:type="page"/>
      </w:r>
    </w:p>
    <w:p>
      <w:pPr>
        <w:spacing w:before="360" w:after="120"/>
        <w:ind w:firstLine="0"/>
      </w:pPr>
      <w:r>
        <w:rPr>
          <w:rFonts w:ascii="黑体" w:hAnsi="黑体"/>
          <w:b/>
          <w:sz w:val="30"/>
        </w:rPr>
        <w:t>一、拟作课题主要内容</w:t>
      </w:r>
    </w:p>
    <w:p>
      <w:r>
        <w:rPr>
          <w:rFonts w:ascii="宋体" w:hAnsi="宋体"/>
          <w:sz w:val="24"/>
        </w:rPr>
        <w:t>本课题以地基多通道微波辐射计（MWR）为观测手段，围绕大气温湿廓线的被动遥感反演展开研究。微波辐射计接收大气在 22–59 GHz 频段的微波辐射信号，其中 K 波段（22–31 GHz）对水汽敏感，V 波段（51–59 GHz）对温度敏感，结合这两个频段的多通道亮温信息，可以获取大气从近地面到约 10 km 高度范围内的温度和相对湿度的垂直分布廓线。</w:t>
      </w:r>
    </w:p>
    <w:p>
      <w:pPr>
        <w:spacing w:before="240" w:after="80"/>
        <w:ind w:firstLine="0"/>
      </w:pPr>
      <w:r>
        <w:rPr>
          <w:rFonts w:ascii="黑体" w:hAnsi="黑体"/>
          <w:b/>
          <w:sz w:val="26"/>
        </w:rPr>
        <w:t>1.1 核心技术路线</w:t>
      </w:r>
    </w:p>
    <w:p>
      <w:r>
        <w:rPr>
          <w:rFonts w:ascii="宋体" w:hAnsi="宋体"/>
          <w:sz w:val="24"/>
        </w:rPr>
        <w:t>课题采用数据驱动的反演策略，核心思路是利用大量历史观测的配对样本—（亮温, 廓线）—训练神经网络模型，使模型学会从亮温反演大气廓线的映射关系。具体包括以下四个主要环节：</w:t>
      </w:r>
    </w:p>
    <w:p>
      <w:pPr>
        <w:ind w:firstLine="420" w:left="0"/>
      </w:pPr>
      <w:r>
        <w:rPr>
          <w:rFonts w:ascii="宋体" w:hAnsi="宋体"/>
          <w:sz w:val="24"/>
        </w:rPr>
        <w:t>● 正向辐射传输模拟：使用 AER Inc. 开发的 MonoRTM v5.6 逐线积分辐射传输模型，从 ERA5 再分析大气廓线出发，模拟辐射计各通道的理论亮温，生成高质量训练样本。</w:t>
      </w:r>
    </w:p>
    <w:p>
      <w:pPr>
        <w:ind w:firstLine="420" w:left="0"/>
      </w:pPr>
      <w:r>
        <w:rPr>
          <w:rFonts w:ascii="宋体" w:hAnsi="宋体"/>
          <w:sz w:val="24"/>
        </w:rPr>
        <w:t>● 观测数据质控与订正：针对 MP-3000A 微波辐射计的实测亮温数据进行系统性质控，包括云液态水污染筛除、K 波段异常值检测、Winsorize 回归订正等，消除观测与模拟之间的系统性偏差。</w:t>
      </w:r>
    </w:p>
    <w:p>
      <w:pPr>
        <w:ind w:firstLine="420" w:left="0"/>
      </w:pPr>
      <w:r>
        <w:rPr>
          <w:rFonts w:ascii="宋体" w:hAnsi="宋体"/>
          <w:sz w:val="24"/>
        </w:rPr>
        <w:t>● 贝叶斯正则化神经网络 (BRNN)：设计 6 个独立的 BRNN 模型，分别反演 0–2 km、2–8 km、8–10 km 三个高度区间的温度和相对湿度廓线。BRNN 在标准全连接网络基础上加入批量归一化、Dropout 正则化和二阶导数平滑约束，兼顾拟合精度与泛化能力。</w:t>
      </w:r>
    </w:p>
    <w:p>
      <w:pPr>
        <w:ind w:firstLine="420" w:left="0"/>
      </w:pPr>
      <w:r>
        <w:rPr>
          <w:rFonts w:ascii="宋体" w:hAnsi="宋体"/>
          <w:sz w:val="24"/>
        </w:rPr>
        <w:t>● 误差分析与性能评估：通过分层 RMSE、偏差±1σ 廓线、极端案例分析、散点密度图等方法，系统评估反演精度，定位误差来源，指导迭代改进。</w:t>
      </w:r>
    </w:p>
    <w:p>
      <w:pPr>
        <w:spacing w:before="240" w:after="80"/>
        <w:ind w:firstLine="0"/>
      </w:pPr>
      <w:r>
        <w:rPr>
          <w:rFonts w:ascii="黑体" w:hAnsi="黑体"/>
          <w:b/>
          <w:sz w:val="26"/>
        </w:rPr>
        <w:t>1.2 技术特色与创新点</w:t>
      </w:r>
    </w:p>
    <w:p>
      <w:pPr>
        <w:ind w:firstLine="420" w:left="0"/>
      </w:pPr>
      <w:r>
        <w:rPr>
          <w:rFonts w:ascii="宋体" w:hAnsi="宋体"/>
          <w:sz w:val="24"/>
        </w:rPr>
        <w:t>● 首次将 Winsorize 鲁棒回归引入微波辐射计 BT 订正流程，有效抑制 K 波段云污染导致的厚尾异常值（OMB 标准差降低 49%）。</w:t>
      </w:r>
    </w:p>
    <w:p>
      <w:pPr>
        <w:ind w:firstLine="420" w:left="0"/>
      </w:pPr>
      <w:r>
        <w:rPr>
          <w:rFonts w:ascii="宋体" w:hAnsi="宋体"/>
          <w:sz w:val="24"/>
        </w:rPr>
        <w:t>● 引入红外云顶温度 (IR_Temperature) 作为辅助输入特征，提供云层高度信息，间接约束廓线垂直结构。</w:t>
      </w:r>
    </w:p>
    <w:p>
      <w:pPr>
        <w:ind w:firstLine="420" w:left="0"/>
      </w:pPr>
      <w:r>
        <w:rPr>
          <w:rFonts w:ascii="宋体" w:hAnsi="宋体"/>
          <w:sz w:val="24"/>
        </w:rPr>
        <w:t>● 采用廓线分组划分训练/测试集，彻底消除同一廓线因重复观测造成的信息泄露。</w:t>
      </w:r>
    </w:p>
    <w:p>
      <w:pPr>
        <w:ind w:firstLine="420" w:left="0"/>
      </w:pPr>
      <w:r>
        <w:rPr>
          <w:rFonts w:ascii="宋体" w:hAnsi="宋体"/>
          <w:sz w:val="24"/>
        </w:rPr>
        <w:t>● 通过 MonoRTM 的大规模仿真能力，探索"Sim_BT 预训练 + Obs_BT 微调"的两阶段训练策略，在保持物理一致性的同时弥合仿真与实际观测之间的域间差异 (Domain Gap)。</w:t>
      </w:r>
    </w:p>
    <w:p>
      <w:r>
        <w:br w:type="page"/>
      </w:r>
    </w:p>
    <w:p>
      <w:pPr>
        <w:spacing w:before="360" w:after="120"/>
        <w:ind w:firstLine="0"/>
      </w:pPr>
      <w:r>
        <w:rPr>
          <w:rFonts w:ascii="黑体" w:hAnsi="黑体"/>
          <w:b/>
          <w:sz w:val="30"/>
        </w:rPr>
        <w:t>二、专业实践主要目标</w:t>
      </w:r>
    </w:p>
    <w:p>
      <w:r>
        <w:rPr>
          <w:rFonts w:ascii="宋体" w:hAnsi="宋体"/>
          <w:sz w:val="24"/>
        </w:rPr>
        <w:t>本专业实践旨在通过一个完整的大气遥感科研项目的实施，将大气物理学、辐射传输理论、数值计算、机器学习和软件工程等多学科知识融会贯通，培养独立从事科学研究的能力。具体目标如下：</w:t>
      </w:r>
    </w:p>
    <w:p>
      <w:pPr>
        <w:spacing w:before="240" w:after="80"/>
        <w:ind w:firstLine="0"/>
      </w:pPr>
      <w:r>
        <w:rPr>
          <w:rFonts w:ascii="黑体" w:hAnsi="黑体"/>
          <w:b/>
          <w:sz w:val="26"/>
        </w:rPr>
        <w:t>2.1 科研能力目标</w:t>
      </w:r>
    </w:p>
    <w:p>
      <w:pPr>
        <w:ind w:firstLine="420" w:left="0"/>
      </w:pPr>
      <w:r>
        <w:rPr>
          <w:rFonts w:ascii="宋体" w:hAnsi="宋体"/>
          <w:sz w:val="24"/>
        </w:rPr>
        <w:t>● 掌握大气微波遥感的基本原理，深入理解微波辐射计的测量机理和辐射传输方程。</w:t>
      </w:r>
    </w:p>
    <w:p>
      <w:pPr>
        <w:ind w:firstLine="420" w:left="0"/>
      </w:pPr>
      <w:r>
        <w:rPr>
          <w:rFonts w:ascii="宋体" w:hAnsi="宋体"/>
          <w:sz w:val="24"/>
        </w:rPr>
        <w:t>● 能够独立完成辐射传输模型（MonoRTM）的编译、调试和批量运行，具备处理 Fortran 遗留代码和跨平台编译问题的工程能力。</w:t>
      </w:r>
    </w:p>
    <w:p>
      <w:pPr>
        <w:ind w:firstLine="420" w:left="0"/>
      </w:pPr>
      <w:r>
        <w:rPr>
          <w:rFonts w:ascii="宋体" w:hAnsi="宋体"/>
          <w:sz w:val="24"/>
        </w:rPr>
        <w:t>● 建立完整的机器学习模型开发流程：数据预处理 → 特征工程 → 模型设计 → 训练验证 → 误差分析 → 迭代改进。</w:t>
      </w:r>
    </w:p>
    <w:p>
      <w:pPr>
        <w:ind w:firstLine="420" w:left="0"/>
      </w:pPr>
      <w:r>
        <w:rPr>
          <w:rFonts w:ascii="宋体" w:hAnsi="宋体"/>
          <w:sz w:val="24"/>
        </w:rPr>
        <w:t>● 掌握科学报告和学术论文的撰写规范，具备用图表和数据清晰呈现研究成果的能力。</w:t>
      </w:r>
    </w:p>
    <w:p>
      <w:pPr>
        <w:spacing w:before="240" w:after="80"/>
        <w:ind w:firstLine="0"/>
      </w:pPr>
      <w:r>
        <w:rPr>
          <w:rFonts w:ascii="黑体" w:hAnsi="黑体"/>
          <w:b/>
          <w:sz w:val="26"/>
        </w:rPr>
        <w:t>2.2 技术能力目标</w:t>
      </w:r>
    </w:p>
    <w:p>
      <w:pPr>
        <w:ind w:firstLine="420" w:left="0"/>
      </w:pPr>
      <w:r>
        <w:rPr>
          <w:rFonts w:ascii="宋体" w:hAnsi="宋体"/>
          <w:sz w:val="24"/>
        </w:rPr>
        <w:t>● 熟练使用 Python 科学计算生态（NumPy, SciPy, xarray, PyTorch）进行大规模气象数据处理和深度学习训练。</w:t>
      </w:r>
    </w:p>
    <w:p>
      <w:pPr>
        <w:ind w:firstLine="420" w:left="0"/>
      </w:pPr>
      <w:r>
        <w:rPr>
          <w:rFonts w:ascii="宋体" w:hAnsi="宋体"/>
          <w:sz w:val="24"/>
        </w:rPr>
        <w:t>● 掌握 CDS/ARCO 等公共气象数据平台的 API 调用、批量下载和断点续传技术。</w:t>
      </w:r>
    </w:p>
    <w:p>
      <w:pPr>
        <w:ind w:firstLine="420" w:left="0"/>
      </w:pPr>
      <w:r>
        <w:rPr>
          <w:rFonts w:ascii="宋体" w:hAnsi="宋体"/>
          <w:sz w:val="24"/>
        </w:rPr>
        <w:t>● 熟悉 Git 版本控制、模块化代码组织和技术文档的规范撰写。</w:t>
      </w:r>
    </w:p>
    <w:p>
      <w:pPr>
        <w:ind w:firstLine="420" w:left="0"/>
      </w:pPr>
      <w:r>
        <w:rPr>
          <w:rFonts w:ascii="宋体" w:hAnsi="宋体"/>
          <w:sz w:val="24"/>
        </w:rPr>
        <w:t>● 具备在 macOS ARM64 环境下编译和调试 Fortran 科学计算程序的能力。</w:t>
      </w:r>
    </w:p>
    <w:p>
      <w:pPr>
        <w:spacing w:before="240" w:after="80"/>
        <w:ind w:firstLine="0"/>
      </w:pPr>
      <w:r>
        <w:rPr>
          <w:rFonts w:ascii="黑体" w:hAnsi="黑体"/>
          <w:b/>
          <w:sz w:val="26"/>
        </w:rPr>
        <w:t>2.3 工程实践目标</w:t>
      </w:r>
    </w:p>
    <w:p>
      <w:pPr>
        <w:ind w:firstLine="420" w:left="0"/>
      </w:pPr>
      <w:r>
        <w:rPr>
          <w:rFonts w:ascii="宋体" w:hAnsi="宋体"/>
          <w:sz w:val="24"/>
        </w:rPr>
        <w:t>● 建立可复现的反演管线：所有数据处理、模型训练和评估步骤均可通过脚本一键运行。</w:t>
      </w:r>
    </w:p>
    <w:p>
      <w:pPr>
        <w:ind w:firstLine="420" w:left="0"/>
      </w:pPr>
      <w:r>
        <w:rPr>
          <w:rFonts w:ascii="宋体" w:hAnsi="宋体"/>
          <w:sz w:val="24"/>
        </w:rPr>
        <w:t>● 构建可扩展的软件架构：支持不同辐射计型号 (MP-3000A/HATPRO)、不同 RTM 后端 (MonoRTM/Python)。</w:t>
      </w:r>
    </w:p>
    <w:p>
      <w:pPr>
        <w:ind w:firstLine="420" w:left="0"/>
      </w:pPr>
      <w:r>
        <w:rPr>
          <w:rFonts w:ascii="宋体" w:hAnsi="宋体"/>
          <w:sz w:val="24"/>
        </w:rPr>
        <w:t>● 维护完整的项目文档和版本历史，确保成果可追溯、可传承。</w:t>
      </w:r>
    </w:p>
    <w:p>
      <w:r>
        <w:br w:type="page"/>
      </w:r>
    </w:p>
    <w:p>
      <w:pPr>
        <w:spacing w:before="360" w:after="120"/>
        <w:ind w:firstLine="0"/>
      </w:pPr>
      <w:r>
        <w:rPr>
          <w:rFonts w:ascii="黑体" w:hAnsi="黑体"/>
          <w:b/>
          <w:sz w:val="30"/>
        </w:rPr>
        <w:t>三、课题情况</w:t>
      </w:r>
    </w:p>
    <w:p>
      <w:pPr>
        <w:spacing w:before="240" w:after="80"/>
        <w:ind w:firstLine="0"/>
      </w:pPr>
      <w:r>
        <w:rPr>
          <w:rFonts w:ascii="黑体" w:hAnsi="黑体"/>
          <w:b/>
          <w:sz w:val="26"/>
        </w:rPr>
        <w:t>3.1 课题名称</w:t>
      </w:r>
    </w:p>
    <w:p>
      <w:r>
        <w:rPr>
          <w:rFonts w:ascii="宋体" w:hAnsi="宋体"/>
          <w:sz w:val="24"/>
        </w:rPr>
        <w:t>基于贝叶斯正则化神经网络 (BRNN) 的微波辐射计大气温湿廓线反演方法研究</w:t>
      </w:r>
    </w:p>
    <w:p>
      <w:pPr>
        <w:spacing w:before="240" w:after="80"/>
        <w:ind w:firstLine="0"/>
      </w:pPr>
      <w:r>
        <w:rPr>
          <w:rFonts w:ascii="黑体" w:hAnsi="黑体"/>
          <w:b/>
          <w:sz w:val="26"/>
        </w:rPr>
        <w:t>3.2 课题来源</w:t>
      </w:r>
    </w:p>
    <w:p>
      <w:r>
        <w:rPr>
          <w:rFonts w:ascii="宋体" w:hAnsi="宋体"/>
          <w:sz w:val="24"/>
        </w:rPr>
        <w:t>本课题来源于大气科学领域的大气廓线被动微波遥感方向。地基多通道微波辐射计是监测大气边界层和自由对流层温湿结构的核心设备，广泛应用于气象预报、大气环境监测、人工影响天气评估等领域。传统的物理反演方法（一维变分、最优估计）依赖先验背景场和复杂的误差协方差建模，在处理极端天气（如逆温、干层）时存在局限性。近年来，随着机器学习技术的快速发展，数据驱动的廓线反演方法成为国际研究热点。本课题对标当前国际主流研究（如德国波恩大学 HATPRO 廓线反演），基于国产 MP-3000A 微波辐射计实测数据，开发适应中国区域大气特征的机器学习反演系统。</w:t>
      </w:r>
    </w:p>
    <w:p>
      <w:pPr>
        <w:spacing w:before="240" w:after="80"/>
        <w:ind w:firstLine="0"/>
      </w:pPr>
      <w:r>
        <w:rPr>
          <w:rFonts w:ascii="黑体" w:hAnsi="黑体"/>
          <w:b/>
          <w:sz w:val="26"/>
        </w:rPr>
        <w:t>3.3 课题性质</w:t>
      </w:r>
    </w:p>
    <w:p>
      <w:r>
        <w:rPr>
          <w:rFonts w:ascii="宋体" w:hAnsi="宋体"/>
          <w:sz w:val="24"/>
        </w:rPr>
        <w:t>本课题属于应用基础研究，兼具科学探索与工程实践双重性质：</w:t>
      </w:r>
    </w:p>
    <w:p>
      <w:pPr>
        <w:ind w:firstLine="420" w:left="0"/>
      </w:pPr>
      <w:r>
        <w:rPr>
          <w:rFonts w:ascii="宋体" w:hAnsi="宋体"/>
          <w:sz w:val="24"/>
        </w:rPr>
        <w:t>● 科学研究性质：探索神经网络在微波辐射计廓线反演中的应用效果，分析不同滤波策略、输入特征、训练范式对反演精度的影响，揭示 Sim/Obs 域间差异的物理本质及其缓解策略。</w:t>
      </w:r>
    </w:p>
    <w:p>
      <w:pPr>
        <w:ind w:firstLine="420" w:left="0"/>
      </w:pPr>
      <w:r>
        <w:rPr>
          <w:rFonts w:ascii="宋体" w:hAnsi="宋体"/>
          <w:sz w:val="24"/>
        </w:rPr>
        <w:t>● 工程实践性质：搭建一套完整的、可复现的廓线反演软件系统，包括数据获取、质控处理、辐射传输模拟、模型训练、反演推理和误差评估的完整管线，为后续业务化应用奠定技术基础。</w:t>
      </w:r>
    </w:p>
    <w:p>
      <w:r>
        <w:br w:type="page"/>
      </w:r>
    </w:p>
    <w:p>
      <w:pPr>
        <w:spacing w:before="360" w:after="120"/>
        <w:ind w:firstLine="0"/>
      </w:pPr>
      <w:r>
        <w:rPr>
          <w:rFonts w:ascii="黑体" w:hAnsi="黑体"/>
          <w:b/>
          <w:sz w:val="30"/>
        </w:rPr>
        <w:t>四、实践主要内容</w:t>
      </w:r>
    </w:p>
    <w:p>
      <w:pPr>
        <w:spacing w:before="240" w:after="80"/>
        <w:ind w:firstLine="0"/>
      </w:pPr>
      <w:r>
        <w:rPr>
          <w:rFonts w:ascii="黑体" w:hAnsi="黑体"/>
          <w:b/>
          <w:sz w:val="26"/>
        </w:rPr>
        <w:t>4.1 数据获取与预处理</w:t>
      </w:r>
    </w:p>
    <w:p>
      <w:r>
        <w:rPr>
          <w:rFonts w:ascii="宋体" w:hAnsi="宋体"/>
          <w:sz w:val="24"/>
        </w:rPr>
        <w:t>(1) ERA5 再分析数据下载</w:t>
      </w:r>
    </w:p>
    <w:p>
      <w:r>
        <w:rPr>
          <w:rFonts w:ascii="宋体" w:hAnsi="宋体"/>
          <w:sz w:val="24"/>
        </w:rPr>
        <w:t>通过 CDS (Climate Data Store) API 和 ARCO (Analysis-Ready Cloud Optimized) Zarr 两种途径，下载 2013–2019 年共计 84 个月的 ERA5 再分析资料，包括：</w:t>
      </w:r>
    </w:p>
    <w:p>
      <w:pPr>
        <w:ind w:firstLine="420" w:left="0"/>
      </w:pPr>
      <w:r>
        <w:rPr>
          <w:rFonts w:ascii="宋体" w:hAnsi="宋体"/>
          <w:sz w:val="24"/>
        </w:rPr>
        <w:t>● 单层数据：2 m 温度、2 m 露点温度、地表气压 (已完成 84/84 月下载)</w:t>
      </w:r>
    </w:p>
    <w:p>
      <w:pPr>
        <w:ind w:firstLine="420" w:left="0"/>
      </w:pPr>
      <w:r>
        <w:rPr>
          <w:rFonts w:ascii="宋体" w:hAnsi="宋体"/>
          <w:sz w:val="24"/>
        </w:rPr>
        <w:t>● 气压层数据：37 个标准等压面的温度、比湿、位势高度 (已完成 2/84 月下载，受 CDS API 限流制约正在持续下载中)</w:t>
      </w:r>
    </w:p>
    <w:p>
      <w:r>
        <w:rPr>
          <w:rFonts w:ascii="宋体" w:hAnsi="宋体"/>
          <w:sz w:val="24"/>
        </w:rPr>
        <w:t>(2) MP-3000A 微波辐射计数据处理</w:t>
      </w:r>
    </w:p>
    <w:p>
      <w:r>
        <w:rPr>
          <w:rFonts w:ascii="宋体" w:hAnsi="宋体"/>
          <w:sz w:val="24"/>
        </w:rPr>
        <w:t>读取天津站 (39.16°N, 117.79°E) MP-3000A 微波辐射计的 L2 级产品数据，包含 3,453 条大气廓线的 20,142 次观测。完成比湿→相对湿度转换（Magnus 公式）、137 层气压坐标→93 层高度坐标插值（静力方程积分）、观测亮温 (Obs_BT) 与模拟亮温 (Sim_BT) 的匹配对齐等物理预处理。</w:t>
      </w:r>
    </w:p>
    <w:p>
      <w:pPr>
        <w:spacing w:before="240" w:after="80"/>
        <w:ind w:firstLine="0"/>
      </w:pPr>
      <w:r>
        <w:rPr>
          <w:rFonts w:ascii="黑体" w:hAnsi="黑体"/>
          <w:b/>
          <w:sz w:val="26"/>
        </w:rPr>
        <w:t>4.2 质控与亮温订正</w:t>
      </w:r>
    </w:p>
    <w:p>
      <w:r>
        <w:rPr>
          <w:rFonts w:ascii="宋体" w:hAnsi="宋体"/>
          <w:sz w:val="24"/>
        </w:rPr>
        <w:t>建立系统性的多级质控流程，从原始 20,142 次观测中筛选出 15,838 个干净样本：</w:t>
      </w:r>
    </w:p>
    <w:p>
      <w:pPr>
        <w:ind w:firstLine="420" w:left="0"/>
      </w:pPr>
      <w:r>
        <w:rPr>
          <w:rFonts w:ascii="宋体" w:hAnsi="宋体"/>
          <w:sz w:val="24"/>
        </w:rPr>
        <w:t>● 第一级：QC_Flag = 0 且 Rain_Flag = 0 的基本质控</w:t>
      </w:r>
    </w:p>
    <w:p>
      <w:pPr>
        <w:ind w:firstLine="420" w:left="0"/>
      </w:pPr>
      <w:r>
        <w:rPr>
          <w:rFonts w:ascii="宋体" w:hAnsi="宋体"/>
          <w:sz w:val="24"/>
        </w:rPr>
        <w:t>● 第二级：廓线层 CLWC &gt; 750 g/m² 的云液态水筛除</w:t>
      </w:r>
    </w:p>
    <w:p>
      <w:pPr>
        <w:ind w:firstLine="420" w:left="0"/>
      </w:pPr>
      <w:r>
        <w:rPr>
          <w:rFonts w:ascii="宋体" w:hAnsi="宋体"/>
          <w:sz w:val="24"/>
        </w:rPr>
        <w:t>● 第三级：K 波段 (22–31 GHz) 各通道 |OMB| &gt; 2.5σ 的逐通道异常值过滤</w:t>
      </w:r>
    </w:p>
    <w:p>
      <w:pPr>
        <w:ind w:firstLine="420" w:left="0"/>
      </w:pPr>
      <w:r>
        <w:rPr>
          <w:rFonts w:ascii="宋体" w:hAnsi="宋体"/>
          <w:sz w:val="24"/>
        </w:rPr>
        <w:t>● 第四级：廓线与有效高度网格的匹配检查</w:t>
      </w:r>
    </w:p>
    <w:p>
      <w:r>
        <w:rPr>
          <w:rFonts w:ascii="宋体" w:hAnsi="宋体"/>
          <w:sz w:val="24"/>
        </w:rPr>
        <w:t>亮温订正方面，采用 Winsorize 回归替代普通最小二乘，对 K 波段 ±10 K、V 波段 ±5 K 截断后的残差重新拟合线性回归系数，将 OMB 标准差从 1.55 K 降至 0.88 K (−49%)，同时保持 BT 订正系数的物理合理性。</w:t>
      </w:r>
    </w:p>
    <w:p>
      <w:pPr>
        <w:spacing w:before="240" w:after="80"/>
        <w:ind w:firstLine="0"/>
      </w:pPr>
      <w:r>
        <w:rPr>
          <w:rFonts w:ascii="黑体" w:hAnsi="黑体"/>
          <w:b/>
          <w:sz w:val="26"/>
        </w:rPr>
        <w:t>4.3 MonoRTM 辐射传输模型集成</w:t>
      </w:r>
    </w:p>
    <w:p>
      <w:r>
        <w:rPr>
          <w:rFonts w:ascii="宋体" w:hAnsi="宋体"/>
          <w:sz w:val="24"/>
        </w:rPr>
        <w:t>MonoRTM v5.6 (AER Inc.) 是大气微波波段逐线积分辐射传输的行业标准模型。本实践完成了以下集成工作：</w:t>
      </w:r>
    </w:p>
    <w:p>
      <w:pPr>
        <w:ind w:firstLine="420" w:left="0"/>
      </w:pPr>
      <w:r>
        <w:rPr>
          <w:rFonts w:ascii="宋体" w:hAnsi="宋体"/>
          <w:sz w:val="24"/>
        </w:rPr>
        <w:t>● 在 macOS ARM64 上使用 gfortran 15 成功编译 MonoRTM v5.6，修复了源代码中 lnfl_mod.f90 数组越界和 gfortran 15 兼容性问题。</w:t>
      </w:r>
    </w:p>
    <w:p>
      <w:pPr>
        <w:ind w:firstLine="420" w:left="0"/>
      </w:pPr>
      <w:r>
        <w:rPr>
          <w:rFonts w:ascii="宋体" w:hAnsi="宋体"/>
          <w:sz w:val="24"/>
        </w:rPr>
        <w:t>● 开发 ASCII → gfortran 二进制格式的 TAPE3 光谱数据转换器 (convert_tape3.py)，将 0–55 GHz 的 1,356 条谱线数据转换为 Fortran 可读取的 unformatted 格式。</w:t>
      </w:r>
    </w:p>
    <w:p>
      <w:pPr>
        <w:ind w:firstLine="420" w:left="0"/>
      </w:pPr>
      <w:r>
        <w:rPr>
          <w:rFonts w:ascii="宋体" w:hAnsi="宋体"/>
          <w:sz w:val="24"/>
        </w:rPr>
        <w:t>● 重写 MONORTM_PROF.IN 大气廓线输入文件的生成模块 (monortm_wrapper.py)，严格按照 Fortran 源码中的精确列格式 (FORMAT 925/975/978) 输出。</w:t>
      </w:r>
    </w:p>
    <w:p>
      <w:pPr>
        <w:ind w:firstLine="420" w:left="0"/>
      </w:pPr>
      <w:r>
        <w:rPr>
          <w:rFonts w:ascii="宋体" w:hAnsi="宋体"/>
          <w:sz w:val="24"/>
        </w:rPr>
        <w:t>● 验证 14 通道下行亮温输出，中纬度标准大气 (50% RH) 测试：22 GHz: 209 K, 58 GHz: 258 K。</w:t>
      </w:r>
    </w:p>
    <w:p>
      <w:pPr>
        <w:ind w:firstLine="420" w:left="0"/>
      </w:pPr>
      <w:r>
        <w:rPr>
          <w:rFonts w:ascii="宋体" w:hAnsi="宋体"/>
          <w:sz w:val="24"/>
        </w:rPr>
        <w:t>● 编写批量仿真管线 (bulk_sim_monortm.py)，支持从 ERA5 气压层数据加载、对数气压插值到 MWR 93 层网格、逐时次 MonoRTM 调用到结果合并的全流程自动化。</w:t>
      </w:r>
    </w:p>
    <w:p>
      <w:pPr>
        <w:spacing w:before="240" w:after="80"/>
        <w:ind w:firstLine="0"/>
      </w:pPr>
      <w:r>
        <w:rPr>
          <w:rFonts w:ascii="黑体" w:hAnsi="黑体"/>
          <w:b/>
          <w:sz w:val="26"/>
        </w:rPr>
        <w:t>4.4 BRNN 模型设计与训练</w:t>
      </w:r>
    </w:p>
    <w:p>
      <w:r>
        <w:rPr>
          <w:rFonts w:ascii="宋体" w:hAnsi="宋体"/>
          <w:sz w:val="24"/>
        </w:rPr>
        <w:t>(1) 模型架构</w:t>
      </w:r>
    </w:p>
    <w:p>
      <w:r>
        <w:rPr>
          <w:rFonts w:ascii="宋体" w:hAnsi="宋体"/>
          <w:sz w:val="24"/>
        </w:rPr>
        <w:t>设计 6 个独立的 BRNN 模型，分别反演 0–2 km、2–8 km、8–10 km 三个高度区间的温度 (T) 和相对湿度 (RH)。每个 BRNN 模型包含：输入批量归一化层 → 256 单元全连接层 → ReLU 激活 → BatchNorm → Dropout(0.3) → 第二个全连接层 (256) → ReLU → BatchNorm → Dropout → 全连接输出层 → Sigmoid 激活（将输出归一化至 [0,1] 区间）。</w:t>
      </w:r>
    </w:p>
    <w:p>
      <w:r>
        <w:rPr>
          <w:rFonts w:ascii="宋体" w:hAnsi="宋体"/>
          <w:sz w:val="24"/>
        </w:rPr>
        <w:t>(2) 输入特征</w:t>
      </w:r>
    </w:p>
    <w:p>
      <w:r>
        <w:rPr>
          <w:rFonts w:ascii="宋体" w:hAnsi="宋体"/>
          <w:sz w:val="24"/>
        </w:rPr>
        <w:t>28 维输入向量 = 22 通道 Winsorize 订正后的亮温 + 2 m 温度 + 2 m 相对湿度 + 地表气压/100 + IR 云顶温度 + 云柱液态水 + 云柱冰水 + sin/cos(小时) + sin/cos(月份)</w:t>
      </w:r>
    </w:p>
    <w:p>
      <w:r>
        <w:rPr>
          <w:rFonts w:ascii="宋体" w:hAnsi="宋体"/>
          <w:sz w:val="24"/>
        </w:rPr>
        <w:t>(3) 训练策略</w:t>
      </w:r>
    </w:p>
    <w:p>
      <w:pPr>
        <w:ind w:firstLine="420" w:left="0"/>
      </w:pPr>
      <w:r>
        <w:rPr>
          <w:rFonts w:ascii="宋体" w:hAnsi="宋体"/>
          <w:sz w:val="24"/>
        </w:rPr>
        <w:t>● 损失函数：MSE + 0.001 × 二阶导数平方差（层间平滑正则化）</w:t>
      </w:r>
    </w:p>
    <w:p>
      <w:pPr>
        <w:ind w:firstLine="420" w:left="0"/>
      </w:pPr>
      <w:r>
        <w:rPr>
          <w:rFonts w:ascii="宋体" w:hAnsi="宋体"/>
          <w:sz w:val="24"/>
        </w:rPr>
        <w:t>● 优化器：Adam, lr = 0.001, batch_size = 128</w:t>
      </w:r>
    </w:p>
    <w:p>
      <w:pPr>
        <w:ind w:firstLine="420" w:left="0"/>
      </w:pPr>
      <w:r>
        <w:rPr>
          <w:rFonts w:ascii="宋体" w:hAnsi="宋体"/>
          <w:sz w:val="24"/>
        </w:rPr>
        <w:t>● 早停策略：验证集损失连续 20 轮不下降</w:t>
      </w:r>
    </w:p>
    <w:p>
      <w:pPr>
        <w:ind w:firstLine="420" w:left="0"/>
      </w:pPr>
      <w:r>
        <w:rPr>
          <w:rFonts w:ascii="宋体" w:hAnsi="宋体"/>
          <w:sz w:val="24"/>
        </w:rPr>
        <w:t>● 数据划分：按廓线索引 (Profile_Index) 分组 70%/15%/15% 划分训练/验证/测试集</w:t>
      </w:r>
    </w:p>
    <w:p>
      <w:pPr>
        <w:ind w:firstLine="420" w:left="0"/>
      </w:pPr>
      <w:r>
        <w:rPr>
          <w:rFonts w:ascii="宋体" w:hAnsi="宋体"/>
          <w:sz w:val="24"/>
        </w:rPr>
        <w:t>● 共迭代 6 个版本 (v1–v6)，逐步引入更严格的质控和订正策略。</w:t>
      </w:r>
    </w:p>
    <w:p>
      <w:pPr>
        <w:spacing w:before="240" w:after="80"/>
        <w:ind w:firstLine="0"/>
      </w:pPr>
      <w:r>
        <w:rPr>
          <w:rFonts w:ascii="黑体" w:hAnsi="黑体"/>
          <w:b/>
          <w:sz w:val="26"/>
        </w:rPr>
        <w:t>4.5 误差分析与性能评估</w:t>
      </w:r>
    </w:p>
    <w:p>
      <w:r>
        <w:rPr>
          <w:rFonts w:ascii="宋体" w:hAnsi="宋体"/>
          <w:sz w:val="24"/>
        </w:rPr>
        <w:t>对测试集 419 条独立廓线的 2,368 次观测进行系统评估：</w:t>
      </w:r>
    </w:p>
    <w:p>
      <w:pPr>
        <w:ind w:firstLine="420" w:left="0"/>
      </w:pPr>
      <w:r>
        <w:rPr>
          <w:rFonts w:ascii="宋体" w:hAnsi="宋体"/>
          <w:sz w:val="24"/>
        </w:rPr>
        <w:t>● 总体指标：T RMSE = 1.26 K (偏差 -0.01 K)，RH RMSE = 7.76% (偏差 +0.17%)</w:t>
      </w:r>
    </w:p>
    <w:p>
      <w:pPr>
        <w:ind w:firstLine="420" w:left="0"/>
      </w:pPr>
      <w:r>
        <w:rPr>
          <w:rFonts w:ascii="宋体" w:hAnsi="宋体"/>
          <w:sz w:val="24"/>
        </w:rPr>
        <w:t>● 分层分析：绘制各高度层的 RMSE 廓线、偏差±1σ 包络线和按高度区间统计柱状图</w:t>
      </w:r>
    </w:p>
    <w:p>
      <w:pPr>
        <w:ind w:firstLine="420" w:left="0"/>
      </w:pPr>
      <w:r>
        <w:rPr>
          <w:rFonts w:ascii="宋体" w:hAnsi="宋体"/>
          <w:sz w:val="24"/>
        </w:rPr>
        <w:t>● 极端案例：分析 Best/Median/Worst 廓线的详细误差结构，定位模型薄弱环节</w:t>
      </w:r>
    </w:p>
    <w:p>
      <w:pPr>
        <w:ind w:firstLine="420" w:left="0"/>
      </w:pPr>
      <w:r>
        <w:rPr>
          <w:rFonts w:ascii="宋体" w:hAnsi="宋体"/>
          <w:sz w:val="24"/>
        </w:rPr>
        <w:t>● 版本对比：系统对比 v1–v6 共 6 个版本的性能演变，量化各改进项的贡献</w:t>
      </w:r>
    </w:p>
    <w:p>
      <w:r>
        <w:br w:type="page"/>
      </w:r>
    </w:p>
    <w:p>
      <w:pPr>
        <w:spacing w:before="360" w:after="120"/>
        <w:ind w:firstLine="0"/>
      </w:pPr>
      <w:r>
        <w:rPr>
          <w:rFonts w:ascii="黑体" w:hAnsi="黑体"/>
          <w:b/>
          <w:sz w:val="30"/>
        </w:rPr>
        <w:t>五、实践进度安排</w:t>
      </w:r>
    </w:p>
    <w:p>
      <w:r>
        <w:rPr>
          <w:rFonts w:ascii="宋体" w:hAnsi="宋体"/>
          <w:sz w:val="24"/>
        </w:rPr>
        <w:t>本实践自 2026 年 3 月起至 2026 年 6 月止，历时约 4 个月，分为五个阶段：</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020"/>
            <w:shd w:fill="1a1a2e" w:val="clear"/>
          </w:tcPr>
          <w:p>
            <w:pPr>
              <w:ind w:firstLine="0"/>
              <w:jc w:val="center"/>
            </w:pPr>
            <w:r>
              <w:rPr>
                <w:color w:val="FFFFFF"/>
              </w:rPr>
            </w:r>
            <w:r>
              <w:rPr>
                <w:rFonts w:ascii="宋体" w:hAnsi="宋体"/>
                <w:b/>
                <w:sz w:val="18"/>
              </w:rPr>
              <w:t>阶段</w:t>
            </w:r>
          </w:p>
        </w:tc>
        <w:tc>
          <w:tcPr>
            <w:tcW w:type="dxa" w:w="850"/>
            <w:shd w:fill="1a1a2e" w:val="clear"/>
          </w:tcPr>
          <w:p>
            <w:pPr>
              <w:ind w:firstLine="0"/>
              <w:jc w:val="center"/>
            </w:pPr>
            <w:r>
              <w:rPr>
                <w:color w:val="FFFFFF"/>
              </w:rPr>
            </w:r>
            <w:r>
              <w:rPr>
                <w:rFonts w:ascii="宋体" w:hAnsi="宋体"/>
                <w:b/>
                <w:sz w:val="18"/>
              </w:rPr>
              <w:t>时间</w:t>
            </w:r>
          </w:p>
        </w:tc>
        <w:tc>
          <w:tcPr>
            <w:tcW w:type="dxa" w:w="2154"/>
            <w:shd w:fill="1a1a2e" w:val="clear"/>
          </w:tcPr>
          <w:p>
            <w:pPr>
              <w:ind w:firstLine="0"/>
              <w:jc w:val="center"/>
            </w:pPr>
            <w:r>
              <w:rPr>
                <w:color w:val="FFFFFF"/>
              </w:rPr>
            </w:r>
            <w:r>
              <w:rPr>
                <w:rFonts w:ascii="宋体" w:hAnsi="宋体"/>
                <w:b/>
                <w:sz w:val="18"/>
              </w:rPr>
              <w:t>任务内容</w:t>
            </w:r>
          </w:p>
        </w:tc>
        <w:tc>
          <w:tcPr>
            <w:tcW w:type="dxa" w:w="1701"/>
            <w:shd w:fill="1a1a2e" w:val="clear"/>
          </w:tcPr>
          <w:p>
            <w:pPr>
              <w:ind w:firstLine="0"/>
              <w:jc w:val="center"/>
            </w:pPr>
            <w:r>
              <w:rPr>
                <w:color w:val="FFFFFF"/>
              </w:rPr>
            </w:r>
            <w:r>
              <w:rPr>
                <w:rFonts w:ascii="宋体" w:hAnsi="宋体"/>
                <w:b/>
                <w:sz w:val="18"/>
              </w:rPr>
              <w:t>关键产出</w:t>
            </w:r>
          </w:p>
        </w:tc>
        <w:tc>
          <w:tcPr>
            <w:tcW w:type="dxa" w:w="680"/>
            <w:shd w:fill="1a1a2e" w:val="clear"/>
          </w:tcPr>
          <w:p>
            <w:pPr>
              <w:ind w:firstLine="0"/>
              <w:jc w:val="center"/>
            </w:pPr>
            <w:r>
              <w:rPr>
                <w:color w:val="FFFFFF"/>
              </w:rPr>
            </w:r>
            <w:r>
              <w:rPr>
                <w:rFonts w:ascii="宋体" w:hAnsi="宋体"/>
                <w:b/>
                <w:sz w:val="18"/>
              </w:rPr>
              <w:t>完成度</w:t>
            </w:r>
          </w:p>
        </w:tc>
        <w:tc>
          <w:tcPr>
            <w:tcW w:type="dxa" w:w="1134"/>
            <w:shd w:fill="1a1a2e" w:val="clear"/>
          </w:tcPr>
          <w:p>
            <w:pPr>
              <w:ind w:firstLine="0"/>
              <w:jc w:val="center"/>
            </w:pPr>
            <w:r>
              <w:rPr>
                <w:color w:val="FFFFFF"/>
              </w:rPr>
            </w:r>
            <w:r>
              <w:rPr>
                <w:rFonts w:ascii="宋体" w:hAnsi="宋体"/>
                <w:b/>
                <w:sz w:val="18"/>
              </w:rPr>
              <w:t>备注</w:t>
            </w:r>
          </w:p>
        </w:tc>
      </w:tr>
      <w:tr>
        <w:tc>
          <w:tcPr>
            <w:tcW w:type="dxa" w:w="1020"/>
          </w:tcPr>
          <w:p>
            <w:pPr>
              <w:ind w:firstLine="0"/>
              <w:jc w:val="center"/>
            </w:pPr>
            <w:r/>
            <w:r>
              <w:rPr>
                <w:rFonts w:ascii="宋体" w:hAnsi="宋体"/>
                <w:b w:val="0"/>
                <w:sz w:val="16"/>
              </w:rPr>
              <w:t>第一阶段</w:t>
              <w:br/>
              <w:t>基础搭建</w:t>
            </w:r>
          </w:p>
        </w:tc>
        <w:tc>
          <w:tcPr>
            <w:tcW w:type="dxa" w:w="850"/>
          </w:tcPr>
          <w:p>
            <w:pPr>
              <w:ind w:firstLine="0"/>
              <w:jc w:val="center"/>
            </w:pPr>
            <w:r/>
            <w:r>
              <w:rPr>
                <w:rFonts w:ascii="宋体" w:hAnsi="宋体"/>
                <w:b w:val="0"/>
                <w:sz w:val="16"/>
              </w:rPr>
              <w:t>3月下旬</w:t>
              <w:br/>
              <w:t>–4月中旬</w:t>
            </w:r>
          </w:p>
        </w:tc>
        <w:tc>
          <w:tcPr>
            <w:tcW w:type="dxa" w:w="2154"/>
          </w:tcPr>
          <w:p>
            <w:pPr>
              <w:ind w:firstLine="0"/>
              <w:jc w:val="left"/>
            </w:pPr>
            <w:r/>
            <w:r>
              <w:rPr>
                <w:rFonts w:ascii="宋体" w:hAnsi="宋体"/>
                <w:b w:val="0"/>
                <w:sz w:val="16"/>
              </w:rPr>
              <w:t>Python 开发环境搭建</w:t>
              <w:br/>
              <w:t>ERA5 单层数据下载</w:t>
              <w:br/>
              <w:t>MonoRTM 编译</w:t>
              <w:br/>
              <w:t>BRNN 基线模型设计</w:t>
            </w:r>
          </w:p>
        </w:tc>
        <w:tc>
          <w:tcPr>
            <w:tcW w:type="dxa" w:w="1701"/>
          </w:tcPr>
          <w:p>
            <w:pPr>
              <w:ind w:firstLine="0"/>
              <w:jc w:val="left"/>
            </w:pPr>
            <w:r/>
            <w:r>
              <w:rPr>
                <w:rFonts w:ascii="宋体" w:hAnsi="宋体"/>
                <w:b w:val="0"/>
                <w:sz w:val="16"/>
              </w:rPr>
              <w:t>84 月 sl_*.nc</w:t>
              <w:br/>
              <w:t>bin/monortm</w:t>
              <w:br/>
              <w:t>brnn_model.py</w:t>
            </w:r>
          </w:p>
        </w:tc>
        <w:tc>
          <w:tcPr>
            <w:tcW w:type="dxa" w:w="680"/>
            <w:shd w:fill="e8f5e9" w:val="clear"/>
          </w:tcPr>
          <w:p>
            <w:pPr>
              <w:ind w:firstLine="0"/>
              <w:jc w:val="center"/>
            </w:pPr>
            <w:r/>
            <w:r>
              <w:rPr>
                <w:rFonts w:ascii="宋体" w:hAnsi="宋体"/>
                <w:b w:val="0"/>
                <w:sz w:val="16"/>
              </w:rPr>
              <w:t>100%</w:t>
            </w:r>
          </w:p>
        </w:tc>
        <w:tc>
          <w:tcPr>
            <w:tcW w:type="dxa" w:w="1134"/>
          </w:tcPr>
          <w:p>
            <w:pPr>
              <w:ind w:firstLine="0"/>
              <w:jc w:val="left"/>
            </w:pPr>
            <w:r/>
            <w:r>
              <w:rPr>
                <w:rFonts w:ascii="宋体" w:hAnsi="宋体"/>
                <w:b w:val="0"/>
                <w:sz w:val="16"/>
              </w:rPr>
              <w:t>MonoRTM 编译</w:t>
              <w:br/>
              <w:t>调试耗时较长</w:t>
            </w:r>
          </w:p>
        </w:tc>
      </w:tr>
      <w:tr>
        <w:tc>
          <w:tcPr>
            <w:tcW w:type="dxa" w:w="1020"/>
          </w:tcPr>
          <w:p>
            <w:pPr>
              <w:ind w:firstLine="0"/>
              <w:jc w:val="center"/>
            </w:pPr>
            <w:r/>
            <w:r>
              <w:rPr>
                <w:rFonts w:ascii="宋体" w:hAnsi="宋体"/>
                <w:b w:val="0"/>
                <w:sz w:val="16"/>
              </w:rPr>
              <w:t>第二阶段</w:t>
              <w:br/>
              <w:t>POC 验证</w:t>
            </w:r>
          </w:p>
        </w:tc>
        <w:tc>
          <w:tcPr>
            <w:tcW w:type="dxa" w:w="850"/>
          </w:tcPr>
          <w:p>
            <w:pPr>
              <w:ind w:firstLine="0"/>
              <w:jc w:val="center"/>
            </w:pPr>
            <w:r/>
            <w:r>
              <w:rPr>
                <w:rFonts w:ascii="宋体" w:hAnsi="宋体"/>
                <w:b w:val="0"/>
                <w:sz w:val="16"/>
              </w:rPr>
              <w:t>4月中旬</w:t>
              <w:br/>
              <w:t>–5月上旬</w:t>
            </w:r>
          </w:p>
        </w:tc>
        <w:tc>
          <w:tcPr>
            <w:tcW w:type="dxa" w:w="2154"/>
          </w:tcPr>
          <w:p>
            <w:pPr>
              <w:ind w:firstLine="0"/>
              <w:jc w:val="left"/>
            </w:pPr>
            <w:r/>
            <w:r>
              <w:rPr>
                <w:rFonts w:ascii="宋体" w:hAnsi="宋体"/>
                <w:b w:val="0"/>
                <w:sz w:val="16"/>
              </w:rPr>
              <w:t>POC 管线搭建</w:t>
              <w:br/>
              <w:t>744 条廓线亮温模拟</w:t>
              <w:br/>
              <w:t>单月 BRNN 训练测试</w:t>
              <w:br/>
              <w:t>CDS API 下载策略探索</w:t>
            </w:r>
          </w:p>
        </w:tc>
        <w:tc>
          <w:tcPr>
            <w:tcW w:type="dxa" w:w="1701"/>
          </w:tcPr>
          <w:p>
            <w:pPr>
              <w:ind w:firstLine="0"/>
              <w:jc w:val="left"/>
            </w:pPr>
            <w:r/>
            <w:r>
              <w:rPr>
                <w:rFonts w:ascii="宋体" w:hAnsi="宋体"/>
                <w:b w:val="0"/>
                <w:sz w:val="16"/>
              </w:rPr>
              <w:t>poc_pipeline.py</w:t>
              <w:br/>
              <w:t>adapter_201301.py</w:t>
              <w:br/>
              <w:t>6 个基线模型</w:t>
            </w:r>
          </w:p>
        </w:tc>
        <w:tc>
          <w:tcPr>
            <w:tcW w:type="dxa" w:w="680"/>
            <w:shd w:fill="e8f5e9" w:val="clear"/>
          </w:tcPr>
          <w:p>
            <w:pPr>
              <w:ind w:firstLine="0"/>
              <w:jc w:val="center"/>
            </w:pPr>
            <w:r/>
            <w:r>
              <w:rPr>
                <w:rFonts w:ascii="宋体" w:hAnsi="宋体"/>
                <w:b w:val="0"/>
                <w:sz w:val="16"/>
              </w:rPr>
              <w:t>100%</w:t>
            </w:r>
          </w:p>
        </w:tc>
        <w:tc>
          <w:tcPr>
            <w:tcW w:type="dxa" w:w="1134"/>
          </w:tcPr>
          <w:p>
            <w:pPr>
              <w:ind w:firstLine="0"/>
              <w:jc w:val="left"/>
            </w:pPr>
            <w:r/>
            <w:r>
              <w:rPr>
                <w:rFonts w:ascii="宋体" w:hAnsi="宋体"/>
                <w:b w:val="0"/>
                <w:sz w:val="16"/>
              </w:rPr>
              <w:t>CDS SSL EOF</w:t>
              <w:br/>
              <w:t>问题开始出现</w:t>
            </w:r>
          </w:p>
        </w:tc>
      </w:tr>
      <w:tr>
        <w:tc>
          <w:tcPr>
            <w:tcW w:type="dxa" w:w="1020"/>
          </w:tcPr>
          <w:p>
            <w:pPr>
              <w:ind w:firstLine="0"/>
              <w:jc w:val="center"/>
            </w:pPr>
            <w:r/>
            <w:r>
              <w:rPr>
                <w:rFonts w:ascii="宋体" w:hAnsi="宋体"/>
                <w:b w:val="0"/>
                <w:sz w:val="16"/>
              </w:rPr>
              <w:t>第三阶段</w:t>
              <w:br/>
              <w:t>迭代优化</w:t>
            </w:r>
          </w:p>
        </w:tc>
        <w:tc>
          <w:tcPr>
            <w:tcW w:type="dxa" w:w="850"/>
          </w:tcPr>
          <w:p>
            <w:pPr>
              <w:ind w:firstLine="0"/>
              <w:jc w:val="center"/>
            </w:pPr>
            <w:r/>
            <w:r>
              <w:rPr>
                <w:rFonts w:ascii="宋体" w:hAnsi="宋体"/>
                <w:b w:val="0"/>
                <w:sz w:val="16"/>
              </w:rPr>
              <w:t>5月中旬</w:t>
              <w:br/>
              <w:t>–6月上旬</w:t>
            </w:r>
          </w:p>
        </w:tc>
        <w:tc>
          <w:tcPr>
            <w:tcW w:type="dxa" w:w="2154"/>
          </w:tcPr>
          <w:p>
            <w:pPr>
              <w:ind w:firstLine="0"/>
              <w:jc w:val="left"/>
            </w:pPr>
            <w:r/>
            <w:r>
              <w:rPr>
                <w:rFonts w:ascii="宋体" w:hAnsi="宋体"/>
                <w:b w:val="0"/>
                <w:sz w:val="16"/>
              </w:rPr>
              <w:t>MP-3000A 真实数据训练</w:t>
              <w:br/>
              <w:t>v1 → v6 共 6 轮迭代</w:t>
              <w:br/>
              <w:t>缺陷分析与修复</w:t>
              <w:br/>
              <w:t>MonoRTM TAPE3 数据获取</w:t>
            </w:r>
          </w:p>
        </w:tc>
        <w:tc>
          <w:tcPr>
            <w:tcW w:type="dxa" w:w="1701"/>
          </w:tcPr>
          <w:p>
            <w:pPr>
              <w:ind w:firstLine="0"/>
              <w:jc w:val="left"/>
            </w:pPr>
            <w:r/>
            <w:r>
              <w:rPr>
                <w:rFonts w:ascii="宋体" w:hAnsi="宋体"/>
                <w:b w:val="0"/>
                <w:sz w:val="16"/>
              </w:rPr>
              <w:t>6 个训练脚本</w:t>
              <w:br/>
              <w:t>未订正缺陷分析</w:t>
              <w:br/>
              <w:t>models_mp3000a_v4/</w:t>
            </w:r>
          </w:p>
        </w:tc>
        <w:tc>
          <w:tcPr>
            <w:tcW w:type="dxa" w:w="680"/>
            <w:shd w:fill="e8f5e9" w:val="clear"/>
          </w:tcPr>
          <w:p>
            <w:pPr>
              <w:ind w:firstLine="0"/>
              <w:jc w:val="center"/>
            </w:pPr>
            <w:r/>
            <w:r>
              <w:rPr>
                <w:rFonts w:ascii="宋体" w:hAnsi="宋体"/>
                <w:b w:val="0"/>
                <w:sz w:val="16"/>
              </w:rPr>
              <w:t>100%</w:t>
            </w:r>
          </w:p>
        </w:tc>
        <w:tc>
          <w:tcPr>
            <w:tcW w:type="dxa" w:w="1134"/>
          </w:tcPr>
          <w:p>
            <w:pPr>
              <w:ind w:firstLine="0"/>
              <w:jc w:val="left"/>
            </w:pPr>
            <w:r/>
            <w:r>
              <w:rPr>
                <w:rFonts w:ascii="宋体" w:hAnsi="宋体"/>
                <w:b w:val="0"/>
                <w:sz w:val="16"/>
              </w:rPr>
              <w:t>v4 达到最优</w:t>
              <w:br/>
              <w:t>T=1.26K</w:t>
              <w:br/>
              <w:t>RH=7.76%</w:t>
            </w:r>
          </w:p>
        </w:tc>
      </w:tr>
      <w:tr>
        <w:tc>
          <w:tcPr>
            <w:tcW w:type="dxa" w:w="1020"/>
          </w:tcPr>
          <w:p>
            <w:pPr>
              <w:ind w:firstLine="0"/>
              <w:jc w:val="center"/>
            </w:pPr>
            <w:r/>
            <w:r>
              <w:rPr>
                <w:rFonts w:ascii="宋体" w:hAnsi="宋体"/>
                <w:b w:val="0"/>
                <w:sz w:val="16"/>
              </w:rPr>
              <w:t>第四阶段</w:t>
              <w:br/>
              <w:t>系统集成</w:t>
            </w:r>
          </w:p>
        </w:tc>
        <w:tc>
          <w:tcPr>
            <w:tcW w:type="dxa" w:w="850"/>
          </w:tcPr>
          <w:p>
            <w:pPr>
              <w:ind w:firstLine="0"/>
              <w:jc w:val="center"/>
            </w:pPr>
            <w:r/>
            <w:r>
              <w:rPr>
                <w:rFonts w:ascii="宋体" w:hAnsi="宋体"/>
                <w:b w:val="0"/>
                <w:sz w:val="16"/>
              </w:rPr>
              <w:t>6月上旬</w:t>
              <w:br/>
              <w:t>–6月中旬</w:t>
            </w:r>
          </w:p>
        </w:tc>
        <w:tc>
          <w:tcPr>
            <w:tcW w:type="dxa" w:w="2154"/>
          </w:tcPr>
          <w:p>
            <w:pPr>
              <w:ind w:firstLine="0"/>
              <w:jc w:val="left"/>
            </w:pPr>
            <w:r/>
            <w:r>
              <w:rPr>
                <w:rFonts w:ascii="宋体" w:hAnsi="宋体"/>
                <w:b w:val="0"/>
                <w:sz w:val="16"/>
              </w:rPr>
              <w:t>MonoRTM 调试与修复</w:t>
              <w:br/>
              <w:t>Python 封装完善</w:t>
              <w:br/>
              <w:t>反演管线脚本</w:t>
              <w:br/>
              <w:t>批量仿真准备</w:t>
            </w:r>
          </w:p>
        </w:tc>
        <w:tc>
          <w:tcPr>
            <w:tcW w:type="dxa" w:w="1701"/>
          </w:tcPr>
          <w:p>
            <w:pPr>
              <w:ind w:firstLine="0"/>
              <w:jc w:val="left"/>
            </w:pPr>
            <w:r/>
            <w:r>
              <w:rPr>
                <w:rFonts w:ascii="宋体" w:hAnsi="宋体"/>
                <w:b w:val="0"/>
                <w:sz w:val="16"/>
              </w:rPr>
              <w:t>monortm_wrapper.py</w:t>
              <w:br/>
              <w:t>convert_tape3.py</w:t>
              <w:br/>
              <w:t>retrieve_and_plot.py</w:t>
            </w:r>
          </w:p>
        </w:tc>
        <w:tc>
          <w:tcPr>
            <w:tcW w:type="dxa" w:w="680"/>
            <w:shd w:fill="fff3e0" w:val="clear"/>
          </w:tcPr>
          <w:p>
            <w:pPr>
              <w:ind w:firstLine="0"/>
              <w:jc w:val="center"/>
            </w:pPr>
            <w:r/>
            <w:r>
              <w:rPr>
                <w:rFonts w:ascii="宋体" w:hAnsi="宋体"/>
                <w:b w:val="0"/>
                <w:sz w:val="16"/>
              </w:rPr>
              <w:t>95%</w:t>
            </w:r>
          </w:p>
        </w:tc>
        <w:tc>
          <w:tcPr>
            <w:tcW w:type="dxa" w:w="1134"/>
          </w:tcPr>
          <w:p>
            <w:pPr>
              <w:ind w:firstLine="0"/>
              <w:jc w:val="left"/>
            </w:pPr>
            <w:r/>
            <w:r>
              <w:rPr>
                <w:rFonts w:ascii="宋体" w:hAnsi="宋体"/>
                <w:b w:val="0"/>
                <w:sz w:val="16"/>
              </w:rPr>
              <w:t>CDS 气压层下载</w:t>
              <w:br/>
              <w:t>仍在持续中</w:t>
            </w:r>
          </w:p>
        </w:tc>
      </w:tr>
      <w:tr>
        <w:tc>
          <w:tcPr>
            <w:tcW w:type="dxa" w:w="1020"/>
          </w:tcPr>
          <w:p>
            <w:pPr>
              <w:ind w:firstLine="0"/>
              <w:jc w:val="center"/>
            </w:pPr>
            <w:r/>
            <w:r>
              <w:rPr>
                <w:rFonts w:ascii="宋体" w:hAnsi="宋体"/>
                <w:b w:val="0"/>
                <w:sz w:val="16"/>
              </w:rPr>
              <w:t>第五阶段</w:t>
              <w:br/>
              <w:t>报告撰写</w:t>
            </w:r>
          </w:p>
        </w:tc>
        <w:tc>
          <w:tcPr>
            <w:tcW w:type="dxa" w:w="850"/>
          </w:tcPr>
          <w:p>
            <w:pPr>
              <w:ind w:firstLine="0"/>
              <w:jc w:val="center"/>
            </w:pPr>
            <w:r/>
            <w:r>
              <w:rPr>
                <w:rFonts w:ascii="宋体" w:hAnsi="宋体"/>
                <w:b w:val="0"/>
                <w:sz w:val="16"/>
              </w:rPr>
              <w:t>6月中旬</w:t>
              <w:br/>
              <w:t>–6月下旬</w:t>
            </w:r>
          </w:p>
        </w:tc>
        <w:tc>
          <w:tcPr>
            <w:tcW w:type="dxa" w:w="2154"/>
          </w:tcPr>
          <w:p>
            <w:pPr>
              <w:ind w:firstLine="0"/>
              <w:jc w:val="left"/>
            </w:pPr>
            <w:r/>
            <w:r>
              <w:rPr>
                <w:rFonts w:ascii="宋体" w:hAnsi="宋体"/>
                <w:b w:val="0"/>
                <w:sz w:val="16"/>
              </w:rPr>
              <w:t>技术报告撰写</w:t>
              <w:br/>
              <w:t>Word 文档编排</w:t>
              <w:br/>
              <w:t>结果图表整理</w:t>
              <w:br/>
              <w:t>GitHub 代码归档</w:t>
            </w:r>
          </w:p>
        </w:tc>
        <w:tc>
          <w:tcPr>
            <w:tcW w:type="dxa" w:w="1701"/>
          </w:tcPr>
          <w:p>
            <w:pPr>
              <w:ind w:firstLine="0"/>
              <w:jc w:val="left"/>
            </w:pPr>
            <w:r/>
            <w:r>
              <w:rPr>
                <w:rFonts w:ascii="宋体" w:hAnsi="宋体"/>
                <w:b w:val="0"/>
                <w:sz w:val="16"/>
              </w:rPr>
              <w:t>技术报告 .docx</w:t>
              <w:br/>
              <w:t>实践报告 .docx</w:t>
              <w:br/>
              <w:t>GitHub 推送</w:t>
            </w:r>
          </w:p>
        </w:tc>
        <w:tc>
          <w:tcPr>
            <w:tcW w:type="dxa" w:w="680"/>
            <w:shd w:fill="fff3e0" w:val="clear"/>
          </w:tcPr>
          <w:p>
            <w:pPr>
              <w:ind w:firstLine="0"/>
              <w:jc w:val="center"/>
            </w:pPr>
            <w:r/>
            <w:r>
              <w:rPr>
                <w:rFonts w:ascii="宋体" w:hAnsi="宋体"/>
                <w:b w:val="0"/>
                <w:sz w:val="16"/>
              </w:rPr>
              <w:t>90%</w:t>
            </w:r>
          </w:p>
        </w:tc>
        <w:tc>
          <w:tcPr>
            <w:tcW w:type="dxa" w:w="1134"/>
          </w:tcPr>
          <w:p>
            <w:pPr>
              <w:ind w:firstLine="0"/>
              <w:jc w:val="left"/>
            </w:pPr>
            <w:r/>
            <w:r>
              <w:rPr>
                <w:rFonts w:ascii="宋体" w:hAnsi="宋体"/>
                <w:b w:val="0"/>
                <w:sz w:val="16"/>
              </w:rPr>
              <w:t>当前阶段</w:t>
            </w:r>
          </w:p>
        </w:tc>
      </w:tr>
    </w:tbl>
    <w:p/>
    <w:p>
      <w:pPr>
        <w:spacing w:before="240" w:after="80"/>
        <w:ind w:firstLine="0"/>
      </w:pPr>
      <w:r>
        <w:rPr>
          <w:rFonts w:ascii="黑体" w:hAnsi="黑体"/>
          <w:b/>
          <w:sz w:val="26"/>
        </w:rPr>
        <w:t>时间线概览</w:t>
      </w:r>
    </w:p>
    <w:p>
      <w:pPr>
        <w:ind w:firstLine="0"/>
      </w:pPr>
      <w:r>
        <w:rPr>
          <w:rFonts w:ascii="黑体" w:hAnsi="黑体"/>
          <w:b/>
          <w:sz w:val="22"/>
        </w:rPr>
        <w:t>3月 (第1–2周)：</w:t>
      </w:r>
      <w:r>
        <w:rPr>
          <w:rFonts w:ascii="宋体" w:hAnsi="宋体"/>
          <w:sz w:val="22"/>
        </w:rPr>
        <w:t>环境搭建：Python, PyTorch, xarray, cdsapi 安装配置。</w:t>
      </w:r>
    </w:p>
    <w:p>
      <w:pPr>
        <w:ind w:firstLine="0"/>
      </w:pPr>
      <w:r>
        <w:rPr>
          <w:rFonts w:ascii="黑体" w:hAnsi="黑体"/>
          <w:b/>
          <w:sz w:val="22"/>
        </w:rPr>
        <w:t>3月 (第3–4周)：</w:t>
      </w:r>
      <w:r>
        <w:rPr>
          <w:rFonts w:ascii="宋体" w:hAnsi="宋体"/>
          <w:sz w:val="22"/>
        </w:rPr>
        <w:t>数据获取：通过 CDS + ARCO 下载 ERA5 单层及气压层数据。</w:t>
      </w:r>
    </w:p>
    <w:p>
      <w:pPr>
        <w:ind w:firstLine="0"/>
      </w:pPr>
      <w:r>
        <w:rPr>
          <w:rFonts w:ascii="黑体" w:hAnsi="黑体"/>
          <w:b/>
          <w:sz w:val="22"/>
        </w:rPr>
        <w:t>4月 (第1–2周)：</w:t>
      </w:r>
      <w:r>
        <w:rPr>
          <w:rFonts w:ascii="宋体" w:hAnsi="宋体"/>
          <w:sz w:val="22"/>
        </w:rPr>
        <w:t>POC 管线：利用 744 条模拟廓线验证 RTM + BRNN 管线可行性。</w:t>
      </w:r>
    </w:p>
    <w:p>
      <w:pPr>
        <w:ind w:firstLine="0"/>
      </w:pPr>
      <w:r>
        <w:rPr>
          <w:rFonts w:ascii="黑体" w:hAnsi="黑体"/>
          <w:b/>
          <w:sz w:val="22"/>
        </w:rPr>
        <w:t>4月 (第3–4周)：</w:t>
      </w:r>
      <w:r>
        <w:rPr>
          <w:rFonts w:ascii="宋体" w:hAnsi="宋体"/>
          <w:sz w:val="22"/>
        </w:rPr>
        <w:t>真实数据训练：使用 MP-3000A 实测数据开展 v1/v2 基线训练。</w:t>
      </w:r>
    </w:p>
    <w:p>
      <w:pPr>
        <w:ind w:firstLine="0"/>
      </w:pPr>
      <w:r>
        <w:rPr>
          <w:rFonts w:ascii="黑体" w:hAnsi="黑体"/>
          <w:b/>
          <w:sz w:val="22"/>
        </w:rPr>
        <w:t>5月 (第1–2周)：</w:t>
      </w:r>
      <w:r>
        <w:rPr>
          <w:rFonts w:ascii="宋体" w:hAnsi="宋体"/>
          <w:sz w:val="22"/>
        </w:rPr>
        <w:t>迭代优化：v3 (Sim_BT) → 发现 Domain Gap → v4 (三项改进) 达到最优。</w:t>
      </w:r>
    </w:p>
    <w:p>
      <w:pPr>
        <w:ind w:firstLine="0"/>
      </w:pPr>
      <w:r>
        <w:rPr>
          <w:rFonts w:ascii="黑体" w:hAnsi="黑体"/>
          <w:b/>
          <w:sz w:val="22"/>
        </w:rPr>
        <w:t>5月 (第3–4周)：</w:t>
      </w:r>
      <w:r>
        <w:rPr>
          <w:rFonts w:ascii="宋体" w:hAnsi="宋体"/>
          <w:sz w:val="22"/>
        </w:rPr>
        <w:t>辐射传输调试：TAPE3 光谱数据下载、MonoRTM 问题排查与修复。</w:t>
      </w:r>
    </w:p>
    <w:p>
      <w:pPr>
        <w:ind w:firstLine="0"/>
      </w:pPr>
      <w:r>
        <w:rPr>
          <w:rFonts w:ascii="黑体" w:hAnsi="黑体"/>
          <w:b/>
          <w:sz w:val="22"/>
        </w:rPr>
        <w:t>6月 (第1–2周)：</w:t>
      </w:r>
      <w:r>
        <w:rPr>
          <w:rFonts w:ascii="宋体" w:hAnsi="宋体"/>
          <w:sz w:val="22"/>
        </w:rPr>
        <w:t>系统集成：Python wrapper 完善、批量仿真准备、v6 两阶段训练探索。</w:t>
      </w:r>
    </w:p>
    <w:p>
      <w:pPr>
        <w:ind w:firstLine="0"/>
      </w:pPr>
      <w:r>
        <w:rPr>
          <w:rFonts w:ascii="黑体" w:hAnsi="黑体"/>
          <w:b/>
          <w:sz w:val="22"/>
        </w:rPr>
        <w:t>6月 (第3–4周)：</w:t>
      </w:r>
      <w:r>
        <w:rPr>
          <w:rFonts w:ascii="宋体" w:hAnsi="宋体"/>
          <w:sz w:val="22"/>
        </w:rPr>
        <w:t>报告撰写：技术报告 + 实践报告的文档化，图表结果汇总，代码归档推送。</w:t>
      </w:r>
    </w:p>
    <w:p>
      <w:r>
        <w:br w:type="page"/>
      </w:r>
    </w:p>
    <w:p>
      <w:pPr>
        <w:spacing w:before="360" w:after="120"/>
        <w:ind w:firstLine="0"/>
      </w:pPr>
      <w:r>
        <w:rPr>
          <w:rFonts w:ascii="黑体" w:hAnsi="黑体"/>
          <w:b/>
          <w:sz w:val="30"/>
        </w:rPr>
        <w:t>六、实践预期成果</w:t>
      </w:r>
    </w:p>
    <w:p>
      <w:pPr>
        <w:spacing w:before="240" w:after="80"/>
        <w:ind w:firstLine="0"/>
      </w:pPr>
      <w:r>
        <w:rPr>
          <w:rFonts w:ascii="黑体" w:hAnsi="黑体"/>
          <w:b/>
          <w:sz w:val="26"/>
        </w:rPr>
        <w:t>6.1 科研技术成果</w:t>
      </w:r>
    </w:p>
    <w:p>
      <w:r>
        <w:rPr>
          <w:rFonts w:ascii="宋体" w:hAnsi="宋体"/>
          <w:sz w:val="24"/>
        </w:rPr>
        <w:t>(1) 一套完整的微波辐射计廓线反演系统</w:t>
      </w:r>
    </w:p>
    <w:p>
      <w:r>
        <w:rPr>
          <w:rFonts w:ascii="宋体" w:hAnsi="宋体"/>
          <w:sz w:val="24"/>
        </w:rPr>
        <w:t>包括数据获取、质控、BT 订正、BRNN 模型训练、反演推理、误差评估的全流程 Python 管线，代码已在 GitHub 开源 (https://github.com/3035596206/mwr-retrieval)。</w:t>
      </w:r>
    </w:p>
    <w:p>
      <w:r>
        <w:rPr>
          <w:rFonts w:ascii="宋体" w:hAnsi="宋体"/>
          <w:sz w:val="24"/>
        </w:rPr>
        <w:t>(2) 达到国际先进水平的反演精度</w:t>
      </w:r>
    </w:p>
    <w:p>
      <w:pPr>
        <w:ind w:firstLine="420" w:left="0"/>
      </w:pPr>
      <w:r>
        <w:rPr>
          <w:rFonts w:ascii="宋体" w:hAnsi="宋体"/>
          <w:sz w:val="24"/>
        </w:rPr>
        <w:t>● 温度均方根误差 T RMSE = 1.26 K，优于论文基准 (1.5 K) 16%</w:t>
      </w:r>
    </w:p>
    <w:p>
      <w:pPr>
        <w:ind w:firstLine="420" w:left="0"/>
      </w:pPr>
      <w:r>
        <w:rPr>
          <w:rFonts w:ascii="宋体" w:hAnsi="宋体"/>
          <w:sz w:val="24"/>
        </w:rPr>
        <w:t>● 相对湿度均方根误差 RH RMSE = 7.76%，优于论文基准 (12–13%) 约 35%</w:t>
      </w:r>
    </w:p>
    <w:p>
      <w:pPr>
        <w:ind w:firstLine="420" w:left="0"/>
      </w:pPr>
      <w:r>
        <w:rPr>
          <w:rFonts w:ascii="宋体" w:hAnsi="宋体"/>
          <w:sz w:val="24"/>
        </w:rPr>
        <w:t>● 所有指标偏差均在 ±0.5% (T) / ±2% (RH) 范围内，无系统性偏移</w:t>
      </w:r>
    </w:p>
    <w:p>
      <w:r>
        <w:rPr>
          <w:rFonts w:ascii="宋体" w:hAnsi="宋体"/>
          <w:sz w:val="24"/>
        </w:rPr>
        <w:t>(3) MonoRTM 辐射传输模型集成</w:t>
      </w:r>
    </w:p>
    <w:p>
      <w:r>
        <w:rPr>
          <w:rFonts w:ascii="宋体" w:hAnsi="宋体"/>
          <w:sz w:val="24"/>
        </w:rPr>
        <w:t>修复了 MonoRTM v5.6 在 ARM64 macOS 上的兼容性问题，开发了 ASCII→二进制 TAPE3 光谱数据转换器，完善了 Python 封装接口，使该行业标准模型可在现代 Mac 环境下运行。</w:t>
      </w:r>
    </w:p>
    <w:p>
      <w:r>
        <w:rPr>
          <w:rFonts w:ascii="宋体" w:hAnsi="宋体"/>
          <w:sz w:val="24"/>
        </w:rPr>
        <w:t>(4) 数据缺陷与改良方向分析</w:t>
      </w:r>
    </w:p>
    <w:p>
      <w:r>
        <w:rPr>
          <w:rFonts w:ascii="宋体" w:hAnsi="宋体"/>
          <w:sz w:val="24"/>
        </w:rPr>
        <w:t>系统性识别和分类了 5 个数据质量缺陷（K 波段云污染、Sim/Obs 域间差异、OMB 厚尾分布、数据划分泄露、BT 订正泛化性），并提出了 6 个改良方向（MonoRTM 大规模预训练、物理约束正则化、多模态融合、域适应学习、时序一致性、跨仪器迁移），为后续研究提供了明确路线。</w:t>
      </w:r>
    </w:p>
    <w:p>
      <w:pPr>
        <w:spacing w:before="240" w:after="80"/>
        <w:ind w:firstLine="0"/>
      </w:pPr>
      <w:r>
        <w:rPr>
          <w:rFonts w:ascii="黑体" w:hAnsi="黑体"/>
          <w:b/>
          <w:sz w:val="26"/>
        </w:rPr>
        <w:t>6.2 软件与文档成果</w:t>
      </w:r>
    </w:p>
    <w:p>
      <w:pPr>
        <w:ind w:firstLine="420" w:left="0"/>
      </w:pPr>
      <w:r>
        <w:rPr>
          <w:rFonts w:ascii="宋体" w:hAnsi="宋体"/>
          <w:sz w:val="24"/>
        </w:rPr>
        <w:t>● GitHub 开源仓库：包含 40+ 个文件 (Python 脚本、模型权重、分析图表、文档)，累计 46 次 commit，5 个 git tag 标记关键版本里程碑。</w:t>
      </w:r>
    </w:p>
    <w:p>
      <w:pPr>
        <w:ind w:firstLine="420" w:left="0"/>
      </w:pPr>
      <w:r>
        <w:rPr>
          <w:rFonts w:ascii="宋体" w:hAnsi="宋体"/>
          <w:sz w:val="24"/>
        </w:rPr>
        <w:t>● Python 软件模块：src/ 目录下包括亮温模拟、ERA5 预处理、质控订正、BRNN 模型定义、MonoRTM 封装等 8 个核心模块。</w:t>
      </w:r>
    </w:p>
    <w:p>
      <w:pPr>
        <w:ind w:firstLine="420" w:left="0"/>
      </w:pPr>
      <w:r>
        <w:rPr>
          <w:rFonts w:ascii="宋体" w:hAnsi="宋体"/>
          <w:sz w:val="24"/>
        </w:rPr>
        <w:t>● 技术报告：Word (.docx) + PDF 格式的完整技术报告，包含 7 个章节、6 幅专业图表、5 种缺陷分析表格。</w:t>
      </w:r>
    </w:p>
    <w:p>
      <w:pPr>
        <w:ind w:firstLine="420" w:left="0"/>
      </w:pPr>
      <w:r>
        <w:rPr>
          <w:rFonts w:ascii="宋体" w:hAnsi="宋体"/>
          <w:sz w:val="24"/>
        </w:rPr>
        <w:t>● 专业实践报告：本 Word 文档，系统总结课题背景、实践过程与专业收获。</w:t>
      </w:r>
    </w:p>
    <w:p>
      <w:pPr>
        <w:spacing w:before="240" w:after="80"/>
        <w:ind w:firstLine="0"/>
      </w:pPr>
      <w:r>
        <w:rPr>
          <w:rFonts w:ascii="黑体" w:hAnsi="黑体"/>
          <w:b/>
          <w:sz w:val="26"/>
        </w:rPr>
        <w:t>6.3 专业能力收获</w:t>
      </w:r>
    </w:p>
    <w:p>
      <w:r>
        <w:rPr>
          <w:rFonts w:ascii="宋体" w:hAnsi="宋体"/>
          <w:sz w:val="24"/>
        </w:rPr>
        <w:t>(1) 大气遥感专业知识</w:t>
      </w:r>
    </w:p>
    <w:p>
      <w:pPr>
        <w:ind w:firstLine="420" w:left="0"/>
      </w:pPr>
      <w:r>
        <w:rPr>
          <w:rFonts w:ascii="宋体" w:hAnsi="宋体"/>
          <w:sz w:val="24"/>
        </w:rPr>
        <w:t>● 深入理解微波辐射计的测量原理、辐射传输方程和权重函数概念。</w:t>
      </w:r>
    </w:p>
    <w:p>
      <w:pPr>
        <w:ind w:firstLine="420" w:left="0"/>
      </w:pPr>
      <w:r>
        <w:rPr>
          <w:rFonts w:ascii="宋体" w:hAnsi="宋体"/>
          <w:sz w:val="24"/>
        </w:rPr>
        <w:t>● 掌握 HATPRO/MP-3000A 型微波辐射计的技术参数和数据处理链路。</w:t>
      </w:r>
    </w:p>
    <w:p>
      <w:pPr>
        <w:ind w:firstLine="420" w:left="0"/>
      </w:pPr>
      <w:r>
        <w:rPr>
          <w:rFonts w:ascii="宋体" w:hAnsi="宋体"/>
          <w:sz w:val="24"/>
        </w:rPr>
        <w:t>● 了解 ERA5 再分析数据的产品体系和检索方法。</w:t>
      </w:r>
    </w:p>
    <w:p>
      <w:r>
        <w:rPr>
          <w:rFonts w:ascii="宋体" w:hAnsi="宋体"/>
          <w:sz w:val="24"/>
        </w:rPr>
        <w:t>(2) 编程与软件工程能力</w:t>
      </w:r>
    </w:p>
    <w:p>
      <w:pPr>
        <w:ind w:firstLine="420" w:left="0"/>
      </w:pPr>
      <w:r>
        <w:rPr>
          <w:rFonts w:ascii="宋体" w:hAnsi="宋体"/>
          <w:sz w:val="24"/>
        </w:rPr>
        <w:t>● 能够独立设计模块化、可扩展的科学计算软件架构。</w:t>
      </w:r>
    </w:p>
    <w:p>
      <w:pPr>
        <w:ind w:firstLine="420" w:left="0"/>
      </w:pPr>
      <w:r>
        <w:rPr>
          <w:rFonts w:ascii="宋体" w:hAnsi="宋体"/>
          <w:sz w:val="24"/>
        </w:rPr>
        <w:t>● 具备跨语言开发经验 (Python 顶层 + Fortran 底层计算核心)。</w:t>
      </w:r>
    </w:p>
    <w:p>
      <w:pPr>
        <w:ind w:firstLine="420" w:left="0"/>
      </w:pPr>
      <w:r>
        <w:rPr>
          <w:rFonts w:ascii="宋体" w:hAnsi="宋体"/>
          <w:sz w:val="24"/>
        </w:rPr>
        <w:t>● 熟练掌握 Git 版本控制和 GitHub 开源协作流程。</w:t>
      </w:r>
    </w:p>
    <w:p>
      <w:pPr>
        <w:ind w:firstLine="420" w:left="0"/>
      </w:pPr>
      <w:r>
        <w:rPr>
          <w:rFonts w:ascii="宋体" w:hAnsi="宋体"/>
          <w:sz w:val="24"/>
        </w:rPr>
        <w:t>● 能够应对复杂的软件依赖和环境配置问题 (gfortran 版本兼容、ARM64 交叉编译)。</w:t>
      </w:r>
    </w:p>
    <w:p>
      <w:r>
        <w:rPr>
          <w:rFonts w:ascii="宋体" w:hAnsi="宋体"/>
          <w:sz w:val="24"/>
        </w:rPr>
        <w:t>(3) 科学研究方法论</w:t>
      </w:r>
    </w:p>
    <w:p>
      <w:pPr>
        <w:ind w:firstLine="420" w:left="0"/>
      </w:pPr>
      <w:r>
        <w:rPr>
          <w:rFonts w:ascii="宋体" w:hAnsi="宋体"/>
          <w:sz w:val="24"/>
        </w:rPr>
        <w:t>● 掌握了从文献调研 → 数据获取 → 实验设计 → 迭代优化 → 误差分析 → 报告撰写的完整科研流程。</w:t>
      </w:r>
    </w:p>
    <w:p>
      <w:pPr>
        <w:ind w:firstLine="420" w:left="0"/>
      </w:pPr>
      <w:r>
        <w:rPr>
          <w:rFonts w:ascii="宋体" w:hAnsi="宋体"/>
          <w:sz w:val="24"/>
        </w:rPr>
        <w:t>● 学会了用数据驱动的方式定位和解决科学问题 (如从 OMB 分布发现 Domain Gap)。</w:t>
      </w:r>
    </w:p>
    <w:p>
      <w:pPr>
        <w:ind w:firstLine="420" w:left="0"/>
      </w:pPr>
      <w:r>
        <w:rPr>
          <w:rFonts w:ascii="宋体" w:hAnsi="宋体"/>
          <w:sz w:val="24"/>
        </w:rPr>
        <w:t>● 建立了版本化实验管理的意识 (v1–v6 系统化迭代，各版本可独立复现)。</w:t>
      </w:r>
    </w:p>
    <w:p>
      <w:r>
        <w:rPr>
          <w:rFonts w:ascii="宋体" w:hAnsi="宋体"/>
          <w:sz w:val="24"/>
        </w:rPr>
        <w:t>(4) 文档与表达能力</w:t>
      </w:r>
    </w:p>
    <w:p>
      <w:pPr>
        <w:ind w:firstLine="420" w:left="0"/>
      </w:pPr>
      <w:r>
        <w:rPr>
          <w:rFonts w:ascii="宋体" w:hAnsi="宋体"/>
          <w:sz w:val="24"/>
        </w:rPr>
        <w:t>● 能够撰写结构规范、图文并茂的中文技术报告，满足学术和工程双重要求。</w:t>
      </w:r>
    </w:p>
    <w:p>
      <w:pPr>
        <w:ind w:firstLine="420" w:left="0"/>
      </w:pPr>
      <w:r>
        <w:rPr>
          <w:rFonts w:ascii="宋体" w:hAnsi="宋体"/>
          <w:sz w:val="24"/>
        </w:rPr>
        <w:t>● 掌握使用 matplotlib/python-docx 等工具自动生成专业图表和 Word 文档的技能。</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