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8E09" w14:textId="77777777" w:rsidR="00E11EBF" w:rsidRDefault="00E11EBF">
      <w:pPr>
        <w:spacing w:before="2000"/>
      </w:pPr>
    </w:p>
    <w:p w14:paraId="2A85C789" w14:textId="77777777" w:rsidR="00E11EBF" w:rsidRDefault="00000000">
      <w:pPr>
        <w:jc w:val="center"/>
      </w:pPr>
      <w:r>
        <w:rPr>
          <w:b/>
          <w:bCs/>
          <w:color w:val="1A365D"/>
          <w:sz w:val="56"/>
          <w:szCs w:val="56"/>
        </w:rPr>
        <w:t>PRICE-INSENSITIVE FLOWS</w:t>
      </w:r>
    </w:p>
    <w:p w14:paraId="6944AB8F" w14:textId="77777777" w:rsidR="00E11EBF" w:rsidRDefault="00000000">
      <w:pPr>
        <w:spacing w:before="200" w:after="200"/>
        <w:jc w:val="center"/>
      </w:pPr>
      <w:r>
        <w:rPr>
          <w:b/>
          <w:bCs/>
          <w:color w:val="1A365D"/>
          <w:sz w:val="48"/>
          <w:szCs w:val="48"/>
        </w:rPr>
        <w:t>IN EQUITY MARKETS</w:t>
      </w:r>
    </w:p>
    <w:p w14:paraId="0A767028" w14:textId="77777777" w:rsidR="00E11EBF" w:rsidRDefault="00000000">
      <w:pPr>
        <w:spacing w:before="300"/>
        <w:jc w:val="center"/>
      </w:pPr>
      <w:r>
        <w:rPr>
          <w:color w:val="2C5282"/>
          <w:sz w:val="28"/>
          <w:szCs w:val="28"/>
        </w:rPr>
        <w:t>A Comprehensive Guide to Mechanical, Predictable Trading Flows</w:t>
      </w:r>
    </w:p>
    <w:p w14:paraId="7CB974E3" w14:textId="77777777" w:rsidR="00E11EBF" w:rsidRDefault="00000000">
      <w:pPr>
        <w:spacing w:before="600"/>
        <w:jc w:val="center"/>
      </w:pPr>
      <w:r>
        <w:rPr>
          <w:color w:val="718096"/>
        </w:rPr>
        <w:t>Index Rebalancing • Options/Gamma • Pension Flows • Leveraged ETFs • Corporate Actions</w:t>
      </w:r>
    </w:p>
    <w:p w14:paraId="71C617CE" w14:textId="77777777" w:rsidR="00E11EBF" w:rsidRDefault="00000000">
      <w:pPr>
        <w:spacing w:before="800"/>
        <w:jc w:val="center"/>
      </w:pPr>
      <w:r>
        <w:t>January 2026</w:t>
      </w:r>
    </w:p>
    <w:p w14:paraId="578C370A" w14:textId="77777777" w:rsidR="00E11EBF" w:rsidRDefault="00000000">
      <w:r>
        <w:br w:type="page"/>
      </w:r>
    </w:p>
    <w:p w14:paraId="3928688E" w14:textId="77777777" w:rsidR="00E11EBF" w:rsidRDefault="00000000">
      <w:pPr>
        <w:pStyle w:val="Heading1"/>
      </w:pPr>
      <w:r>
        <w:t>Executive Summary</w:t>
      </w:r>
    </w:p>
    <w:p w14:paraId="5E3FD4F8" w14:textId="77777777" w:rsidR="00E11EBF" w:rsidRDefault="00000000">
      <w:pPr>
        <w:spacing w:after="150"/>
        <w:jc w:val="both"/>
      </w:pPr>
      <w:r>
        <w:t>Price-insensitive flows represent one of the most exploitable edges in modern markets. These are trades that MUST occur regardless of price - driven by index rules, derivative mechanics, or institutional mandates. Unlike fundamental flows, they are predictable in timing and often in magnitude, creating systematic trading opportunities.</w:t>
      </w:r>
    </w:p>
    <w:p w14:paraId="51DA0F93" w14:textId="77777777" w:rsidR="00E11EBF" w:rsidRDefault="00000000">
      <w:pPr>
        <w:spacing w:after="150"/>
        <w:jc w:val="both"/>
      </w:pPr>
      <w:r>
        <w:t>Think of it like a forced seller at an auction: when a pension fund must rebalance at quarter-end, or an index fund must buy an addition, they cannot wait for a better price. This creates temporary supply/demand imbalances that sophisticated traders exploit.</w:t>
      </w:r>
    </w:p>
    <w:p w14:paraId="3594604E" w14:textId="77777777" w:rsidR="00E11EBF" w:rsidRDefault="00000000">
      <w:pPr>
        <w:spacing w:before="200" w:after="100"/>
      </w:pPr>
      <w:r>
        <w:rPr>
          <w:b/>
          <w:bCs/>
          <w:color w:val="1A365D"/>
          <w:sz w:val="24"/>
          <w:szCs w:val="24"/>
        </w:rPr>
        <w:t>Major Categories of Price-Insensitive Flows: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0"/>
        <w:gridCol w:w="2339"/>
        <w:gridCol w:w="2340"/>
      </w:tblGrid>
      <w:tr w:rsidR="00E11EBF" w14:paraId="6DFF8E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6B60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0FF3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BC175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Impact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79BA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Predictability</w:t>
            </w:r>
          </w:p>
        </w:tc>
      </w:tr>
      <w:tr w:rsidR="00E11EBF" w14:paraId="293814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7B2C" w14:textId="77777777" w:rsidR="00E11EBF" w:rsidRDefault="00000000">
            <w:r>
              <w:rPr>
                <w:color w:val="000000"/>
                <w:sz w:val="20"/>
                <w:szCs w:val="20"/>
              </w:rPr>
              <w:t>Index Rebalancing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F94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Quarterly/Annual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549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1-7%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C12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E11EBF" w14:paraId="69E82F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52FA" w14:textId="77777777" w:rsidR="00E11EBF" w:rsidRDefault="00000000">
            <w:r>
              <w:rPr>
                <w:color w:val="000000"/>
                <w:sz w:val="20"/>
                <w:szCs w:val="20"/>
              </w:rPr>
              <w:t>Options/Gamma Flows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232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Daily/Weekly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687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0.5-3%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FE3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E11EBF" w14:paraId="7FD88F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225F" w14:textId="77777777" w:rsidR="00E11EBF" w:rsidRDefault="00000000">
            <w:r>
              <w:rPr>
                <w:color w:val="000000"/>
                <w:sz w:val="20"/>
                <w:szCs w:val="20"/>
              </w:rPr>
              <w:t>Pension Rebalancing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47E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Month/Quarter-End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C43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0.1-0.5%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D89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E11EBF" w14:paraId="200CD0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F2EC" w14:textId="77777777" w:rsidR="00E11EBF" w:rsidRDefault="00000000">
            <w:r>
              <w:rPr>
                <w:color w:val="000000"/>
                <w:sz w:val="20"/>
                <w:szCs w:val="20"/>
              </w:rPr>
              <w:t>Leveraged ETF Rebal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05D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Daily (EOD)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45E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0.5-2%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64BF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High</w:t>
            </w:r>
          </w:p>
        </w:tc>
      </w:tr>
      <w:tr w:rsidR="00E11EBF" w14:paraId="5085C8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962F" w14:textId="77777777" w:rsidR="00E11EBF" w:rsidRDefault="00000000">
            <w:r>
              <w:rPr>
                <w:color w:val="000000"/>
                <w:sz w:val="20"/>
                <w:szCs w:val="20"/>
              </w:rPr>
              <w:t>Corporate Actions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4AB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Event-Driven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067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5-20%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5DE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E11EBF" w14:paraId="0EC738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798D" w14:textId="77777777" w:rsidR="00E11EBF" w:rsidRDefault="00000000">
            <w:r>
              <w:rPr>
                <w:color w:val="000000"/>
                <w:sz w:val="20"/>
                <w:szCs w:val="20"/>
              </w:rPr>
              <w:t>VIX Product Flows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F4D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5F3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529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High</w:t>
            </w:r>
          </w:p>
        </w:tc>
      </w:tr>
    </w:tbl>
    <w:p w14:paraId="0BD46729" w14:textId="77777777" w:rsidR="00E11EBF" w:rsidRDefault="00000000">
      <w:r>
        <w:br w:type="page"/>
      </w:r>
    </w:p>
    <w:p w14:paraId="6E864E3B" w14:textId="77777777" w:rsidR="00E11EBF" w:rsidRDefault="00000000">
      <w:pPr>
        <w:pStyle w:val="Heading1"/>
      </w:pPr>
      <w:r>
        <w:t>1. Index Rebalancing Flows</w:t>
      </w:r>
    </w:p>
    <w:p w14:paraId="3174326F" w14:textId="77777777" w:rsidR="00E11EBF" w:rsidRDefault="00000000">
      <w:pPr>
        <w:spacing w:after="150"/>
        <w:jc w:val="both"/>
      </w:pPr>
      <w:r>
        <w:t>Index rebalancing represents the largest and most well-documented source of price-insensitive flows. When indices add or remove constituents, trillions of dollars in benchmarked assets must adjust their holdings regardless of price.</w:t>
      </w:r>
    </w:p>
    <w:p w14:paraId="51BF8FAF" w14:textId="77777777" w:rsidR="00E11EBF" w:rsidRDefault="00000000">
      <w:pPr>
        <w:pStyle w:val="Heading2"/>
      </w:pPr>
      <w:r>
        <w:t>1.1 S&amp;P 500 Index Changes</w:t>
      </w:r>
    </w:p>
    <w:p w14:paraId="3CF811BA" w14:textId="77777777" w:rsidR="00E11EBF" w:rsidRDefault="00000000">
      <w:pPr>
        <w:spacing w:after="150"/>
        <w:jc w:val="both"/>
      </w:pPr>
      <w:r>
        <w:t>The S&amp;P 500 is tracked by approximately $16 trillion in assets. When a stock is added, passive funds must buy; when removed, they must sell. The announcement-to-effective window typically spans 5-15 trading days.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2"/>
        <w:gridCol w:w="1872"/>
        <w:gridCol w:w="1872"/>
      </w:tblGrid>
      <w:tr w:rsidR="00E11EBF" w14:paraId="0B96DFA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CEEA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C4D9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1990s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97A49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539F5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342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</w:tr>
      <w:tr w:rsidR="00E11EBF" w14:paraId="5F6304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3D6C" w14:textId="77777777" w:rsidR="00E11EBF" w:rsidRDefault="00000000">
            <w:r>
              <w:rPr>
                <w:color w:val="000000"/>
                <w:sz w:val="20"/>
                <w:szCs w:val="20"/>
              </w:rPr>
              <w:t>Avg Addition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28B6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+7.4%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84BD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3077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+1.0%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FBB4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+2-4%</w:t>
            </w:r>
          </w:p>
        </w:tc>
      </w:tr>
      <w:tr w:rsidR="00E11EBF" w14:paraId="16257F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FF9C" w14:textId="77777777" w:rsidR="00E11EBF" w:rsidRDefault="00000000">
            <w:r>
              <w:rPr>
                <w:color w:val="000000"/>
                <w:sz w:val="20"/>
                <w:szCs w:val="20"/>
              </w:rPr>
              <w:t>Avg Deletion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073F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-16.1%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D43B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-12.4%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94D3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-0.6%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681B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-2%</w:t>
            </w:r>
          </w:p>
        </w:tc>
      </w:tr>
      <w:tr w:rsidR="00E11EBF" w14:paraId="343A7E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5A20" w14:textId="77777777" w:rsidR="00E11EBF" w:rsidRDefault="00000000">
            <w:r>
              <w:rPr>
                <w:color w:val="000000"/>
                <w:sz w:val="20"/>
                <w:szCs w:val="20"/>
              </w:rPr>
              <w:t>Days to Effective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4D2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93C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FF6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ACF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10-17</w:t>
            </w:r>
          </w:p>
        </w:tc>
      </w:tr>
      <w:tr w:rsidR="00E11EBF" w14:paraId="70B924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4115" w14:textId="77777777" w:rsidR="00E11EBF" w:rsidRDefault="00000000">
            <w:r>
              <w:rPr>
                <w:color w:val="000000"/>
                <w:sz w:val="20"/>
                <w:szCs w:val="20"/>
              </w:rPr>
              <w:t>Passive Ownership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AD8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DBC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4E2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782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~8%</w:t>
            </w:r>
          </w:p>
        </w:tc>
      </w:tr>
    </w:tbl>
    <w:p w14:paraId="09C586C5" w14:textId="77777777" w:rsidR="00E11EBF" w:rsidRDefault="00000000">
      <w:pPr>
        <w:spacing w:before="150"/>
      </w:pPr>
      <w:r>
        <w:rPr>
          <w:i/>
          <w:iCs/>
          <w:color w:val="718096"/>
          <w:sz w:val="18"/>
          <w:szCs w:val="18"/>
        </w:rPr>
        <w:t>Key insight: Despite growing passive ownership, the index effect has declined due to improved market efficiency, front-running, and offsetting migration flows from MidCap.</w:t>
      </w:r>
    </w:p>
    <w:p w14:paraId="79CFF354" w14:textId="77777777" w:rsidR="00E11EBF" w:rsidRDefault="00000000">
      <w:pPr>
        <w:pStyle w:val="Heading2"/>
      </w:pPr>
      <w:r>
        <w:t>1.2 Russell Reconstitution</w:t>
      </w:r>
    </w:p>
    <w:p w14:paraId="39B6CD76" w14:textId="77777777" w:rsidR="00E11EBF" w:rsidRDefault="00000000">
      <w:pPr>
        <w:spacing w:after="150"/>
        <w:jc w:val="both"/>
      </w:pPr>
      <w:r>
        <w:t>The Russell reconstitution is the single largest trading day of the year. In June 2024, $220 billion traded at the close on reconstitution day. Unlike S&amp;P, Russell is purely rules-based, making it highly predictable.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E11EBF" w14:paraId="301D50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E9BB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77D0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C27FA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Dates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66B41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Historical Return</w:t>
            </w:r>
          </w:p>
        </w:tc>
      </w:tr>
      <w:tr w:rsidR="00E11EBF" w14:paraId="45D173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D382" w14:textId="77777777" w:rsidR="00E11EBF" w:rsidRDefault="00000000">
            <w:r>
              <w:rPr>
                <w:color w:val="000000"/>
                <w:sz w:val="20"/>
                <w:szCs w:val="20"/>
              </w:rPr>
              <w:t>Russell 1000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117F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Annual (June)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04EF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Rank: April 30, Effective: Late June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2FD3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+8-17% (2000s), declining</w:t>
            </w:r>
          </w:p>
        </w:tc>
      </w:tr>
      <w:tr w:rsidR="00E11EBF" w14:paraId="52340A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DB51" w14:textId="77777777" w:rsidR="00E11EBF" w:rsidRDefault="00000000">
            <w:r>
              <w:rPr>
                <w:color w:val="000000"/>
                <w:sz w:val="20"/>
                <w:szCs w:val="20"/>
              </w:rPr>
              <w:t>Russell 2000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635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Annual (June)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64F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Same timeline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09F6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+2-8% for additions</w:t>
            </w:r>
          </w:p>
        </w:tc>
      </w:tr>
      <w:tr w:rsidR="00E11EBF" w14:paraId="686C3D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D6BE" w14:textId="77777777" w:rsidR="00E11EBF" w:rsidRDefault="00000000">
            <w:r>
              <w:rPr>
                <w:color w:val="000000"/>
                <w:sz w:val="20"/>
                <w:szCs w:val="20"/>
              </w:rPr>
              <w:t>Russell 3000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0D0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Annual (June)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268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IPO adds quarterly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DAF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Varies by segment</w:t>
            </w:r>
          </w:p>
        </w:tc>
      </w:tr>
    </w:tbl>
    <w:p w14:paraId="1B83164F" w14:textId="77777777" w:rsidR="00E11EBF" w:rsidRDefault="00000000">
      <w:pPr>
        <w:pStyle w:val="ListParagraph"/>
        <w:numPr>
          <w:ilvl w:val="0"/>
          <w:numId w:val="2"/>
        </w:numPr>
      </w:pPr>
      <w:r>
        <w:t>Rank date (April 30): Market cap determines eligibility</w:t>
      </w:r>
    </w:p>
    <w:p w14:paraId="0EFB8961" w14:textId="77777777" w:rsidR="00E11EBF" w:rsidRDefault="00000000">
      <w:pPr>
        <w:pStyle w:val="ListParagraph"/>
        <w:numPr>
          <w:ilvl w:val="0"/>
          <w:numId w:val="2"/>
        </w:numPr>
      </w:pPr>
      <w:r>
        <w:t>Preliminary lists published: Starting late May</w:t>
      </w:r>
    </w:p>
    <w:p w14:paraId="62D1F5F3" w14:textId="77777777" w:rsidR="00E11EBF" w:rsidRDefault="00000000">
      <w:pPr>
        <w:pStyle w:val="ListParagraph"/>
        <w:numPr>
          <w:ilvl w:val="0"/>
          <w:numId w:val="2"/>
        </w:numPr>
      </w:pPr>
      <w:r>
        <w:t>Effective date: Last Friday of June</w:t>
      </w:r>
    </w:p>
    <w:p w14:paraId="2BD54F75" w14:textId="77777777" w:rsidR="00E11EBF" w:rsidRDefault="00000000">
      <w:pPr>
        <w:pStyle w:val="ListParagraph"/>
        <w:numPr>
          <w:ilvl w:val="0"/>
          <w:numId w:val="2"/>
        </w:numPr>
      </w:pPr>
      <w:r>
        <w:t>$10.6 trillion in AUM tracks Russell indices</w:t>
      </w:r>
    </w:p>
    <w:p w14:paraId="31560FB9" w14:textId="77777777" w:rsidR="00E11EBF" w:rsidRDefault="00000000">
      <w:pPr>
        <w:pStyle w:val="Heading2"/>
      </w:pPr>
      <w:r>
        <w:t>1.3 MSCI Rebalancing</w:t>
      </w:r>
    </w:p>
    <w:p w14:paraId="4DA60C57" w14:textId="77777777" w:rsidR="00E11EBF" w:rsidRDefault="00000000">
      <w:pPr>
        <w:spacing w:after="150"/>
        <w:jc w:val="both"/>
      </w:pPr>
      <w:r>
        <w:t>MSCI indices are critical for international flows, with $15.6 trillion benchmarked to MSCI equity indices. Quarterly reviews occur in February, May, August, and November with May/November being most significant.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E11EBF" w14:paraId="65979D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412A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E71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Impact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0AF1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11EBF" w14:paraId="2D9C5B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BC26" w14:textId="77777777" w:rsidR="00E11EBF" w:rsidRDefault="00000000">
            <w:r>
              <w:rPr>
                <w:color w:val="000000"/>
                <w:sz w:val="20"/>
                <w:szCs w:val="20"/>
              </w:rPr>
              <w:t>Standard Addition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BC98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+4-9%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F54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Announcement to effective</w:t>
            </w:r>
          </w:p>
        </w:tc>
      </w:tr>
      <w:tr w:rsidR="00E11EBF" w14:paraId="36CE2F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409F" w14:textId="77777777" w:rsidR="00E11EBF" w:rsidRDefault="00000000">
            <w:r>
              <w:rPr>
                <w:color w:val="000000"/>
                <w:sz w:val="20"/>
                <w:szCs w:val="20"/>
              </w:rPr>
              <w:t>Standard Deletion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0B33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-5-10%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6B8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Announcement to effective</w:t>
            </w:r>
          </w:p>
        </w:tc>
      </w:tr>
      <w:tr w:rsidR="00E11EBF" w14:paraId="7B96D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EFB4" w14:textId="77777777" w:rsidR="00E11EBF" w:rsidRDefault="00000000">
            <w:r>
              <w:rPr>
                <w:color w:val="000000"/>
                <w:sz w:val="20"/>
                <w:szCs w:val="20"/>
              </w:rPr>
              <w:t>Country Reclassification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8E2E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+10-30%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409F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e.g., EM to DM upgrade</w:t>
            </w:r>
          </w:p>
        </w:tc>
      </w:tr>
      <w:tr w:rsidR="00E11EBF" w14:paraId="1A67A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01AA" w14:textId="77777777" w:rsidR="00E11EBF" w:rsidRDefault="00000000">
            <w:r>
              <w:rPr>
                <w:color w:val="000000"/>
                <w:sz w:val="20"/>
                <w:szCs w:val="20"/>
              </w:rPr>
              <w:t>Weight Increase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B47E" w14:textId="77777777" w:rsidR="00E11EBF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+1-3%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288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Float or share changes</w:t>
            </w:r>
          </w:p>
        </w:tc>
      </w:tr>
    </w:tbl>
    <w:p w14:paraId="164A8123" w14:textId="77777777" w:rsidR="00E11EBF" w:rsidRDefault="00000000">
      <w:pPr>
        <w:spacing w:after="150"/>
        <w:jc w:val="both"/>
      </w:pPr>
      <w:r>
        <w:t>Recent example: MSCI EM May 2024 rebalance saw adds outperform deletes by 9.1% during the announcement-to-effective window.</w:t>
      </w:r>
    </w:p>
    <w:p w14:paraId="4348C9CC" w14:textId="77777777" w:rsidR="00E11EBF" w:rsidRDefault="00000000">
      <w:r>
        <w:br w:type="page"/>
      </w:r>
    </w:p>
    <w:p w14:paraId="5A7265C8" w14:textId="77777777" w:rsidR="00E11EBF" w:rsidRDefault="00000000">
      <w:pPr>
        <w:pStyle w:val="Heading1"/>
      </w:pPr>
      <w:r>
        <w:t>2. Options and Gamma-Driven Flows</w:t>
      </w:r>
    </w:p>
    <w:p w14:paraId="71B79F37" w14:textId="77777777" w:rsidR="00E11EBF" w:rsidRDefault="00000000">
      <w:pPr>
        <w:spacing w:after="150"/>
        <w:jc w:val="both"/>
      </w:pPr>
      <w:r>
        <w:t>Options market mechanics create some of the most powerful intraday and weekly flows in modern markets. Goldman Sachs calls gamma 'one of the larger sources of non-fundamental economic activity in global markets.'</w:t>
      </w:r>
    </w:p>
    <w:p w14:paraId="2C6400F6" w14:textId="77777777" w:rsidR="00E11EBF" w:rsidRDefault="00000000">
      <w:pPr>
        <w:pStyle w:val="Heading2"/>
      </w:pPr>
      <w:r>
        <w:t>2.1 Understanding Dealer Gamma</w:t>
      </w:r>
    </w:p>
    <w:p w14:paraId="13859A23" w14:textId="77777777" w:rsidR="00E11EBF" w:rsidRDefault="00000000">
      <w:pPr>
        <w:spacing w:after="150"/>
        <w:jc w:val="both"/>
      </w:pPr>
      <w:r>
        <w:t>Market makers who sell options must delta-hedge. As prices move, their delta changes (gamma), forcing them to buy or sell the underlying to stay neutral. This creates mechanical, price-insensitive flows.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39"/>
        <w:gridCol w:w="2340"/>
      </w:tblGrid>
      <w:tr w:rsidR="00E11EBF" w14:paraId="62BA15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F01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Dealer Position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608E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Action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0A8F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 on Volatility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EC8C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Trading Implication</w:t>
            </w:r>
          </w:p>
        </w:tc>
      </w:tr>
      <w:tr w:rsidR="00E11EBF" w14:paraId="0C07D8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C07F" w14:textId="77777777" w:rsidR="00E11EBF" w:rsidRDefault="00000000">
            <w:r>
              <w:rPr>
                <w:color w:val="000000"/>
                <w:sz w:val="20"/>
                <w:szCs w:val="20"/>
              </w:rPr>
              <w:t>Long Gamma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799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dips, sell rallies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6B3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Suppresses volatility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591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Mean reversion favored</w:t>
            </w:r>
          </w:p>
        </w:tc>
      </w:tr>
      <w:tr w:rsidR="00E11EBF" w14:paraId="71FCBD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ADEA" w14:textId="77777777" w:rsidR="00E11EBF" w:rsidRDefault="00000000">
            <w:r>
              <w:rPr>
                <w:color w:val="000000"/>
                <w:sz w:val="20"/>
                <w:szCs w:val="20"/>
              </w:rPr>
              <w:t>Short Gamma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A2E1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dips, buy rallies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666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Amplifies volatility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875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Momentum/breakouts</w:t>
            </w:r>
          </w:p>
        </w:tc>
      </w:tr>
      <w:tr w:rsidR="00E11EBF" w14:paraId="65FC7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5781" w14:textId="77777777" w:rsidR="00E11EBF" w:rsidRDefault="00000000">
            <w:r>
              <w:rPr>
                <w:color w:val="000000"/>
                <w:sz w:val="20"/>
                <w:szCs w:val="20"/>
              </w:rPr>
              <w:t>High GEX at strike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A22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Pin toward strike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145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 realized vol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68EF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Fade moves to strike</w:t>
            </w:r>
          </w:p>
        </w:tc>
      </w:tr>
      <w:tr w:rsidR="00E11EBF" w14:paraId="2295C5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AC1F" w14:textId="77777777" w:rsidR="00E11EBF" w:rsidRDefault="00000000">
            <w:r>
              <w:rPr>
                <w:color w:val="000000"/>
                <w:sz w:val="20"/>
                <w:szCs w:val="20"/>
              </w:rPr>
              <w:t>Gamma rolloff (post-OPEX)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DE7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Reduced hedging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D78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Vol expansion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E40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Directional moves</w:t>
            </w:r>
          </w:p>
        </w:tc>
      </w:tr>
    </w:tbl>
    <w:p w14:paraId="66CF45E9" w14:textId="77777777" w:rsidR="00E11EBF" w:rsidRDefault="00000000">
      <w:pPr>
        <w:pStyle w:val="Heading2"/>
      </w:pPr>
      <w:r>
        <w:t>2.2 Options Expiration (OPEX) Effects</w:t>
      </w:r>
    </w:p>
    <w:p w14:paraId="38B9F794" w14:textId="77777777" w:rsidR="00E11EBF" w:rsidRDefault="00000000">
      <w:pPr>
        <w:spacing w:after="150"/>
        <w:jc w:val="both"/>
      </w:pPr>
      <w:r>
        <w:t>Monthly options expiration (3rd Friday) concentrates gamma effects. As expiration approaches, gamma increases dramatically for near-the-money options, intensifying hedging flows.</w:t>
      </w:r>
    </w:p>
    <w:p w14:paraId="515BACE0" w14:textId="77777777" w:rsidR="00E11EBF" w:rsidRDefault="00000000">
      <w:pPr>
        <w:pStyle w:val="ListParagraph"/>
        <w:numPr>
          <w:ilvl w:val="0"/>
          <w:numId w:val="2"/>
        </w:numPr>
      </w:pPr>
      <w:r>
        <w:t>Price 'pinning' near high open interest strikes</w:t>
      </w:r>
    </w:p>
    <w:p w14:paraId="4503EB7C" w14:textId="77777777" w:rsidR="00E11EBF" w:rsidRDefault="00000000">
      <w:pPr>
        <w:pStyle w:val="ListParagraph"/>
        <w:numPr>
          <w:ilvl w:val="0"/>
          <w:numId w:val="2"/>
        </w:numPr>
      </w:pPr>
      <w:r>
        <w:t>Reduced volatility into OPEX as gamma pins price</w:t>
      </w:r>
    </w:p>
    <w:p w14:paraId="426DD348" w14:textId="77777777" w:rsidR="00E11EBF" w:rsidRDefault="00000000">
      <w:pPr>
        <w:pStyle w:val="ListParagraph"/>
        <w:numPr>
          <w:ilvl w:val="0"/>
          <w:numId w:val="2"/>
        </w:numPr>
      </w:pPr>
      <w:r>
        <w:t>Volatility expansion POST-OPEX as gamma rolls off</w:t>
      </w:r>
    </w:p>
    <w:p w14:paraId="0A4F45D4" w14:textId="77777777" w:rsidR="00E11EBF" w:rsidRDefault="00000000">
      <w:pPr>
        <w:pStyle w:val="ListParagraph"/>
        <w:numPr>
          <w:ilvl w:val="0"/>
          <w:numId w:val="2"/>
        </w:numPr>
      </w:pPr>
      <w:r>
        <w:t>Sharp moves possible on OPEX day as positions unwind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40"/>
        <w:gridCol w:w="2339"/>
        <w:gridCol w:w="2340"/>
      </w:tblGrid>
      <w:tr w:rsidR="00E11EBF" w14:paraId="58999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933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OPEX Type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27A2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C4C9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Volume Impact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3156B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 Implications</w:t>
            </w:r>
          </w:p>
        </w:tc>
      </w:tr>
      <w:tr w:rsidR="00E11EBF" w14:paraId="218AF4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C091" w14:textId="77777777" w:rsidR="00E11EBF" w:rsidRDefault="00000000">
            <w:r>
              <w:rPr>
                <w:color w:val="000000"/>
                <w:sz w:val="20"/>
                <w:szCs w:val="20"/>
              </w:rPr>
              <w:t>Monthly OPEX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498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3rd Friday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90A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8E9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Expect pinning, fade breaks</w:t>
            </w:r>
          </w:p>
        </w:tc>
      </w:tr>
      <w:tr w:rsidR="00E11EBF" w14:paraId="1DA3A0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BF38" w14:textId="77777777" w:rsidR="00E11EBF" w:rsidRDefault="00000000">
            <w:r>
              <w:rPr>
                <w:color w:val="000000"/>
                <w:sz w:val="20"/>
                <w:szCs w:val="20"/>
              </w:rPr>
              <w:t>Weekly OPEX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B7F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Every Friday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3281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6C7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Similar but smaller</w:t>
            </w:r>
          </w:p>
        </w:tc>
      </w:tr>
      <w:tr w:rsidR="00E11EBF" w14:paraId="2B891A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4957" w14:textId="77777777" w:rsidR="00E11EBF" w:rsidRDefault="00000000">
            <w:r>
              <w:rPr>
                <w:color w:val="000000"/>
                <w:sz w:val="20"/>
                <w:szCs w:val="20"/>
              </w:rPr>
              <w:t>Quarterly OPEX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4CA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Mar/Jun/Sep/Dec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3F1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Extreme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42F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Triple/Quad witching</w:t>
            </w:r>
          </w:p>
        </w:tc>
      </w:tr>
      <w:tr w:rsidR="00E11EBF" w14:paraId="3E149D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53DF" w14:textId="77777777" w:rsidR="00E11EBF" w:rsidRDefault="00000000">
            <w:r>
              <w:rPr>
                <w:color w:val="000000"/>
                <w:sz w:val="20"/>
                <w:szCs w:val="20"/>
              </w:rPr>
              <w:t>0DTE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684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621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Growing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524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Intraday gamma spikes</w:t>
            </w:r>
          </w:p>
        </w:tc>
      </w:tr>
    </w:tbl>
    <w:p w14:paraId="37DCAFF7" w14:textId="77777777" w:rsidR="00E11EBF" w:rsidRDefault="00000000">
      <w:pPr>
        <w:pStyle w:val="Heading2"/>
      </w:pPr>
      <w:r>
        <w:t>2.3 Gamma Squeeze Mechanics</w:t>
      </w:r>
    </w:p>
    <w:p w14:paraId="28575A51" w14:textId="77777777" w:rsidR="00E11EBF" w:rsidRDefault="00000000">
      <w:pPr>
        <w:spacing w:after="150"/>
        <w:jc w:val="both"/>
      </w:pPr>
      <w:r>
        <w:t>When heavy call buying forces dealers short gamma, they must buy stock as price rises. This creates positive feedback loops - the famous 'gamma squeeze' seen in GameStop and other meme stocks.</w:t>
      </w:r>
    </w:p>
    <w:p w14:paraId="3A30A91F" w14:textId="77777777" w:rsidR="00E11EBF" w:rsidRDefault="00000000">
      <w:pPr>
        <w:pStyle w:val="ListParagraph"/>
        <w:numPr>
          <w:ilvl w:val="0"/>
          <w:numId w:val="2"/>
        </w:numPr>
      </w:pPr>
      <w:r>
        <w:t>Requires: Large call OI near ATM + rising price</w:t>
      </w:r>
    </w:p>
    <w:p w14:paraId="77D4DFFA" w14:textId="77777777" w:rsidR="00E11EBF" w:rsidRDefault="00000000">
      <w:pPr>
        <w:pStyle w:val="ListParagraph"/>
        <w:numPr>
          <w:ilvl w:val="0"/>
          <w:numId w:val="2"/>
        </w:numPr>
      </w:pPr>
      <w:r>
        <w:t>Dealers buy stock to hedge → price rises → more buying</w:t>
      </w:r>
    </w:p>
    <w:p w14:paraId="3CA1723B" w14:textId="77777777" w:rsidR="00E11EBF" w:rsidRDefault="00000000">
      <w:pPr>
        <w:pStyle w:val="ListParagraph"/>
        <w:numPr>
          <w:ilvl w:val="0"/>
          <w:numId w:val="2"/>
        </w:numPr>
      </w:pPr>
      <w:r>
        <w:t>Most powerful with high short interest (covering adds fuel)</w:t>
      </w:r>
    </w:p>
    <w:p w14:paraId="18A81761" w14:textId="77777777" w:rsidR="00E11EBF" w:rsidRDefault="00000000">
      <w:pPr>
        <w:pStyle w:val="ListParagraph"/>
        <w:numPr>
          <w:ilvl w:val="0"/>
          <w:numId w:val="2"/>
        </w:numPr>
      </w:pPr>
      <w:r>
        <w:t>Reverse gamma squeezes occur on put-heavy downside</w:t>
      </w:r>
    </w:p>
    <w:p w14:paraId="0395A4D5" w14:textId="77777777" w:rsidR="00E11EBF" w:rsidRDefault="00000000">
      <w:r>
        <w:br w:type="page"/>
      </w:r>
    </w:p>
    <w:p w14:paraId="1EE12286" w14:textId="77777777" w:rsidR="00E11EBF" w:rsidRDefault="00000000">
      <w:pPr>
        <w:pStyle w:val="Heading1"/>
      </w:pPr>
      <w:r>
        <w:t>3. Pension and Institutional Rebalancing</w:t>
      </w:r>
    </w:p>
    <w:p w14:paraId="3DF6296D" w14:textId="77777777" w:rsidR="00E11EBF" w:rsidRDefault="00000000">
      <w:pPr>
        <w:spacing w:after="150"/>
        <w:jc w:val="both"/>
      </w:pPr>
      <w:r>
        <w:t>Approximately $20 trillion in US pension funds and target-date funds operate under fixed allocation policies (e.g., 60/40). When markets move, they must mechanically rebalance - creating predictable, price-insensitive flows.</w:t>
      </w:r>
    </w:p>
    <w:p w14:paraId="279FFDA9" w14:textId="77777777" w:rsidR="00E11EBF" w:rsidRDefault="00000000">
      <w:pPr>
        <w:pStyle w:val="Heading2"/>
      </w:pPr>
      <w:r>
        <w:t>3.1 The Rebalancing Calendar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40"/>
        <w:gridCol w:w="2340"/>
      </w:tblGrid>
      <w:tr w:rsidR="00E11EBF" w14:paraId="7641AD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05AD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D8A0D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5E425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Flow Size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4DF6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Drivers</w:t>
            </w:r>
          </w:p>
        </w:tc>
      </w:tr>
      <w:tr w:rsidR="00E11EBF" w14:paraId="39849B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D83A" w14:textId="77777777" w:rsidR="00E11EBF" w:rsidRDefault="00000000">
            <w:r>
              <w:rPr>
                <w:color w:val="000000"/>
                <w:sz w:val="20"/>
                <w:szCs w:val="20"/>
              </w:rPr>
              <w:t>Month-End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120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Last 3-5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1C3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$20-50B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68B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Pension benefit payments</w:t>
            </w:r>
          </w:p>
        </w:tc>
      </w:tr>
      <w:tr w:rsidR="00E11EBF" w14:paraId="0B728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5E75" w14:textId="77777777" w:rsidR="00E11EBF" w:rsidRDefault="00000000">
            <w:r>
              <w:rPr>
                <w:color w:val="000000"/>
                <w:sz w:val="20"/>
                <w:szCs w:val="20"/>
              </w:rPr>
              <w:t>Quarter-End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8DD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Last week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403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$50-250B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C3F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Major policy rebalances</w:t>
            </w:r>
          </w:p>
        </w:tc>
      </w:tr>
      <w:tr w:rsidR="00E11EBF" w14:paraId="28291C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3039" w14:textId="77777777" w:rsidR="00E11EBF" w:rsidRDefault="00000000">
            <w:r>
              <w:rPr>
                <w:color w:val="000000"/>
                <w:sz w:val="20"/>
                <w:szCs w:val="20"/>
              </w:rPr>
              <w:t>Year-End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C1E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December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80B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$100B+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70E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Annual allocation reset</w:t>
            </w:r>
          </w:p>
        </w:tc>
      </w:tr>
      <w:tr w:rsidR="00E11EBF" w14:paraId="0A9856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41E6" w14:textId="77777777" w:rsidR="00E11EBF" w:rsidRDefault="00000000">
            <w:r>
              <w:rPr>
                <w:color w:val="000000"/>
                <w:sz w:val="20"/>
                <w:szCs w:val="20"/>
              </w:rPr>
              <w:t>After large moves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040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24F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Proportional to drift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D59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Threshold breaches</w:t>
            </w:r>
          </w:p>
        </w:tc>
      </w:tr>
    </w:tbl>
    <w:p w14:paraId="112EB3CC" w14:textId="77777777" w:rsidR="00E11EBF" w:rsidRDefault="00000000">
      <w:pPr>
        <w:pStyle w:val="Heading2"/>
      </w:pPr>
      <w:r>
        <w:t>3.2 Mechanics and Front-Running</w:t>
      </w:r>
    </w:p>
    <w:p w14:paraId="47B45C78" w14:textId="77777777" w:rsidR="00E11EBF" w:rsidRDefault="00000000">
      <w:pPr>
        <w:spacing w:after="150"/>
        <w:jc w:val="both"/>
      </w:pPr>
      <w:r>
        <w:t>Research by Harvey, Melone &amp; Mazzoleni (2025) finds that predictable rebalancing costs pension funds approximately 8 basis points annually - about $16 billion in aggregate. This represents alpha captured by front-runners.</w:t>
      </w:r>
    </w:p>
    <w:p w14:paraId="6D4C4CBF" w14:textId="77777777" w:rsidR="00E11EBF" w:rsidRDefault="00000000">
      <w:pPr>
        <w:pStyle w:val="ListParagraph"/>
        <w:numPr>
          <w:ilvl w:val="0"/>
          <w:numId w:val="2"/>
        </w:numPr>
      </w:pPr>
      <w:r>
        <w:t>After stocks rise: Pensions must SELL equities, BUY bonds</w:t>
      </w:r>
    </w:p>
    <w:p w14:paraId="23291D78" w14:textId="77777777" w:rsidR="00E11EBF" w:rsidRDefault="00000000">
      <w:pPr>
        <w:pStyle w:val="ListParagraph"/>
        <w:numPr>
          <w:ilvl w:val="0"/>
          <w:numId w:val="2"/>
        </w:numPr>
      </w:pPr>
      <w:r>
        <w:t>After stocks fall: Pensions must BUY equities, SELL bonds</w:t>
      </w:r>
    </w:p>
    <w:p w14:paraId="7B5C5597" w14:textId="77777777" w:rsidR="00E11EBF" w:rsidRDefault="00000000">
      <w:pPr>
        <w:pStyle w:val="ListParagraph"/>
        <w:numPr>
          <w:ilvl w:val="0"/>
          <w:numId w:val="2"/>
        </w:numPr>
      </w:pPr>
      <w:r>
        <w:t>Flows are largest when deviation from target is greatest</w:t>
      </w:r>
    </w:p>
    <w:p w14:paraId="204C6942" w14:textId="77777777" w:rsidR="00E11EBF" w:rsidRDefault="00000000">
      <w:pPr>
        <w:pStyle w:val="ListParagraph"/>
        <w:numPr>
          <w:ilvl w:val="0"/>
          <w:numId w:val="2"/>
        </w:numPr>
      </w:pPr>
      <w:r>
        <w:t>JP Morgan estimates $250B+ in rebalancing after major selloffs</w:t>
      </w:r>
    </w:p>
    <w:p w14:paraId="2E6ED5EE" w14:textId="77777777" w:rsidR="00E11EBF" w:rsidRDefault="00000000">
      <w:pPr>
        <w:pStyle w:val="Heading2"/>
      </w:pPr>
      <w:r>
        <w:t>3.3 Trading the Flows</w:t>
      </w:r>
    </w:p>
    <w:p w14:paraId="6D11D3D7" w14:textId="77777777" w:rsidR="00E11EBF" w:rsidRDefault="00000000">
      <w:pPr>
        <w:spacing w:after="150"/>
        <w:jc w:val="both"/>
      </w:pPr>
      <w:r>
        <w:t>Example from March 2024: Goldman estimated $32 billion in pension equity selling at quarter-end following the Q1 rally. This was the 89th percentile of historical estimates - significant headwind for equities in the last week of the quarter.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E11EBF" w14:paraId="4D34E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8CAC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0EE1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Flow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BEB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Trading Strategy</w:t>
            </w:r>
          </w:p>
        </w:tc>
      </w:tr>
      <w:tr w:rsidR="00E11EBF" w14:paraId="791196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344C" w14:textId="77777777" w:rsidR="00E11EBF" w:rsidRDefault="00000000">
            <w:r>
              <w:rPr>
                <w:color w:val="000000"/>
                <w:sz w:val="20"/>
                <w:szCs w:val="20"/>
              </w:rPr>
              <w:t>Strong Q for stocks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F02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equities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9F8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Fade late-quarter strength</w:t>
            </w:r>
          </w:p>
        </w:tc>
      </w:tr>
      <w:tr w:rsidR="00E11EBF" w14:paraId="2E73F8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61A4" w14:textId="77777777" w:rsidR="00E11EBF" w:rsidRDefault="00000000">
            <w:r>
              <w:rPr>
                <w:color w:val="000000"/>
                <w:sz w:val="20"/>
                <w:szCs w:val="20"/>
              </w:rPr>
              <w:t>Weak Q for stocks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9B2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equities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36E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late-quarter weakness</w:t>
            </w:r>
          </w:p>
        </w:tc>
      </w:tr>
      <w:tr w:rsidR="00E11EBF" w14:paraId="61F87D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3E54" w14:textId="77777777" w:rsidR="00E11EBF" w:rsidRDefault="00000000">
            <w:r>
              <w:rPr>
                <w:color w:val="000000"/>
                <w:sz w:val="20"/>
                <w:szCs w:val="20"/>
              </w:rPr>
              <w:t>Bond selloff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DDC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bonds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FD2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Duration extension opportunity</w:t>
            </w:r>
          </w:p>
        </w:tc>
      </w:tr>
      <w:tr w:rsidR="00E11EBF" w14:paraId="65D9D4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60E0" w14:textId="77777777" w:rsidR="00E11EBF" w:rsidRDefault="00000000">
            <w:r>
              <w:rPr>
                <w:color w:val="000000"/>
                <w:sz w:val="20"/>
                <w:szCs w:val="20"/>
              </w:rPr>
              <w:t>Balanced returns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1AF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Minimal flow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21F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edge</w:t>
            </w:r>
          </w:p>
        </w:tc>
      </w:tr>
    </w:tbl>
    <w:p w14:paraId="70B8E917" w14:textId="77777777" w:rsidR="00E11EBF" w:rsidRDefault="00000000">
      <w:r>
        <w:br w:type="page"/>
      </w:r>
    </w:p>
    <w:p w14:paraId="00D30DF9" w14:textId="77777777" w:rsidR="00E11EBF" w:rsidRDefault="00000000">
      <w:pPr>
        <w:pStyle w:val="Heading1"/>
      </w:pPr>
      <w:r>
        <w:t>4. Leveraged and Inverse ETF Rebalancing</w:t>
      </w:r>
    </w:p>
    <w:p w14:paraId="3BCBAB40" w14:textId="77777777" w:rsidR="00E11EBF" w:rsidRDefault="00000000">
      <w:pPr>
        <w:spacing w:after="150"/>
        <w:jc w:val="both"/>
      </w:pPr>
      <w:r>
        <w:t>Leveraged ETFs (2x, 3x) and inverse ETFs (-1x, -2x, -3x) must rebalance daily to maintain their target exposure. This creates predictable end-of-day flows that can be substantial - $117 billion now sits in leveraged/inverse products.</w:t>
      </w:r>
    </w:p>
    <w:p w14:paraId="0F758D05" w14:textId="77777777" w:rsidR="00E11EBF" w:rsidRDefault="00000000">
      <w:pPr>
        <w:pStyle w:val="Heading2"/>
      </w:pPr>
      <w:r>
        <w:t>4.1 Daily Rebalancing Mechanics</w:t>
      </w:r>
    </w:p>
    <w:p w14:paraId="2BAFC4CC" w14:textId="77777777" w:rsidR="00E11EBF" w:rsidRDefault="00000000">
      <w:pPr>
        <w:spacing w:after="150"/>
        <w:jc w:val="both"/>
      </w:pPr>
      <w:r>
        <w:t>A 2x leveraged ETF that starts with $100M in exposure must adjust daily to maintain 2x. If the market rises 3%, the ETF gains 6%, growing to $106M. To maintain 2x leverage, it must BUY more exposure at end of day.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40"/>
        <w:gridCol w:w="2340"/>
        <w:gridCol w:w="2340"/>
      </w:tblGrid>
      <w:tr w:rsidR="00E11EBF" w14:paraId="721F00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D80A2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Move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7502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2x ETF Action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1A35F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3x ETF Action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3E9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-1x ETF Action</w:t>
            </w:r>
          </w:p>
        </w:tc>
      </w:tr>
      <w:tr w:rsidR="00E11EBF" w14:paraId="045AD7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3E14" w14:textId="77777777" w:rsidR="00E11EBF" w:rsidRDefault="00000000">
            <w:r>
              <w:rPr>
                <w:color w:val="276749"/>
                <w:sz w:val="20"/>
                <w:szCs w:val="20"/>
              </w:rPr>
              <w:t>+3% 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566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~3%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EF7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~6%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2CC1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~3%</w:t>
            </w:r>
          </w:p>
        </w:tc>
      </w:tr>
      <w:tr w:rsidR="00E11EBF" w14:paraId="0F1A3B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39F0" w14:textId="77777777" w:rsidR="00E11EBF" w:rsidRDefault="00000000">
            <w:r>
              <w:rPr>
                <w:color w:val="C53030"/>
                <w:sz w:val="20"/>
                <w:szCs w:val="20"/>
              </w:rPr>
              <w:t>-3% 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83D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~3%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2FF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Sell ~6%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F48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Buy ~3%</w:t>
            </w:r>
          </w:p>
        </w:tc>
      </w:tr>
      <w:tr w:rsidR="00E11EBF" w14:paraId="10156F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25B5" w14:textId="77777777" w:rsidR="00E11EBF" w:rsidRDefault="00000000">
            <w:r>
              <w:rPr>
                <w:color w:val="000000"/>
                <w:sz w:val="20"/>
                <w:szCs w:val="20"/>
              </w:rPr>
              <w:t>Flat 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993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Minimal rebal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0A8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Minimal rebal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9E1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Minimal rebal</w:t>
            </w:r>
          </w:p>
        </w:tc>
      </w:tr>
    </w:tbl>
    <w:p w14:paraId="21668CCF" w14:textId="77777777" w:rsidR="00E11EBF" w:rsidRDefault="00000000">
      <w:pPr>
        <w:pStyle w:val="Heading2"/>
      </w:pPr>
      <w:r>
        <w:t>4.2 Key Products to Watch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872"/>
        <w:gridCol w:w="1872"/>
        <w:gridCol w:w="1871"/>
        <w:gridCol w:w="1872"/>
      </w:tblGrid>
      <w:tr w:rsidR="00E11EBF" w14:paraId="529209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A754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44251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1008F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Leverage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F2D5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AUM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2FB5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Underlying</w:t>
            </w:r>
          </w:p>
        </w:tc>
      </w:tr>
      <w:tr w:rsidR="00E11EBF" w14:paraId="787A7B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DAF8" w14:textId="77777777" w:rsidR="00E11EBF" w:rsidRDefault="00000000">
            <w:r>
              <w:rPr>
                <w:color w:val="000000"/>
                <w:sz w:val="20"/>
                <w:szCs w:val="20"/>
              </w:rPr>
              <w:t>TQQQ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375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ProShares UltraPro QQQ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810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3473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$24B+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F51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E11EBF" w14:paraId="6D2F3F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5EA4" w14:textId="77777777" w:rsidR="00E11EBF" w:rsidRDefault="00000000">
            <w:r>
              <w:rPr>
                <w:color w:val="000000"/>
                <w:sz w:val="20"/>
                <w:szCs w:val="20"/>
              </w:rPr>
              <w:t>SQQQ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7F5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ProShares UltraPro Short QQQ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E434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-3x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703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$5B+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CBE5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E11EBF" w14:paraId="67103F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F836" w14:textId="77777777" w:rsidR="00E11EBF" w:rsidRDefault="00000000">
            <w:r>
              <w:rPr>
                <w:color w:val="000000"/>
                <w:sz w:val="20"/>
                <w:szCs w:val="20"/>
              </w:rPr>
              <w:t>SOXL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143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Direxion Daily Semi Bull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8C8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EAF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$10B+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F01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Semiconductors</w:t>
            </w:r>
          </w:p>
        </w:tc>
      </w:tr>
      <w:tr w:rsidR="00E11EBF" w14:paraId="1CCC9B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44D8" w14:textId="77777777" w:rsidR="00E11EBF" w:rsidRDefault="00000000">
            <w:r>
              <w:rPr>
                <w:color w:val="000000"/>
                <w:sz w:val="20"/>
                <w:szCs w:val="20"/>
              </w:rPr>
              <w:t>SOXS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1AE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Direxion Daily Semi Bear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5401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-3x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91C4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$1B+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D92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Semiconductors</w:t>
            </w:r>
          </w:p>
        </w:tc>
      </w:tr>
      <w:tr w:rsidR="00E11EBF" w14:paraId="0925428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2550" w14:textId="77777777" w:rsidR="00E11EBF" w:rsidRDefault="00000000">
            <w:r>
              <w:rPr>
                <w:color w:val="000000"/>
                <w:sz w:val="20"/>
                <w:szCs w:val="20"/>
              </w:rPr>
              <w:t>UVXY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6EF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ProShares Ultra VIX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D73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0D4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$1B+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54C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VIX Futures</w:t>
            </w:r>
          </w:p>
        </w:tc>
      </w:tr>
      <w:tr w:rsidR="00E11EBF" w14:paraId="25E3D2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541D" w14:textId="77777777" w:rsidR="00E11EBF" w:rsidRDefault="00000000">
            <w:r>
              <w:rPr>
                <w:color w:val="000000"/>
                <w:sz w:val="20"/>
                <w:szCs w:val="20"/>
              </w:rPr>
              <w:t>SVXY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CE46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ProShares Short VIX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971" w14:textId="77777777" w:rsidR="00E11EBF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-0.5x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511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$500M+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8FF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VIX Futures</w:t>
            </w:r>
          </w:p>
        </w:tc>
      </w:tr>
    </w:tbl>
    <w:p w14:paraId="300359C6" w14:textId="77777777" w:rsidR="00E11EBF" w:rsidRDefault="00000000">
      <w:pPr>
        <w:pStyle w:val="Heading2"/>
      </w:pPr>
      <w:r>
        <w:t>4.3 Trading Implications</w:t>
      </w:r>
    </w:p>
    <w:p w14:paraId="0B97CEB5" w14:textId="77777777" w:rsidR="00E11EBF" w:rsidRDefault="00000000">
      <w:pPr>
        <w:pStyle w:val="ListParagraph"/>
        <w:numPr>
          <w:ilvl w:val="0"/>
          <w:numId w:val="2"/>
        </w:numPr>
      </w:pPr>
      <w:r>
        <w:t>Large down days: Leveraged ETFs must SELL into the close</w:t>
      </w:r>
    </w:p>
    <w:p w14:paraId="59E1BE0F" w14:textId="77777777" w:rsidR="00E11EBF" w:rsidRDefault="00000000">
      <w:pPr>
        <w:pStyle w:val="ListParagraph"/>
        <w:numPr>
          <w:ilvl w:val="0"/>
          <w:numId w:val="2"/>
        </w:numPr>
      </w:pPr>
      <w:r>
        <w:t>Large up days: Leveraged ETFs must BUY into the close</w:t>
      </w:r>
    </w:p>
    <w:p w14:paraId="44452A27" w14:textId="77777777" w:rsidR="00E11EBF" w:rsidRDefault="00000000">
      <w:pPr>
        <w:pStyle w:val="ListParagraph"/>
        <w:numPr>
          <w:ilvl w:val="0"/>
          <w:numId w:val="2"/>
        </w:numPr>
      </w:pPr>
      <w:r>
        <w:t>September 3, 2024: $15B in ETF selling contributed to 3% Nasdaq drop</w:t>
      </w:r>
    </w:p>
    <w:p w14:paraId="2C6EF8CE" w14:textId="77777777" w:rsidR="00E11EBF" w:rsidRDefault="00000000">
      <w:pPr>
        <w:pStyle w:val="ListParagraph"/>
        <w:numPr>
          <w:ilvl w:val="0"/>
          <w:numId w:val="2"/>
        </w:numPr>
      </w:pPr>
      <w:r>
        <w:t>Effect concentrates in final 30 minutes of trading</w:t>
      </w:r>
    </w:p>
    <w:p w14:paraId="384BBA1F" w14:textId="77777777" w:rsidR="00E11EBF" w:rsidRDefault="00000000">
      <w:pPr>
        <w:pStyle w:val="ListParagraph"/>
        <w:numPr>
          <w:ilvl w:val="0"/>
          <w:numId w:val="2"/>
        </w:numPr>
      </w:pPr>
      <w:r>
        <w:t>Strongest in low liquidity environments</w:t>
      </w:r>
    </w:p>
    <w:p w14:paraId="4C301572" w14:textId="77777777" w:rsidR="00E11EBF" w:rsidRDefault="00000000">
      <w:pPr>
        <w:spacing w:after="150"/>
        <w:jc w:val="both"/>
      </w:pPr>
      <w:r>
        <w:t>Academic research (Shum et al., 2016) confirms leveraged ETF rebalancing amplifies late-day price movements, especially during market stress when rebalancing flows are largest.</w:t>
      </w:r>
    </w:p>
    <w:p w14:paraId="6BB39C9D" w14:textId="77777777" w:rsidR="00E11EBF" w:rsidRDefault="00000000">
      <w:r>
        <w:br w:type="page"/>
      </w:r>
    </w:p>
    <w:p w14:paraId="648C29F2" w14:textId="77777777" w:rsidR="00E11EBF" w:rsidRDefault="00000000">
      <w:pPr>
        <w:pStyle w:val="Heading1"/>
      </w:pPr>
      <w:r>
        <w:t>5. Corporate Action Flows</w:t>
      </w:r>
    </w:p>
    <w:p w14:paraId="70320CF1" w14:textId="77777777" w:rsidR="00E11EBF" w:rsidRDefault="00000000">
      <w:pPr>
        <w:spacing w:after="150"/>
        <w:jc w:val="both"/>
      </w:pPr>
      <w:r>
        <w:t>Corporate actions create forced buying and selling by funds with mandate restrictions. Unlike index rebalancing, these are more idiosyncratic but can generate larger individual impacts.</w:t>
      </w:r>
    </w:p>
    <w:p w14:paraId="4B276632" w14:textId="77777777" w:rsidR="00E11EBF" w:rsidRDefault="00000000">
      <w:pPr>
        <w:pStyle w:val="Heading2"/>
      </w:pPr>
      <w:r>
        <w:t>5.1 Spin-Offs</w:t>
      </w:r>
    </w:p>
    <w:p w14:paraId="418874B0" w14:textId="77777777" w:rsidR="00E11EBF" w:rsidRDefault="00000000">
      <w:pPr>
        <w:spacing w:after="150"/>
        <w:jc w:val="both"/>
      </w:pPr>
      <w:r>
        <w:t>When a company spins off a division, shareholders receive new shares. Funds with mandate restrictions (e.g., 'large cap only') may be forced to sell the smaller spun-off entity, creating price pressure.</w:t>
      </w:r>
    </w:p>
    <w:p w14:paraId="2AF16CB0" w14:textId="77777777" w:rsidR="00E11EBF" w:rsidRDefault="00000000">
      <w:pPr>
        <w:pStyle w:val="ListParagraph"/>
        <w:numPr>
          <w:ilvl w:val="0"/>
          <w:numId w:val="2"/>
        </w:numPr>
      </w:pPr>
      <w:r>
        <w:t>Initial selling pressure as funds with restrictions dump shares</w:t>
      </w:r>
    </w:p>
    <w:p w14:paraId="0AE3733C" w14:textId="77777777" w:rsidR="00E11EBF" w:rsidRDefault="00000000">
      <w:pPr>
        <w:pStyle w:val="ListParagraph"/>
        <w:numPr>
          <w:ilvl w:val="0"/>
          <w:numId w:val="2"/>
        </w:numPr>
      </w:pPr>
      <w:r>
        <w:t>Often creates value opportunities in quality spin-offs</w:t>
      </w:r>
    </w:p>
    <w:p w14:paraId="52C8695C" w14:textId="77777777" w:rsidR="00E11EBF" w:rsidRDefault="00000000">
      <w:pPr>
        <w:pStyle w:val="ListParagraph"/>
        <w:numPr>
          <w:ilvl w:val="0"/>
          <w:numId w:val="2"/>
        </w:numPr>
      </w:pPr>
      <w:r>
        <w:t>Joel Greenblatt's 'You Can Be a Stock Market Genius' documents this edge</w:t>
      </w:r>
    </w:p>
    <w:p w14:paraId="6D7EE0D6" w14:textId="77777777" w:rsidR="00E11EBF" w:rsidRDefault="00000000">
      <w:pPr>
        <w:pStyle w:val="ListParagraph"/>
        <w:numPr>
          <w:ilvl w:val="0"/>
          <w:numId w:val="2"/>
        </w:numPr>
      </w:pPr>
      <w:r>
        <w:t>Effect strongest for small spin-offs from large parents</w:t>
      </w:r>
    </w:p>
    <w:p w14:paraId="37845998" w14:textId="77777777" w:rsidR="00E11EBF" w:rsidRDefault="00000000">
      <w:pPr>
        <w:pStyle w:val="Heading2"/>
      </w:pPr>
      <w:r>
        <w:t>5.2 Share Buybacks</w:t>
      </w:r>
    </w:p>
    <w:p w14:paraId="6B6DECC4" w14:textId="77777777" w:rsidR="00E11EBF" w:rsidRDefault="00000000">
      <w:pPr>
        <w:spacing w:after="150"/>
        <w:jc w:val="both"/>
      </w:pPr>
      <w:r>
        <w:t>Corporate buybacks represent predictable, price-insensitive demand. Companies often buy steadily over time, providing persistent bid support. In 2024, S&amp;P 500 buybacks exceeded $900 billion.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E11EBF" w14:paraId="40FAA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0FF2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Buyback Pattern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875C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Trading Implication</w:t>
            </w:r>
          </w:p>
        </w:tc>
      </w:tr>
      <w:tr w:rsidR="00E11EBF" w14:paraId="3DC82B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9BD7" w14:textId="77777777" w:rsidR="00E11EBF" w:rsidRDefault="00000000">
            <w:r>
              <w:rPr>
                <w:color w:val="000000"/>
                <w:sz w:val="20"/>
                <w:szCs w:val="20"/>
              </w:rPr>
              <w:t>10b5-1 programs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66CB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Steady buying regardless of price</w:t>
            </w:r>
          </w:p>
        </w:tc>
      </w:tr>
      <w:tr w:rsidR="00E11EBF" w14:paraId="17D6C1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7839" w14:textId="77777777" w:rsidR="00E11EBF" w:rsidRDefault="00000000">
            <w:r>
              <w:rPr>
                <w:color w:val="000000"/>
                <w:sz w:val="20"/>
                <w:szCs w:val="20"/>
              </w:rPr>
              <w:t>Accelerated repurchases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0A0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Front-loaded buying pressure</w:t>
            </w:r>
          </w:p>
        </w:tc>
      </w:tr>
      <w:tr w:rsidR="00E11EBF" w14:paraId="3364B7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A71F" w14:textId="77777777" w:rsidR="00E11EBF" w:rsidRDefault="00000000">
            <w:r>
              <w:rPr>
                <w:color w:val="000000"/>
                <w:sz w:val="20"/>
                <w:szCs w:val="20"/>
              </w:rPr>
              <w:t>Blackout periods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05D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Reduced demand before earnings</w:t>
            </w:r>
          </w:p>
        </w:tc>
      </w:tr>
      <w:tr w:rsidR="00E11EBF" w14:paraId="1EE7F5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9A35" w14:textId="77777777" w:rsidR="00E11EBF" w:rsidRDefault="00000000">
            <w:r>
              <w:rPr>
                <w:color w:val="000000"/>
                <w:sz w:val="20"/>
                <w:szCs w:val="20"/>
              </w:rPr>
              <w:t>Open market programs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BBF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Opportunistic, less predictable</w:t>
            </w:r>
          </w:p>
        </w:tc>
      </w:tr>
    </w:tbl>
    <w:p w14:paraId="43BB885C" w14:textId="77777777" w:rsidR="00E11EBF" w:rsidRDefault="00000000">
      <w:pPr>
        <w:pStyle w:val="Heading2"/>
      </w:pPr>
      <w:r>
        <w:t>5.3 Dividend-Related Flows</w:t>
      </w:r>
    </w:p>
    <w:p w14:paraId="0C6AFA08" w14:textId="77777777" w:rsidR="00E11EBF" w:rsidRDefault="00000000">
      <w:pPr>
        <w:pStyle w:val="ListParagraph"/>
        <w:numPr>
          <w:ilvl w:val="0"/>
          <w:numId w:val="2"/>
        </w:numPr>
      </w:pPr>
      <w:r>
        <w:t>Ex-dividend date: Stock opens lower by dividend amount</w:t>
      </w:r>
    </w:p>
    <w:p w14:paraId="7F06B8C1" w14:textId="77777777" w:rsidR="00E11EBF" w:rsidRDefault="00000000">
      <w:pPr>
        <w:pStyle w:val="ListParagraph"/>
        <w:numPr>
          <w:ilvl w:val="0"/>
          <w:numId w:val="2"/>
        </w:numPr>
      </w:pPr>
      <w:r>
        <w:t>Dividend capture strategies create pre-ex buying</w:t>
      </w:r>
    </w:p>
    <w:p w14:paraId="3FEAB8A1" w14:textId="77777777" w:rsidR="00E11EBF" w:rsidRDefault="00000000">
      <w:pPr>
        <w:pStyle w:val="ListParagraph"/>
        <w:numPr>
          <w:ilvl w:val="0"/>
          <w:numId w:val="2"/>
        </w:numPr>
      </w:pPr>
      <w:r>
        <w:t>DRIP (reinvestment) creates steady buying pressure</w:t>
      </w:r>
    </w:p>
    <w:p w14:paraId="2AB9BD59" w14:textId="77777777" w:rsidR="00E11EBF" w:rsidRDefault="00000000">
      <w:pPr>
        <w:pStyle w:val="ListParagraph"/>
        <w:numPr>
          <w:ilvl w:val="0"/>
          <w:numId w:val="2"/>
        </w:numPr>
      </w:pPr>
      <w:r>
        <w:t>Large special dividends can create forced selling</w:t>
      </w:r>
    </w:p>
    <w:p w14:paraId="32A1D666" w14:textId="77777777" w:rsidR="00E11EBF" w:rsidRDefault="00000000">
      <w:pPr>
        <w:pStyle w:val="Heading2"/>
      </w:pPr>
      <w:r>
        <w:t>5.4 M&amp;A-Related Flows</w:t>
      </w:r>
    </w:p>
    <w:p w14:paraId="05AAE372" w14:textId="77777777" w:rsidR="00E11EBF" w:rsidRDefault="00000000">
      <w:pPr>
        <w:spacing w:after="150"/>
        <w:jc w:val="both"/>
      </w:pPr>
      <w:r>
        <w:t>Merger arbitrage creates predictable flows as arbs buy targets and short acquirers. Deal closings trigger massive index rebalancing as the target exits indices.</w:t>
      </w:r>
    </w:p>
    <w:p w14:paraId="07E43E78" w14:textId="77777777" w:rsidR="00E11EBF" w:rsidRDefault="00000000">
      <w:r>
        <w:br w:type="page"/>
      </w:r>
    </w:p>
    <w:p w14:paraId="5A3D41F5" w14:textId="77777777" w:rsidR="00E11EBF" w:rsidRDefault="00000000">
      <w:pPr>
        <w:pStyle w:val="Heading1"/>
      </w:pPr>
      <w:r>
        <w:t>6. VIX and Volatility Product Flows</w:t>
      </w:r>
    </w:p>
    <w:p w14:paraId="7B182EF7" w14:textId="77777777" w:rsidR="00E11EBF" w:rsidRDefault="00000000">
      <w:pPr>
        <w:spacing w:after="150"/>
        <w:jc w:val="both"/>
      </w:pPr>
      <w:r>
        <w:t>VIX futures and related products create some of the most mechanical flows in markets. The daily roll of VIX ETPs and the rebalancing of volatility-targeting strategies generate substantial, predictable order flow.</w:t>
      </w:r>
    </w:p>
    <w:p w14:paraId="69CEA733" w14:textId="77777777" w:rsidR="00E11EBF" w:rsidRDefault="00000000">
      <w:pPr>
        <w:pStyle w:val="Heading2"/>
      </w:pPr>
      <w:r>
        <w:t>6.1 VIX Futures Roll</w:t>
      </w:r>
    </w:p>
    <w:p w14:paraId="37F137E7" w14:textId="77777777" w:rsidR="00E11EBF" w:rsidRDefault="00000000">
      <w:pPr>
        <w:spacing w:after="150"/>
        <w:jc w:val="both"/>
      </w:pPr>
      <w:r>
        <w:t>VIX ETPs like VXX and UVXY must continuously roll from near-month to next-month futures. In contango (normal market), this creates constant selling pressure on VIX as they sell expensive front-month and buy cheaper back-month.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39"/>
        <w:gridCol w:w="2339"/>
      </w:tblGrid>
      <w:tr w:rsidR="00E11EBF" w14:paraId="1B62FC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73BB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Condition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AC7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Curve Shape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341C6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ETP Action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F1C0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VIX Impact</w:t>
            </w:r>
          </w:p>
        </w:tc>
      </w:tr>
      <w:tr w:rsidR="00E11EBF" w14:paraId="2F8DCF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1064" w14:textId="77777777" w:rsidR="00E11EBF" w:rsidRDefault="00000000">
            <w:r>
              <w:rPr>
                <w:color w:val="000000"/>
                <w:sz w:val="20"/>
                <w:szCs w:val="20"/>
              </w:rPr>
              <w:t>Low vol (normal)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9F3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Contango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3D5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Roll costs ~4-5%/month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4BE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Persistent decay</w:t>
            </w:r>
          </w:p>
        </w:tc>
      </w:tr>
      <w:tr w:rsidR="00E11EBF" w14:paraId="7FFC86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7160" w14:textId="77777777" w:rsidR="00E11EBF" w:rsidRDefault="00000000">
            <w:r>
              <w:rPr>
                <w:color w:val="000000"/>
                <w:sz w:val="20"/>
                <w:szCs w:val="20"/>
              </w:rPr>
              <w:t>High vol (stress)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60B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Backwardation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3B9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Roll gains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44C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 carry</w:t>
            </w:r>
          </w:p>
        </w:tc>
      </w:tr>
      <w:tr w:rsidR="00E11EBF" w14:paraId="672886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6EAE" w14:textId="77777777" w:rsidR="00E11EBF" w:rsidRDefault="00000000">
            <w:r>
              <w:rPr>
                <w:color w:val="000000"/>
                <w:sz w:val="20"/>
                <w:szCs w:val="20"/>
              </w:rPr>
              <w:t>Spike events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D2B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Steep backwardation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979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Large gains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3EE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Sharp VIX moves</w:t>
            </w:r>
          </w:p>
        </w:tc>
      </w:tr>
    </w:tbl>
    <w:p w14:paraId="18C280DF" w14:textId="77777777" w:rsidR="00E11EBF" w:rsidRDefault="00000000">
      <w:pPr>
        <w:pStyle w:val="Heading2"/>
      </w:pPr>
      <w:r>
        <w:t>6.2 Volatility Targeting Strategies</w:t>
      </w:r>
    </w:p>
    <w:p w14:paraId="78D6BA6F" w14:textId="77777777" w:rsidR="00E11EBF" w:rsidRDefault="00000000">
      <w:pPr>
        <w:spacing w:after="150"/>
        <w:jc w:val="both"/>
      </w:pPr>
      <w:r>
        <w:t>Billions in risk-parity and volatility-targeting funds adjust equity exposure based on realized volatility. When vol rises, they must sell equities; when vol falls, they buy.</w:t>
      </w:r>
    </w:p>
    <w:p w14:paraId="60BB22D7" w14:textId="77777777" w:rsidR="00E11EBF" w:rsidRDefault="00000000">
      <w:pPr>
        <w:pStyle w:val="ListParagraph"/>
        <w:numPr>
          <w:ilvl w:val="0"/>
          <w:numId w:val="2"/>
        </w:numPr>
      </w:pPr>
      <w:r>
        <w:t>CTA trend-followers also respond to vol regime changes</w:t>
      </w:r>
    </w:p>
    <w:p w14:paraId="06348F51" w14:textId="77777777" w:rsidR="00E11EBF" w:rsidRDefault="00000000">
      <w:pPr>
        <w:pStyle w:val="ListParagraph"/>
        <w:numPr>
          <w:ilvl w:val="0"/>
          <w:numId w:val="2"/>
        </w:numPr>
      </w:pPr>
      <w:r>
        <w:t>Creates positive feedback loops: selling → higher vol → more selling</w:t>
      </w:r>
    </w:p>
    <w:p w14:paraId="296AB78C" w14:textId="77777777" w:rsidR="00E11EBF" w:rsidRDefault="00000000">
      <w:pPr>
        <w:pStyle w:val="ListParagraph"/>
        <w:numPr>
          <w:ilvl w:val="0"/>
          <w:numId w:val="2"/>
        </w:numPr>
      </w:pPr>
      <w:r>
        <w:t>Explains some 'air pocket' declines in previously calm markets</w:t>
      </w:r>
    </w:p>
    <w:p w14:paraId="7E103445" w14:textId="77777777" w:rsidR="00E11EBF" w:rsidRDefault="00000000">
      <w:pPr>
        <w:pStyle w:val="ListParagraph"/>
        <w:numPr>
          <w:ilvl w:val="0"/>
          <w:numId w:val="2"/>
        </w:numPr>
      </w:pPr>
      <w:r>
        <w:t>Nomura's Charlie McElligott publishes daily estimates of these flows</w:t>
      </w:r>
    </w:p>
    <w:p w14:paraId="4EB24708" w14:textId="77777777" w:rsidR="00E11EBF" w:rsidRDefault="00000000">
      <w:r>
        <w:br w:type="page"/>
      </w:r>
    </w:p>
    <w:p w14:paraId="285BE370" w14:textId="77777777" w:rsidR="00E11EBF" w:rsidRDefault="00000000">
      <w:pPr>
        <w:pStyle w:val="Heading1"/>
      </w:pPr>
      <w:r>
        <w:t>7. Calendar and Seasonal Effects</w:t>
      </w:r>
    </w:p>
    <w:p w14:paraId="6830F7E2" w14:textId="77777777" w:rsidR="00E11EBF" w:rsidRDefault="00000000">
      <w:pPr>
        <w:pStyle w:val="Heading2"/>
      </w:pPr>
      <w:r>
        <w:t>7.1 Monthly Patterns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E11EBF" w14:paraId="6DF5BA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7BC8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389F7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08832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</w:tr>
      <w:tr w:rsidR="00E11EBF" w14:paraId="4EBC18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61FF" w14:textId="77777777" w:rsidR="00E11EBF" w:rsidRDefault="00000000">
            <w:r>
              <w:rPr>
                <w:color w:val="000000"/>
                <w:sz w:val="20"/>
                <w:szCs w:val="20"/>
              </w:rPr>
              <w:t>First trading day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3127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 bias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83E1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New month fund flows</w:t>
            </w:r>
          </w:p>
        </w:tc>
      </w:tr>
      <w:tr w:rsidR="00E11EBF" w14:paraId="7615FE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A257" w14:textId="77777777" w:rsidR="00E11EBF" w:rsidRDefault="00000000">
            <w:r>
              <w:rPr>
                <w:color w:val="000000"/>
                <w:sz w:val="20"/>
                <w:szCs w:val="20"/>
              </w:rPr>
              <w:t>Month-end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A3D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Rebalancing pressure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7C52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Pension/fund adjustments</w:t>
            </w:r>
          </w:p>
        </w:tc>
      </w:tr>
      <w:tr w:rsidR="00E11EBF" w14:paraId="4D2347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D97B" w14:textId="77777777" w:rsidR="00E11EBF" w:rsidRDefault="00000000">
            <w:r>
              <w:rPr>
                <w:color w:val="000000"/>
                <w:sz w:val="20"/>
                <w:szCs w:val="20"/>
              </w:rPr>
              <w:t>Turn of month (TOM)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1EB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Positive bias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6D48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401k contributions</w:t>
            </w:r>
          </w:p>
        </w:tc>
      </w:tr>
      <w:tr w:rsidR="00E11EBF" w14:paraId="61B7CC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8276" w14:textId="77777777" w:rsidR="00E11EBF" w:rsidRDefault="00000000">
            <w:r>
              <w:rPr>
                <w:color w:val="000000"/>
                <w:sz w:val="20"/>
                <w:szCs w:val="20"/>
              </w:rPr>
              <w:t>Mid-month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C90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Often weakest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E09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Limited systematic flows</w:t>
            </w:r>
          </w:p>
        </w:tc>
      </w:tr>
    </w:tbl>
    <w:p w14:paraId="6338C22A" w14:textId="77777777" w:rsidR="00E11EBF" w:rsidRDefault="00000000">
      <w:pPr>
        <w:pStyle w:val="Heading2"/>
      </w:pPr>
      <w:r>
        <w:t>7.2 Quarterly Effects</w:t>
      </w:r>
    </w:p>
    <w:p w14:paraId="137DC277" w14:textId="77777777" w:rsidR="00E11EBF" w:rsidRDefault="00000000">
      <w:pPr>
        <w:pStyle w:val="ListParagraph"/>
        <w:numPr>
          <w:ilvl w:val="0"/>
          <w:numId w:val="2"/>
        </w:numPr>
      </w:pPr>
      <w:r>
        <w:t>Quarter-end window dressing by fund managers</w:t>
      </w:r>
    </w:p>
    <w:p w14:paraId="5A9A16B6" w14:textId="77777777" w:rsidR="00E11EBF" w:rsidRDefault="00000000">
      <w:pPr>
        <w:pStyle w:val="ListParagraph"/>
        <w:numPr>
          <w:ilvl w:val="0"/>
          <w:numId w:val="2"/>
        </w:numPr>
      </w:pPr>
      <w:r>
        <w:t>Pension rebalancing concentrates in final week</w:t>
      </w:r>
    </w:p>
    <w:p w14:paraId="646628E5" w14:textId="77777777" w:rsidR="00E11EBF" w:rsidRDefault="00000000">
      <w:pPr>
        <w:pStyle w:val="ListParagraph"/>
        <w:numPr>
          <w:ilvl w:val="0"/>
          <w:numId w:val="2"/>
        </w:numPr>
      </w:pPr>
      <w:r>
        <w:t>13F filing deadlines create information releases</w:t>
      </w:r>
    </w:p>
    <w:p w14:paraId="3E3BBECB" w14:textId="77777777" w:rsidR="00E11EBF" w:rsidRDefault="00000000">
      <w:pPr>
        <w:pStyle w:val="ListParagraph"/>
        <w:numPr>
          <w:ilvl w:val="0"/>
          <w:numId w:val="2"/>
        </w:numPr>
      </w:pPr>
      <w:r>
        <w:t>Triple/quadruple witching adds options-related flows</w:t>
      </w:r>
    </w:p>
    <w:p w14:paraId="15135747" w14:textId="77777777" w:rsidR="00E11EBF" w:rsidRDefault="00000000">
      <w:pPr>
        <w:pStyle w:val="Heading2"/>
      </w:pPr>
      <w:r>
        <w:t>7.3 Year-End Effects</w:t>
      </w:r>
    </w:p>
    <w:p w14:paraId="2207F6FE" w14:textId="77777777" w:rsidR="00E11EBF" w:rsidRDefault="00000000">
      <w:pPr>
        <w:pStyle w:val="ListParagraph"/>
        <w:numPr>
          <w:ilvl w:val="0"/>
          <w:numId w:val="2"/>
        </w:numPr>
      </w:pPr>
      <w:r>
        <w:t>Tax-loss harvesting creates selling pressure in losers (Nov-Dec)</w:t>
      </w:r>
    </w:p>
    <w:p w14:paraId="269B2A98" w14:textId="77777777" w:rsidR="00E11EBF" w:rsidRDefault="00000000">
      <w:pPr>
        <w:pStyle w:val="ListParagraph"/>
        <w:numPr>
          <w:ilvl w:val="0"/>
          <w:numId w:val="2"/>
        </w:numPr>
      </w:pPr>
      <w:r>
        <w:t>January effect: Small caps historically outperform early year</w:t>
      </w:r>
    </w:p>
    <w:p w14:paraId="29BDC52A" w14:textId="77777777" w:rsidR="00E11EBF" w:rsidRDefault="00000000">
      <w:pPr>
        <w:pStyle w:val="ListParagraph"/>
        <w:numPr>
          <w:ilvl w:val="0"/>
          <w:numId w:val="2"/>
        </w:numPr>
      </w:pPr>
      <w:r>
        <w:t>Santa Claus rally: Last 5 trading days + first 2 of new year</w:t>
      </w:r>
    </w:p>
    <w:p w14:paraId="70419BB8" w14:textId="77777777" w:rsidR="00E11EBF" w:rsidRDefault="00000000">
      <w:pPr>
        <w:pStyle w:val="ListParagraph"/>
        <w:numPr>
          <w:ilvl w:val="0"/>
          <w:numId w:val="2"/>
        </w:numPr>
      </w:pPr>
      <w:r>
        <w:t>Year-end index reconstitutions (Russell goes semi-annual in 2026)</w:t>
      </w:r>
    </w:p>
    <w:p w14:paraId="1FFFDC47" w14:textId="77777777" w:rsidR="00E11EBF" w:rsidRDefault="00000000">
      <w:r>
        <w:br w:type="page"/>
      </w:r>
    </w:p>
    <w:p w14:paraId="35B26224" w14:textId="77777777" w:rsidR="00E11EBF" w:rsidRDefault="00000000">
      <w:pPr>
        <w:pStyle w:val="Heading1"/>
      </w:pPr>
      <w:r>
        <w:t>8. Trading Framework</w:t>
      </w:r>
    </w:p>
    <w:p w14:paraId="176BCA75" w14:textId="77777777" w:rsidR="00E11EBF" w:rsidRDefault="00000000">
      <w:pPr>
        <w:pStyle w:val="Heading2"/>
      </w:pPr>
      <w:r>
        <w:t>8.1 Identifying Opportunities</w:t>
      </w:r>
    </w:p>
    <w:p w14:paraId="1D42BA01" w14:textId="77777777" w:rsidR="00E11EBF" w:rsidRDefault="00000000">
      <w:pPr>
        <w:pStyle w:val="ListParagraph"/>
        <w:numPr>
          <w:ilvl w:val="0"/>
          <w:numId w:val="3"/>
        </w:numPr>
      </w:pPr>
      <w:r>
        <w:t>Know the calendar: Mark all major rebalancing dates</w:t>
      </w:r>
    </w:p>
    <w:p w14:paraId="23E6877D" w14:textId="77777777" w:rsidR="00E11EBF" w:rsidRDefault="00000000">
      <w:pPr>
        <w:pStyle w:val="ListParagraph"/>
        <w:numPr>
          <w:ilvl w:val="0"/>
          <w:numId w:val="3"/>
        </w:numPr>
      </w:pPr>
      <w:r>
        <w:t>Size the flow: Larger flows = larger price impact</w:t>
      </w:r>
    </w:p>
    <w:p w14:paraId="5DE8990E" w14:textId="77777777" w:rsidR="00E11EBF" w:rsidRDefault="00000000">
      <w:pPr>
        <w:pStyle w:val="ListParagraph"/>
        <w:numPr>
          <w:ilvl w:val="0"/>
          <w:numId w:val="3"/>
        </w:numPr>
      </w:pPr>
      <w:r>
        <w:t>Assess liquidity: Thin markets amplify flow impact</w:t>
      </w:r>
    </w:p>
    <w:p w14:paraId="3F449556" w14:textId="77777777" w:rsidR="00E11EBF" w:rsidRDefault="00000000">
      <w:pPr>
        <w:pStyle w:val="ListParagraph"/>
        <w:numPr>
          <w:ilvl w:val="0"/>
          <w:numId w:val="3"/>
        </w:numPr>
      </w:pPr>
      <w:r>
        <w:t>Consider crowding: Popular trades attract front-runners</w:t>
      </w:r>
    </w:p>
    <w:p w14:paraId="4521E99F" w14:textId="77777777" w:rsidR="00E11EBF" w:rsidRDefault="00000000">
      <w:pPr>
        <w:pStyle w:val="ListParagraph"/>
        <w:numPr>
          <w:ilvl w:val="0"/>
          <w:numId w:val="3"/>
        </w:numPr>
      </w:pPr>
      <w:r>
        <w:t>Time entry/exit: Early positioning captures more edge</w:t>
      </w:r>
    </w:p>
    <w:p w14:paraId="410C4963" w14:textId="77777777" w:rsidR="00E11EBF" w:rsidRDefault="00000000">
      <w:pPr>
        <w:pStyle w:val="Heading2"/>
      </w:pPr>
      <w:r>
        <w:t>8.2 Risk Management</w:t>
      </w:r>
    </w:p>
    <w:p w14:paraId="0F681F87" w14:textId="77777777" w:rsidR="00E11EBF" w:rsidRDefault="00000000">
      <w:pPr>
        <w:pStyle w:val="ListParagraph"/>
        <w:numPr>
          <w:ilvl w:val="0"/>
          <w:numId w:val="2"/>
        </w:numPr>
      </w:pPr>
      <w:r>
        <w:t>Flows are not guaranteed: Markets can overwhelm mechanical buying/selling</w:t>
      </w:r>
    </w:p>
    <w:p w14:paraId="288E393D" w14:textId="77777777" w:rsidR="00E11EBF" w:rsidRDefault="00000000">
      <w:pPr>
        <w:pStyle w:val="ListParagraph"/>
        <w:numPr>
          <w:ilvl w:val="0"/>
          <w:numId w:val="2"/>
        </w:numPr>
      </w:pPr>
      <w:r>
        <w:t>Edge has been declining: More participants = less alpha</w:t>
      </w:r>
    </w:p>
    <w:p w14:paraId="73369FAA" w14:textId="77777777" w:rsidR="00E11EBF" w:rsidRDefault="00000000">
      <w:pPr>
        <w:pStyle w:val="ListParagraph"/>
        <w:numPr>
          <w:ilvl w:val="0"/>
          <w:numId w:val="2"/>
        </w:numPr>
      </w:pPr>
      <w:r>
        <w:t>Crowded trades can reverse violently</w:t>
      </w:r>
    </w:p>
    <w:p w14:paraId="11983A0B" w14:textId="77777777" w:rsidR="00E11EBF" w:rsidRDefault="00000000">
      <w:pPr>
        <w:pStyle w:val="ListParagraph"/>
        <w:numPr>
          <w:ilvl w:val="0"/>
          <w:numId w:val="2"/>
        </w:numPr>
      </w:pPr>
      <w:r>
        <w:t>Position size appropriately: These are technical, not fundamental</w:t>
      </w:r>
    </w:p>
    <w:p w14:paraId="17F76016" w14:textId="77777777" w:rsidR="00E11EBF" w:rsidRDefault="00000000">
      <w:pPr>
        <w:pStyle w:val="ListParagraph"/>
        <w:numPr>
          <w:ilvl w:val="0"/>
          <w:numId w:val="2"/>
        </w:numPr>
      </w:pPr>
      <w:r>
        <w:t>Know your exit: Plan for scenarios where flow doesn't materialize</w:t>
      </w:r>
    </w:p>
    <w:p w14:paraId="082DE64A" w14:textId="77777777" w:rsidR="00E11EBF" w:rsidRDefault="00000000">
      <w:pPr>
        <w:pStyle w:val="Heading2"/>
      </w:pPr>
      <w:r>
        <w:t>8.3 Key Dates to Track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E11EBF" w14:paraId="08DD9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8647F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3E24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DB65" w14:textId="77777777" w:rsidR="00E11EB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Dates 2026</w:t>
            </w:r>
          </w:p>
        </w:tc>
      </w:tr>
      <w:tr w:rsidR="00E11EBF" w14:paraId="292F3E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BF96" w14:textId="77777777" w:rsidR="00E11EBF" w:rsidRDefault="00000000">
            <w:r>
              <w:rPr>
                <w:color w:val="000000"/>
                <w:sz w:val="20"/>
                <w:szCs w:val="20"/>
              </w:rPr>
              <w:t>S&amp;P 500 Rebalance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A90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024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 7, Jun 6, Sep 5, Dec 5 (announce)</w:t>
            </w:r>
          </w:p>
        </w:tc>
      </w:tr>
      <w:tr w:rsidR="00E11EBF" w14:paraId="0546A2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6189" w14:textId="77777777" w:rsidR="00E11EBF" w:rsidRDefault="00000000">
            <w:r>
              <w:rPr>
                <w:color w:val="000000"/>
                <w:sz w:val="20"/>
                <w:szCs w:val="20"/>
              </w:rPr>
              <w:t>Russell Reconstitution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7E9E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Semi-Annual*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2F90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Late June, Late December</w:t>
            </w:r>
          </w:p>
        </w:tc>
      </w:tr>
      <w:tr w:rsidR="00E11EBF" w14:paraId="11A47A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6E38" w14:textId="77777777" w:rsidR="00E11EBF" w:rsidRDefault="00000000">
            <w:r>
              <w:rPr>
                <w:color w:val="000000"/>
                <w:sz w:val="20"/>
                <w:szCs w:val="20"/>
              </w:rPr>
              <w:t>MSCI Rebalance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153D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9629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Feb, May, Aug, Nov (semi-annual major)</w:t>
            </w:r>
          </w:p>
        </w:tc>
      </w:tr>
      <w:tr w:rsidR="00E11EBF" w14:paraId="2C3C77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0D12" w14:textId="77777777" w:rsidR="00E11EBF" w:rsidRDefault="00000000">
            <w:r>
              <w:rPr>
                <w:color w:val="000000"/>
                <w:sz w:val="20"/>
                <w:szCs w:val="20"/>
              </w:rPr>
              <w:t>Monthly OPEX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5B1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067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3rd Friday of each month</w:t>
            </w:r>
          </w:p>
        </w:tc>
      </w:tr>
      <w:tr w:rsidR="00E11EBF" w14:paraId="70C88E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A331" w14:textId="77777777" w:rsidR="00E11EBF" w:rsidRDefault="00000000">
            <w:r>
              <w:rPr>
                <w:color w:val="000000"/>
                <w:sz w:val="20"/>
                <w:szCs w:val="20"/>
              </w:rPr>
              <w:t>Quad Witching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431A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0E0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 20, Jun 19, Sep 18, Dec 18</w:t>
            </w:r>
          </w:p>
        </w:tc>
      </w:tr>
      <w:tr w:rsidR="00E11EBF" w14:paraId="7C32DC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7137" w14:textId="77777777" w:rsidR="00E11EBF" w:rsidRDefault="00000000">
            <w:r>
              <w:rPr>
                <w:color w:val="000000"/>
                <w:sz w:val="20"/>
                <w:szCs w:val="20"/>
              </w:rPr>
              <w:t>Quarter-End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3CCC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3495" w14:textId="77777777" w:rsidR="00E11EB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 31, Jun 30, Sep 30, Dec 31</w:t>
            </w:r>
          </w:p>
        </w:tc>
      </w:tr>
    </w:tbl>
    <w:p w14:paraId="464C4497" w14:textId="77777777" w:rsidR="00E11EBF" w:rsidRDefault="00000000">
      <w:pPr>
        <w:spacing w:before="150"/>
      </w:pPr>
      <w:r>
        <w:rPr>
          <w:i/>
          <w:iCs/>
          <w:color w:val="718096"/>
          <w:sz w:val="18"/>
          <w:szCs w:val="18"/>
        </w:rPr>
        <w:t>*Russell is moving to semi-annual reconstitution starting 2026</w:t>
      </w:r>
    </w:p>
    <w:p w14:paraId="76F02001" w14:textId="77777777" w:rsidR="00E11EBF" w:rsidRDefault="00E11EBF">
      <w:pPr>
        <w:spacing w:before="400"/>
      </w:pPr>
    </w:p>
    <w:p w14:paraId="7508CDAE" w14:textId="77777777" w:rsidR="00E11EBF" w:rsidRDefault="00000000">
      <w:r>
        <w:rPr>
          <w:b/>
          <w:bCs/>
          <w:color w:val="1A365D"/>
          <w:sz w:val="24"/>
          <w:szCs w:val="24"/>
        </w:rPr>
        <w:t>Sources &amp; References</w:t>
      </w:r>
    </w:p>
    <w:p w14:paraId="6DC78E36" w14:textId="77777777" w:rsidR="00E11EBF" w:rsidRDefault="00000000">
      <w:pPr>
        <w:spacing w:before="100"/>
      </w:pPr>
      <w:r>
        <w:rPr>
          <w:i/>
          <w:iCs/>
          <w:color w:val="718096"/>
          <w:sz w:val="18"/>
          <w:szCs w:val="18"/>
        </w:rPr>
        <w:t>Greenwood &amp; Sammon (HBS, 2023); Goldman Sachs Gamma Research; Northern Trust Rebalance Analysis; CME Group Russell Reconstitution Research; CFA Institute Pension Rebalancing Study; MSCI Index Methodology Documentation.</w:t>
      </w:r>
    </w:p>
    <w:sectPr w:rsidR="00E11EB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BEEA" w14:textId="77777777" w:rsidR="00BF1B13" w:rsidRDefault="00BF1B13">
      <w:r>
        <w:separator/>
      </w:r>
    </w:p>
  </w:endnote>
  <w:endnote w:type="continuationSeparator" w:id="0">
    <w:p w14:paraId="7BAB9F47" w14:textId="77777777" w:rsidR="00BF1B13" w:rsidRDefault="00BF1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9394" w14:textId="77777777" w:rsidR="00E11EBF" w:rsidRDefault="00000000"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3C3F" w14:textId="77777777" w:rsidR="00BF1B13" w:rsidRDefault="00BF1B13">
      <w:r>
        <w:separator/>
      </w:r>
    </w:p>
  </w:footnote>
  <w:footnote w:type="continuationSeparator" w:id="0">
    <w:p w14:paraId="5474EF8E" w14:textId="77777777" w:rsidR="00BF1B13" w:rsidRDefault="00BF1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6A9A" w14:textId="77777777" w:rsidR="00E11EBF" w:rsidRDefault="00000000">
    <w:pPr>
      <w:jc w:val="right"/>
    </w:pPr>
    <w:r>
      <w:rPr>
        <w:i/>
        <w:iCs/>
        <w:color w:val="718096"/>
        <w:sz w:val="18"/>
        <w:szCs w:val="18"/>
      </w:rPr>
      <w:t>Price-Insensitive Flows in Equity Markets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30BC"/>
    <w:multiLevelType w:val="hybridMultilevel"/>
    <w:tmpl w:val="C02838DA"/>
    <w:lvl w:ilvl="0" w:tplc="4C7A6A38">
      <w:start w:val="1"/>
      <w:numFmt w:val="bullet"/>
      <w:lvlText w:val="●"/>
      <w:lvlJc w:val="left"/>
      <w:pPr>
        <w:ind w:left="720" w:hanging="360"/>
      </w:pPr>
    </w:lvl>
    <w:lvl w:ilvl="1" w:tplc="85DE12B8">
      <w:start w:val="1"/>
      <w:numFmt w:val="bullet"/>
      <w:lvlText w:val="○"/>
      <w:lvlJc w:val="left"/>
      <w:pPr>
        <w:ind w:left="1440" w:hanging="360"/>
      </w:pPr>
    </w:lvl>
    <w:lvl w:ilvl="2" w:tplc="A44CA7C8">
      <w:start w:val="1"/>
      <w:numFmt w:val="bullet"/>
      <w:lvlText w:val="■"/>
      <w:lvlJc w:val="left"/>
      <w:pPr>
        <w:ind w:left="2160" w:hanging="360"/>
      </w:pPr>
    </w:lvl>
    <w:lvl w:ilvl="3" w:tplc="493033D6">
      <w:start w:val="1"/>
      <w:numFmt w:val="bullet"/>
      <w:lvlText w:val="●"/>
      <w:lvlJc w:val="left"/>
      <w:pPr>
        <w:ind w:left="2880" w:hanging="360"/>
      </w:pPr>
    </w:lvl>
    <w:lvl w:ilvl="4" w:tplc="E300F7FA">
      <w:start w:val="1"/>
      <w:numFmt w:val="bullet"/>
      <w:lvlText w:val="○"/>
      <w:lvlJc w:val="left"/>
      <w:pPr>
        <w:ind w:left="3600" w:hanging="360"/>
      </w:pPr>
    </w:lvl>
    <w:lvl w:ilvl="5" w:tplc="ED0EE8FE">
      <w:start w:val="1"/>
      <w:numFmt w:val="bullet"/>
      <w:lvlText w:val="■"/>
      <w:lvlJc w:val="left"/>
      <w:pPr>
        <w:ind w:left="4320" w:hanging="360"/>
      </w:pPr>
    </w:lvl>
    <w:lvl w:ilvl="6" w:tplc="03B46C00">
      <w:start w:val="1"/>
      <w:numFmt w:val="bullet"/>
      <w:lvlText w:val="●"/>
      <w:lvlJc w:val="left"/>
      <w:pPr>
        <w:ind w:left="5040" w:hanging="360"/>
      </w:pPr>
    </w:lvl>
    <w:lvl w:ilvl="7" w:tplc="D3A8504E">
      <w:start w:val="1"/>
      <w:numFmt w:val="bullet"/>
      <w:lvlText w:val="●"/>
      <w:lvlJc w:val="left"/>
      <w:pPr>
        <w:ind w:left="5760" w:hanging="360"/>
      </w:pPr>
    </w:lvl>
    <w:lvl w:ilvl="8" w:tplc="55FE70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DD5C31"/>
    <w:multiLevelType w:val="hybridMultilevel"/>
    <w:tmpl w:val="126AB402"/>
    <w:lvl w:ilvl="0" w:tplc="33DE254A">
      <w:start w:val="1"/>
      <w:numFmt w:val="bullet"/>
      <w:lvlText w:val="•"/>
      <w:lvlJc w:val="left"/>
      <w:pPr>
        <w:ind w:left="720" w:hanging="360"/>
      </w:pPr>
    </w:lvl>
    <w:lvl w:ilvl="1" w:tplc="D2F6E0E4">
      <w:numFmt w:val="decimal"/>
      <w:lvlText w:val=""/>
      <w:lvlJc w:val="left"/>
    </w:lvl>
    <w:lvl w:ilvl="2" w:tplc="3C5C199E">
      <w:numFmt w:val="decimal"/>
      <w:lvlText w:val=""/>
      <w:lvlJc w:val="left"/>
    </w:lvl>
    <w:lvl w:ilvl="3" w:tplc="3A32F332">
      <w:numFmt w:val="decimal"/>
      <w:lvlText w:val=""/>
      <w:lvlJc w:val="left"/>
    </w:lvl>
    <w:lvl w:ilvl="4" w:tplc="87D6C608">
      <w:numFmt w:val="decimal"/>
      <w:lvlText w:val=""/>
      <w:lvlJc w:val="left"/>
    </w:lvl>
    <w:lvl w:ilvl="5" w:tplc="A88C6EF0">
      <w:numFmt w:val="decimal"/>
      <w:lvlText w:val=""/>
      <w:lvlJc w:val="left"/>
    </w:lvl>
    <w:lvl w:ilvl="6" w:tplc="6176737C">
      <w:numFmt w:val="decimal"/>
      <w:lvlText w:val=""/>
      <w:lvlJc w:val="left"/>
    </w:lvl>
    <w:lvl w:ilvl="7" w:tplc="C6924A10">
      <w:numFmt w:val="decimal"/>
      <w:lvlText w:val=""/>
      <w:lvlJc w:val="left"/>
    </w:lvl>
    <w:lvl w:ilvl="8" w:tplc="B82018D6">
      <w:numFmt w:val="decimal"/>
      <w:lvlText w:val=""/>
      <w:lvlJc w:val="left"/>
    </w:lvl>
  </w:abstractNum>
  <w:abstractNum w:abstractNumId="2" w15:restartNumberingAfterBreak="0">
    <w:nsid w:val="37A62BAC"/>
    <w:multiLevelType w:val="hybridMultilevel"/>
    <w:tmpl w:val="4FDAF2B0"/>
    <w:lvl w:ilvl="0" w:tplc="00BED4E0">
      <w:start w:val="1"/>
      <w:numFmt w:val="decimal"/>
      <w:lvlText w:val="%1."/>
      <w:lvlJc w:val="left"/>
      <w:pPr>
        <w:ind w:left="720" w:hanging="360"/>
      </w:pPr>
    </w:lvl>
    <w:lvl w:ilvl="1" w:tplc="4596034E">
      <w:numFmt w:val="decimal"/>
      <w:lvlText w:val=""/>
      <w:lvlJc w:val="left"/>
    </w:lvl>
    <w:lvl w:ilvl="2" w:tplc="247C3670">
      <w:numFmt w:val="decimal"/>
      <w:lvlText w:val=""/>
      <w:lvlJc w:val="left"/>
    </w:lvl>
    <w:lvl w:ilvl="3" w:tplc="C31CC586">
      <w:numFmt w:val="decimal"/>
      <w:lvlText w:val=""/>
      <w:lvlJc w:val="left"/>
    </w:lvl>
    <w:lvl w:ilvl="4" w:tplc="2A487496">
      <w:numFmt w:val="decimal"/>
      <w:lvlText w:val=""/>
      <w:lvlJc w:val="left"/>
    </w:lvl>
    <w:lvl w:ilvl="5" w:tplc="12548596">
      <w:numFmt w:val="decimal"/>
      <w:lvlText w:val=""/>
      <w:lvlJc w:val="left"/>
    </w:lvl>
    <w:lvl w:ilvl="6" w:tplc="30DE2D26">
      <w:numFmt w:val="decimal"/>
      <w:lvlText w:val=""/>
      <w:lvlJc w:val="left"/>
    </w:lvl>
    <w:lvl w:ilvl="7" w:tplc="7A2C608E">
      <w:numFmt w:val="decimal"/>
      <w:lvlText w:val=""/>
      <w:lvlJc w:val="left"/>
    </w:lvl>
    <w:lvl w:ilvl="8" w:tplc="A9C6B92A">
      <w:numFmt w:val="decimal"/>
      <w:lvlText w:val=""/>
      <w:lvlJc w:val="left"/>
    </w:lvl>
  </w:abstractNum>
  <w:num w:numId="1" w16cid:durableId="814759807">
    <w:abstractNumId w:val="0"/>
    <w:lvlOverride w:ilvl="0">
      <w:startOverride w:val="1"/>
    </w:lvlOverride>
  </w:num>
  <w:num w:numId="2" w16cid:durableId="1423257058">
    <w:abstractNumId w:val="1"/>
    <w:lvlOverride w:ilvl="0">
      <w:startOverride w:val="1"/>
    </w:lvlOverride>
  </w:num>
  <w:num w:numId="3" w16cid:durableId="7223703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EBF"/>
    <w:rsid w:val="00343BA5"/>
    <w:rsid w:val="00637AF0"/>
    <w:rsid w:val="00932CD7"/>
    <w:rsid w:val="00BF1B13"/>
    <w:rsid w:val="00E1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5195"/>
  <w15:docId w15:val="{F7E30302-7EB3-4A43-9D4B-72D0CFB8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1921</Words>
  <Characters>11421</Characters>
  <Application>Microsoft Office Word</Application>
  <DocSecurity>0</DocSecurity>
  <Lines>465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Sperin</cp:lastModifiedBy>
  <cp:revision>2</cp:revision>
  <dcterms:created xsi:type="dcterms:W3CDTF">2026-01-07T20:26:00Z</dcterms:created>
  <dcterms:modified xsi:type="dcterms:W3CDTF">2026-01-07T20:47:00Z</dcterms:modified>
</cp:coreProperties>
</file>