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0A3C5C" w14:textId="77777777" w:rsidR="00232123" w:rsidRDefault="00232123">
      <w:pPr>
        <w:spacing w:before="2000"/>
      </w:pPr>
    </w:p>
    <w:p w14:paraId="42BA5B08" w14:textId="77777777" w:rsidR="00232123" w:rsidRDefault="00000000">
      <w:pPr>
        <w:jc w:val="center"/>
      </w:pPr>
      <w:r>
        <w:rPr>
          <w:b/>
          <w:bCs/>
          <w:color w:val="1A365D"/>
          <w:sz w:val="56"/>
          <w:szCs w:val="56"/>
        </w:rPr>
        <w:t>S&amp;P 500 INDEX INCLUSION EFFECT</w:t>
      </w:r>
    </w:p>
    <w:p w14:paraId="024311EF" w14:textId="77777777" w:rsidR="00232123" w:rsidRDefault="00000000">
      <w:pPr>
        <w:spacing w:before="200" w:after="400"/>
        <w:jc w:val="center"/>
      </w:pPr>
      <w:r>
        <w:rPr>
          <w:color w:val="2C5282"/>
          <w:sz w:val="36"/>
          <w:szCs w:val="36"/>
        </w:rPr>
        <w:t>Comprehensive Backtest Analysis</w:t>
      </w:r>
    </w:p>
    <w:p w14:paraId="6213B100" w14:textId="77777777" w:rsidR="00232123" w:rsidRDefault="00000000">
      <w:pPr>
        <w:spacing w:before="600"/>
        <w:jc w:val="center"/>
      </w:pPr>
      <w:r>
        <w:rPr>
          <w:color w:val="718096"/>
          <w:sz w:val="24"/>
          <w:szCs w:val="24"/>
        </w:rPr>
        <w:t>Performance Analysis: Announcement to Inclusion &amp; Beyond</w:t>
      </w:r>
    </w:p>
    <w:p w14:paraId="287A292A" w14:textId="77777777" w:rsidR="00232123" w:rsidRDefault="00000000">
      <w:pPr>
        <w:spacing w:before="200"/>
        <w:jc w:val="center"/>
      </w:pPr>
      <w:r>
        <w:rPr>
          <w:color w:val="718096"/>
          <w:sz w:val="24"/>
          <w:szCs w:val="24"/>
        </w:rPr>
        <w:t>Based on Academic Research &amp; Historical Data 1980-2024</w:t>
      </w:r>
    </w:p>
    <w:p w14:paraId="718A0AC5" w14:textId="77777777" w:rsidR="00232123" w:rsidRDefault="00000000">
      <w:pPr>
        <w:spacing w:before="800"/>
        <w:jc w:val="center"/>
      </w:pPr>
      <w:r>
        <w:t>January 2026</w:t>
      </w:r>
    </w:p>
    <w:p w14:paraId="57CC1197" w14:textId="77777777" w:rsidR="00232123" w:rsidRDefault="00000000">
      <w:r>
        <w:br w:type="page"/>
      </w:r>
    </w:p>
    <w:p w14:paraId="4ACBA898" w14:textId="77777777" w:rsidR="00232123" w:rsidRDefault="00000000">
      <w:pPr>
        <w:pStyle w:val="Heading1"/>
      </w:pPr>
      <w:r>
        <w:t>Executive Summary</w:t>
      </w:r>
    </w:p>
    <w:p w14:paraId="020FA7CA" w14:textId="77777777" w:rsidR="00232123" w:rsidRDefault="00000000">
      <w:pPr>
        <w:spacing w:after="150"/>
        <w:jc w:val="both"/>
      </w:pPr>
      <w:r>
        <w:t>This analysis examines the historical performance patterns of stocks added to the S&amp;P 500 index, focusing on two critical trading windows: (1) the announcement-to-effective date period where front-running occurs, and (2) the post-inclusion windows where mean reversion may manifest.</w:t>
      </w:r>
    </w:p>
    <w:p w14:paraId="2DA49852" w14:textId="77777777" w:rsidR="00232123" w:rsidRDefault="00000000">
      <w:pPr>
        <w:spacing w:before="200" w:after="100"/>
      </w:pPr>
      <w:r>
        <w:rPr>
          <w:b/>
          <w:bCs/>
          <w:color w:val="1A365D"/>
          <w:sz w:val="24"/>
          <w:szCs w:val="24"/>
        </w:rPr>
        <w:t>Key Findings: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1"/>
        <w:gridCol w:w="1871"/>
        <w:gridCol w:w="1872"/>
        <w:gridCol w:w="1872"/>
        <w:gridCol w:w="1872"/>
      </w:tblGrid>
      <w:tr w:rsidR="00232123" w14:paraId="2E02E11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745484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DB0472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1990s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4687F8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2000s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B06FD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2010s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A80635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2020-2024</w:t>
            </w:r>
          </w:p>
        </w:tc>
      </w:tr>
      <w:tr w:rsidR="00232123" w14:paraId="4408AA2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8308C6" w14:textId="77777777" w:rsidR="00232123" w:rsidRDefault="00000000">
            <w:r>
              <w:rPr>
                <w:color w:val="000000"/>
                <w:sz w:val="20"/>
                <w:szCs w:val="20"/>
              </w:rPr>
              <w:t>Avg. Total Return (Ann→Eff)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47BB5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+7.4%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3A982F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+5.2%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ED1D37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+1.0%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868E2A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+2.5%*</w:t>
            </w:r>
          </w:p>
        </w:tc>
      </w:tr>
      <w:tr w:rsidR="00232123" w14:paraId="3CECAE6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74DCFC" w14:textId="77777777" w:rsidR="00232123" w:rsidRDefault="00000000">
            <w:r>
              <w:rPr>
                <w:color w:val="000000"/>
                <w:sz w:val="20"/>
                <w:szCs w:val="20"/>
              </w:rPr>
              <w:t>Announcement Day Pop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4E6D36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+9.4%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C09D43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+5.2%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DFBDE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+0.8%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94361C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+1.2%</w:t>
            </w:r>
          </w:p>
        </w:tc>
      </w:tr>
      <w:tr w:rsidR="00232123" w14:paraId="7E6F1B6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EC9F21" w14:textId="77777777" w:rsidR="00232123" w:rsidRDefault="00000000">
            <w:r>
              <w:rPr>
                <w:color w:val="000000"/>
                <w:sz w:val="20"/>
                <w:szCs w:val="20"/>
              </w:rPr>
              <w:t>Effective Date Return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A1A7C8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+4.9%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AE619F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+4.1%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E3F2EB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~0%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EAF96A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+0.5%</w:t>
            </w:r>
          </w:p>
        </w:tc>
      </w:tr>
      <w:tr w:rsidR="00232123" w14:paraId="13E5140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7ABAE6" w14:textId="77777777" w:rsidR="00232123" w:rsidRDefault="00000000">
            <w:r>
              <w:rPr>
                <w:color w:val="000000"/>
                <w:sz w:val="20"/>
                <w:szCs w:val="20"/>
              </w:rPr>
              <w:t>Post-20 Day Performance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60CEDE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Varies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ECCECD" w14:textId="77777777" w:rsidR="00232123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-2.1%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C65223" w14:textId="77777777" w:rsidR="00232123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-1.8%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49BD03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TBD</w:t>
            </w:r>
          </w:p>
        </w:tc>
      </w:tr>
      <w:tr w:rsidR="00232123" w14:paraId="583C2A9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F0925" w14:textId="77777777" w:rsidR="00232123" w:rsidRDefault="00000000">
            <w:r>
              <w:rPr>
                <w:color w:val="000000"/>
                <w:sz w:val="20"/>
                <w:szCs w:val="20"/>
              </w:rPr>
              <w:t>Win Rate (Front-Run)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4EA2CA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~75%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C7EAC3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~68%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860A56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~55%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477ABB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~60%</w:t>
            </w:r>
          </w:p>
        </w:tc>
      </w:tr>
    </w:tbl>
    <w:p w14:paraId="173A5705" w14:textId="77777777" w:rsidR="00232123" w:rsidRDefault="00000000">
      <w:pPr>
        <w:spacing w:before="150"/>
      </w:pPr>
      <w:r>
        <w:rPr>
          <w:i/>
          <w:iCs/>
          <w:color w:val="718096"/>
          <w:sz w:val="18"/>
          <w:szCs w:val="18"/>
        </w:rPr>
        <w:t>*Recent data includes outliers like Tesla (+53%) and Palantir</w:t>
      </w:r>
    </w:p>
    <w:p w14:paraId="342919D5" w14:textId="77777777" w:rsidR="00232123" w:rsidRDefault="00000000">
      <w:r>
        <w:br w:type="page"/>
      </w:r>
    </w:p>
    <w:p w14:paraId="27D0D101" w14:textId="77777777" w:rsidR="00232123" w:rsidRDefault="00000000">
      <w:pPr>
        <w:pStyle w:val="Heading1"/>
      </w:pPr>
      <w:r>
        <w:t>Understanding the Index Effect</w:t>
      </w:r>
    </w:p>
    <w:p w14:paraId="10EED7ED" w14:textId="77777777" w:rsidR="00232123" w:rsidRDefault="00000000">
      <w:pPr>
        <w:pStyle w:val="Heading2"/>
      </w:pPr>
      <w:r>
        <w:t>The Mechanics</w:t>
      </w:r>
    </w:p>
    <w:p w14:paraId="35DE5A4B" w14:textId="77777777" w:rsidR="00232123" w:rsidRDefault="00000000">
      <w:pPr>
        <w:spacing w:after="150"/>
        <w:jc w:val="both"/>
      </w:pPr>
      <w:r>
        <w:t>The index inclusion effect is one of the most well-documented market microstructure phenomena. When S&amp;P announces a stock will be added to the S&amp;P 500, approximately $16 trillion in benchmarked assets must rebalance. This creates a predictable, massive demand shock with known timing - the holy grail for sophisticated traders.</w:t>
      </w:r>
    </w:p>
    <w:p w14:paraId="2E3AB5C1" w14:textId="77777777" w:rsidR="00232123" w:rsidRDefault="00000000">
      <w:pPr>
        <w:spacing w:after="150"/>
        <w:jc w:val="both"/>
      </w:pPr>
      <w:r>
        <w:t>Think of it like a crowded trade with a known catalyst date: passive funds MUST buy on a specific day, creating predictable demand that active traders can front-run. The trade window typically spans 5-10 trading days between announcement and effective date.</w:t>
      </w:r>
    </w:p>
    <w:p w14:paraId="1D5B8408" w14:textId="77777777" w:rsidR="00232123" w:rsidRDefault="00000000">
      <w:pPr>
        <w:pStyle w:val="Heading2"/>
      </w:pPr>
      <w:r>
        <w:t>Key Participants</w:t>
      </w:r>
    </w:p>
    <w:p w14:paraId="5AE4F55B" w14:textId="77777777" w:rsidR="00232123" w:rsidRDefault="00000000">
      <w:pPr>
        <w:pStyle w:val="ListParagraph"/>
        <w:numPr>
          <w:ilvl w:val="0"/>
          <w:numId w:val="2"/>
        </w:numPr>
      </w:pPr>
      <w:r>
        <w:t>Passive Funds (~7-8% of market cap): Must buy additions at effective date to minimize tracking error</w:t>
      </w:r>
    </w:p>
    <w:p w14:paraId="1CA584B8" w14:textId="77777777" w:rsidR="00232123" w:rsidRDefault="00000000">
      <w:pPr>
        <w:pStyle w:val="ListParagraph"/>
        <w:numPr>
          <w:ilvl w:val="0"/>
          <w:numId w:val="2"/>
        </w:numPr>
      </w:pPr>
      <w:r>
        <w:t>Active Managers: Front-run by accumulating before effective date, selling into passive demand</w:t>
      </w:r>
    </w:p>
    <w:p w14:paraId="14E14676" w14:textId="77777777" w:rsidR="00232123" w:rsidRDefault="00000000">
      <w:pPr>
        <w:pStyle w:val="ListParagraph"/>
        <w:numPr>
          <w:ilvl w:val="0"/>
          <w:numId w:val="2"/>
        </w:numPr>
      </w:pPr>
      <w:r>
        <w:t>Prop Desks &amp; Hedge Funds: Specialize in index arbitrage, providing liquidity</w:t>
      </w:r>
    </w:p>
    <w:p w14:paraId="2158D883" w14:textId="77777777" w:rsidR="00232123" w:rsidRDefault="00000000">
      <w:pPr>
        <w:pStyle w:val="ListParagraph"/>
        <w:numPr>
          <w:ilvl w:val="0"/>
          <w:numId w:val="2"/>
        </w:numPr>
      </w:pPr>
      <w:r>
        <w:t>MidCap Funds: For migrations, sell their positions simultaneously as 500 funds buy</w:t>
      </w:r>
    </w:p>
    <w:p w14:paraId="6876E38B" w14:textId="77777777" w:rsidR="00232123" w:rsidRDefault="00000000">
      <w:r>
        <w:br w:type="page"/>
      </w:r>
    </w:p>
    <w:p w14:paraId="3404300D" w14:textId="77777777" w:rsidR="00232123" w:rsidRDefault="00000000">
      <w:pPr>
        <w:pStyle w:val="Heading1"/>
      </w:pPr>
      <w:r>
        <w:t>Historical Performance by Decade</w:t>
      </w:r>
    </w:p>
    <w:p w14:paraId="1FB4336C" w14:textId="77777777" w:rsidR="00232123" w:rsidRDefault="00000000">
      <w:pPr>
        <w:pStyle w:val="Heading2"/>
      </w:pPr>
      <w:r>
        <w:t>The Rise and Fall of the Index Effect</w:t>
      </w:r>
    </w:p>
    <w:p w14:paraId="5F2581C3" w14:textId="77777777" w:rsidR="00232123" w:rsidRDefault="00000000">
      <w:pPr>
        <w:spacing w:after="150"/>
        <w:jc w:val="both"/>
      </w:pPr>
      <w:r>
        <w:t>According to research by Greenwood &amp; Sammon (Harvard Business School, 2023), the index effect has undergone a dramatic transformation over four decades: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1"/>
        <w:gridCol w:w="1871"/>
        <w:gridCol w:w="1872"/>
        <w:gridCol w:w="1872"/>
        <w:gridCol w:w="1872"/>
      </w:tblGrid>
      <w:tr w:rsidR="00232123" w14:paraId="24F12C9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EFF347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Period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4B1AC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Avg. Return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310D3E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Demand Shock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D5E3BB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Multiplier (M)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8E5F77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Elasticity</w:t>
            </w:r>
          </w:p>
        </w:tc>
      </w:tr>
      <w:tr w:rsidR="00232123" w14:paraId="027EC0CF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48D7A7" w14:textId="77777777" w:rsidR="00232123" w:rsidRDefault="00000000">
            <w:r>
              <w:rPr>
                <w:color w:val="000000"/>
                <w:sz w:val="20"/>
                <w:szCs w:val="20"/>
              </w:rPr>
              <w:t>1980s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5F4FD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+3.4%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146727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~0-1%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C60374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3.40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7380" w14:textId="77777777" w:rsidR="00232123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-0.29</w:t>
            </w:r>
          </w:p>
        </w:tc>
      </w:tr>
      <w:tr w:rsidR="00232123" w14:paraId="2DA9881A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B7675E" w14:textId="77777777" w:rsidR="00232123" w:rsidRDefault="00000000">
            <w:r>
              <w:rPr>
                <w:color w:val="000000"/>
                <w:sz w:val="20"/>
                <w:szCs w:val="20"/>
              </w:rPr>
              <w:t>1990s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55466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+7.4%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D838FF7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~2-3%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6D86F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6.75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A1522" w14:textId="77777777" w:rsidR="00232123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-0.15</w:t>
            </w:r>
          </w:p>
        </w:tc>
      </w:tr>
      <w:tr w:rsidR="00232123" w14:paraId="4570212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D7239D" w14:textId="77777777" w:rsidR="00232123" w:rsidRDefault="00000000">
            <w:r>
              <w:rPr>
                <w:color w:val="000000"/>
                <w:sz w:val="20"/>
                <w:szCs w:val="20"/>
              </w:rPr>
              <w:t>2000s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7E1387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+5.2%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C0058C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~4-5%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A1AE17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1.30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A08737" w14:textId="77777777" w:rsidR="00232123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-0.77</w:t>
            </w:r>
          </w:p>
        </w:tc>
      </w:tr>
      <w:tr w:rsidR="00232123" w14:paraId="6EAEDB8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66CE" w14:textId="77777777" w:rsidR="00232123" w:rsidRDefault="00000000">
            <w:r>
              <w:rPr>
                <w:color w:val="000000"/>
                <w:sz w:val="20"/>
                <w:szCs w:val="20"/>
              </w:rPr>
              <w:t>2010s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35D42A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+1.0%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191552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~6-8%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5397E5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0.37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7135E" w14:textId="77777777" w:rsidR="00232123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-2.72</w:t>
            </w:r>
          </w:p>
        </w:tc>
      </w:tr>
    </w:tbl>
    <w:p w14:paraId="4529D1B1" w14:textId="77777777" w:rsidR="00232123" w:rsidRDefault="00232123">
      <w:pPr>
        <w:spacing w:before="200"/>
      </w:pPr>
    </w:p>
    <w:p w14:paraId="705E5DEC" w14:textId="77777777" w:rsidR="00232123" w:rsidRDefault="00000000">
      <w:pPr>
        <w:spacing w:after="150"/>
        <w:jc w:val="both"/>
      </w:pPr>
      <w:r>
        <w:t>The paradox: Despite passive ownership growing from essentially 0% to over 7% of market cap, the price impact has collapsed from 7.4% to near-zero. The market has become dramatically more efficient at absorbing these demand shocks.</w:t>
      </w:r>
    </w:p>
    <w:p w14:paraId="6F4612C7" w14:textId="77777777" w:rsidR="00232123" w:rsidRDefault="00000000">
      <w:pPr>
        <w:pStyle w:val="Heading2"/>
      </w:pPr>
      <w:r>
        <w:t>Why the Effect Disappeared</w:t>
      </w:r>
    </w:p>
    <w:p w14:paraId="6E4B59CC" w14:textId="77777777" w:rsidR="00232123" w:rsidRDefault="00000000">
      <w:pPr>
        <w:pStyle w:val="ListParagraph"/>
        <w:numPr>
          <w:ilvl w:val="0"/>
          <w:numId w:val="3"/>
        </w:numPr>
      </w:pPr>
      <w:r>
        <w:t>Migrations: 70%+ of additions now come from S&amp;P MidCap, creating offsetting flows</w:t>
      </w:r>
    </w:p>
    <w:p w14:paraId="5BC0CA8A" w14:textId="77777777" w:rsidR="00232123" w:rsidRDefault="00000000">
      <w:pPr>
        <w:pStyle w:val="ListParagraph"/>
        <w:numPr>
          <w:ilvl w:val="0"/>
          <w:numId w:val="3"/>
        </w:numPr>
      </w:pPr>
      <w:r>
        <w:t>Front-Running: Index changes have become more predictable, allowing earlier positioning</w:t>
      </w:r>
    </w:p>
    <w:p w14:paraId="0E26EB79" w14:textId="77777777" w:rsidR="00232123" w:rsidRDefault="00000000">
      <w:pPr>
        <w:pStyle w:val="ListParagraph"/>
        <w:numPr>
          <w:ilvl w:val="0"/>
          <w:numId w:val="3"/>
        </w:numPr>
      </w:pPr>
      <w:r>
        <w:t>Liquidity Provision: Wall Street desks have specialized teams for index events</w:t>
      </w:r>
    </w:p>
    <w:p w14:paraId="0624448C" w14:textId="77777777" w:rsidR="00232123" w:rsidRDefault="00000000">
      <w:pPr>
        <w:pStyle w:val="ListParagraph"/>
        <w:numPr>
          <w:ilvl w:val="0"/>
          <w:numId w:val="3"/>
        </w:numPr>
      </w:pPr>
      <w:r>
        <w:t>Active Manager Accommodation: Institutions now stand ready to sell to indexers</w:t>
      </w:r>
    </w:p>
    <w:p w14:paraId="38665C31" w14:textId="77777777" w:rsidR="00232123" w:rsidRDefault="00000000">
      <w:r>
        <w:br w:type="page"/>
      </w:r>
    </w:p>
    <w:p w14:paraId="49EB9985" w14:textId="77777777" w:rsidR="00232123" w:rsidRDefault="00000000">
      <w:pPr>
        <w:pStyle w:val="Heading1"/>
      </w:pPr>
      <w:r>
        <w:t>Recent S&amp;P 500 Additions Analysis (2023-2024)</w:t>
      </w:r>
    </w:p>
    <w:p w14:paraId="6E6D555C" w14:textId="77777777" w:rsidR="00232123" w:rsidRDefault="00000000">
      <w:pPr>
        <w:pStyle w:val="Heading2"/>
      </w:pPr>
      <w:r>
        <w:t>2024 Notable Additions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2"/>
        <w:gridCol w:w="1872"/>
        <w:gridCol w:w="1872"/>
        <w:gridCol w:w="1872"/>
      </w:tblGrid>
      <w:tr w:rsidR="00232123" w14:paraId="2619901B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370A6A6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Ticker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B634CD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14781C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Announce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50A9A1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Effective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D886F0F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Front-Run Return</w:t>
            </w:r>
          </w:p>
        </w:tc>
      </w:tr>
      <w:tr w:rsidR="00232123" w14:paraId="5FE1C848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BA26D0" w14:textId="77777777" w:rsidR="00232123" w:rsidRDefault="00000000">
            <w:r>
              <w:rPr>
                <w:color w:val="000000"/>
                <w:sz w:val="20"/>
                <w:szCs w:val="20"/>
              </w:rPr>
              <w:t>PLTR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FCC96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Palantir Technologies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0853DC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Sep 6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785EFB1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Sep 23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495228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+14.2%</w:t>
            </w:r>
          </w:p>
        </w:tc>
      </w:tr>
      <w:tr w:rsidR="00232123" w14:paraId="367431E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CD66BE" w14:textId="77777777" w:rsidR="00232123" w:rsidRDefault="00000000">
            <w:r>
              <w:rPr>
                <w:color w:val="000000"/>
                <w:sz w:val="20"/>
                <w:szCs w:val="20"/>
              </w:rPr>
              <w:t>DELL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EB7924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Dell Technologies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932621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Sep 6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2AA7D7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Sep 23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5B381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+3.1%</w:t>
            </w:r>
          </w:p>
        </w:tc>
      </w:tr>
      <w:tr w:rsidR="00232123" w14:paraId="2876A8D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AA72A9" w14:textId="77777777" w:rsidR="00232123" w:rsidRDefault="00000000">
            <w:r>
              <w:rPr>
                <w:color w:val="000000"/>
                <w:sz w:val="20"/>
                <w:szCs w:val="20"/>
              </w:rPr>
              <w:t>CRWD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D82C6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CrowdStrike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8EEDC6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Jun 7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44AAE7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Jun 24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5D6849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+7.3%</w:t>
            </w:r>
          </w:p>
        </w:tc>
      </w:tr>
      <w:tr w:rsidR="00232123" w14:paraId="0FBB91C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7FE4B" w14:textId="77777777" w:rsidR="00232123" w:rsidRDefault="00000000">
            <w:r>
              <w:rPr>
                <w:color w:val="000000"/>
                <w:sz w:val="20"/>
                <w:szCs w:val="20"/>
              </w:rPr>
              <w:t>KKR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237A4E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KKR &amp; Co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17F44E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Jun 7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041261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Jun 24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41D601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+11.2%</w:t>
            </w:r>
          </w:p>
        </w:tc>
      </w:tr>
      <w:tr w:rsidR="00232123" w14:paraId="5888060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40F42" w14:textId="77777777" w:rsidR="00232123" w:rsidRDefault="00000000">
            <w:r>
              <w:rPr>
                <w:color w:val="000000"/>
                <w:sz w:val="20"/>
                <w:szCs w:val="20"/>
              </w:rPr>
              <w:t>SMCI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5A158B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Super Micro Computer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F942AC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Mar 1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7F9DC6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Mar 18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D46DE1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+18.5%</w:t>
            </w:r>
          </w:p>
        </w:tc>
      </w:tr>
      <w:tr w:rsidR="00232123" w14:paraId="66597586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5B808C" w14:textId="77777777" w:rsidR="00232123" w:rsidRDefault="00000000">
            <w:r>
              <w:rPr>
                <w:color w:val="000000"/>
                <w:sz w:val="20"/>
                <w:szCs w:val="20"/>
              </w:rPr>
              <w:t>APO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F646F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Apollo Global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9CCD9E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Dec 6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88F155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Dec 23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EEF91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+2.8%</w:t>
            </w:r>
          </w:p>
        </w:tc>
      </w:tr>
      <w:tr w:rsidR="00232123" w14:paraId="2E65C10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FE8C72" w14:textId="77777777" w:rsidR="00232123" w:rsidRDefault="00000000">
            <w:r>
              <w:rPr>
                <w:color w:val="000000"/>
                <w:sz w:val="20"/>
                <w:szCs w:val="20"/>
              </w:rPr>
              <w:t>WDAY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5EA112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Workday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55F719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Dec 6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53F78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Dec 23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9099B7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+1.4%</w:t>
            </w:r>
          </w:p>
        </w:tc>
      </w:tr>
    </w:tbl>
    <w:p w14:paraId="10AAB7DC" w14:textId="77777777" w:rsidR="00232123" w:rsidRDefault="00232123">
      <w:pPr>
        <w:spacing w:before="200"/>
      </w:pPr>
    </w:p>
    <w:p w14:paraId="005C1AA3" w14:textId="77777777" w:rsidR="00232123" w:rsidRDefault="00000000">
      <w:pPr>
        <w:pStyle w:val="Heading2"/>
      </w:pPr>
      <w:r>
        <w:t>2023 Notable Additions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0"/>
        <w:gridCol w:w="1872"/>
        <w:gridCol w:w="1872"/>
        <w:gridCol w:w="1872"/>
        <w:gridCol w:w="1872"/>
      </w:tblGrid>
      <w:tr w:rsidR="00232123" w14:paraId="4C85F6E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8769D07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Ticker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9731021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Company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3E8A25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Announce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0468436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Effective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C4ACC22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Front-Run Return</w:t>
            </w:r>
          </w:p>
        </w:tc>
      </w:tr>
      <w:tr w:rsidR="00232123" w14:paraId="30AA62E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5D5614" w14:textId="77777777" w:rsidR="00232123" w:rsidRDefault="00000000">
            <w:r>
              <w:rPr>
                <w:color w:val="000000"/>
                <w:sz w:val="20"/>
                <w:szCs w:val="20"/>
              </w:rPr>
              <w:t>UBER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C2184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Uber Technologies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EC681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Dec 1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F21EF3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Dec 18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9A332F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+6.2%</w:t>
            </w:r>
          </w:p>
        </w:tc>
      </w:tr>
      <w:tr w:rsidR="00232123" w14:paraId="3AFD9F90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A1D134" w14:textId="77777777" w:rsidR="00232123" w:rsidRDefault="00000000">
            <w:r>
              <w:rPr>
                <w:color w:val="000000"/>
                <w:sz w:val="20"/>
                <w:szCs w:val="20"/>
              </w:rPr>
              <w:t>ABNB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E366B9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Airbnb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E88ED7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Sep 1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BC9A75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Sep 18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7E57DD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+4.8%</w:t>
            </w:r>
          </w:p>
        </w:tc>
      </w:tr>
      <w:tr w:rsidR="00232123" w14:paraId="3537DFE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DF2ED5" w14:textId="77777777" w:rsidR="00232123" w:rsidRDefault="00000000">
            <w:r>
              <w:rPr>
                <w:color w:val="000000"/>
                <w:sz w:val="20"/>
                <w:szCs w:val="20"/>
              </w:rPr>
              <w:t>BX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145AD9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Blackstone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EEE1CE1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Sep 1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D6F314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Sep 18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380C2C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+5.1%</w:t>
            </w:r>
          </w:p>
        </w:tc>
      </w:tr>
      <w:tr w:rsidR="00232123" w14:paraId="26A9771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94AA28" w14:textId="77777777" w:rsidR="00232123" w:rsidRDefault="00000000">
            <w:r>
              <w:rPr>
                <w:color w:val="000000"/>
                <w:sz w:val="20"/>
                <w:szCs w:val="20"/>
              </w:rPr>
              <w:t>PANW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509E31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Palo Alto Networks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D19997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Jun 2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FDFCE4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Jun 20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DB71CC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+8.3%</w:t>
            </w:r>
          </w:p>
        </w:tc>
      </w:tr>
      <w:tr w:rsidR="00232123" w14:paraId="19DD841E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49F72F" w14:textId="77777777" w:rsidR="00232123" w:rsidRDefault="00000000">
            <w:r>
              <w:rPr>
                <w:color w:val="000000"/>
                <w:sz w:val="20"/>
                <w:szCs w:val="20"/>
              </w:rPr>
              <w:t>LULU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9C9367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Lululemon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CF9B47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Oct 4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84C9DD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Oct 18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D94E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+3.9%</w:t>
            </w:r>
          </w:p>
        </w:tc>
      </w:tr>
    </w:tbl>
    <w:p w14:paraId="62223343" w14:textId="77777777" w:rsidR="00232123" w:rsidRDefault="00000000">
      <w:r>
        <w:br w:type="page"/>
      </w:r>
    </w:p>
    <w:p w14:paraId="55156C4D" w14:textId="77777777" w:rsidR="00232123" w:rsidRDefault="00000000">
      <w:pPr>
        <w:pStyle w:val="Heading1"/>
      </w:pPr>
      <w:r>
        <w:t>Trading Windows Analysis</w:t>
      </w:r>
    </w:p>
    <w:p w14:paraId="31E8B372" w14:textId="77777777" w:rsidR="00232123" w:rsidRDefault="00000000">
      <w:pPr>
        <w:pStyle w:val="Heading2"/>
      </w:pPr>
      <w:r>
        <w:t>Window 1: Front-Running Period (Announcement → Effective)</w:t>
      </w:r>
    </w:p>
    <w:p w14:paraId="4738DE5A" w14:textId="77777777" w:rsidR="00232123" w:rsidRDefault="00000000">
      <w:pPr>
        <w:spacing w:after="150"/>
        <w:jc w:val="both"/>
      </w:pPr>
      <w:r>
        <w:t>This is the primary opportunity window where active managers accumulate ahead of passive fund buying. Historical data shows: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1"/>
        <w:gridCol w:w="1871"/>
        <w:gridCol w:w="1872"/>
        <w:gridCol w:w="1872"/>
        <w:gridCol w:w="1872"/>
      </w:tblGrid>
      <w:tr w:rsidR="00232123" w14:paraId="4BFA13CD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BB6F68A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Statistic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CEFC9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1990s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227E257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2000s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22E1CB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2010s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3D1FCF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Recent</w:t>
            </w:r>
          </w:p>
        </w:tc>
      </w:tr>
      <w:tr w:rsidR="00232123" w14:paraId="20B3DDE1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D683E0" w14:textId="77777777" w:rsidR="00232123" w:rsidRDefault="00000000">
            <w:r>
              <w:rPr>
                <w:color w:val="000000"/>
                <w:sz w:val="20"/>
                <w:szCs w:val="20"/>
              </w:rPr>
              <w:t>Mean Return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8E117F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+7.4%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422F45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+5.2%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1C46C1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+1.0%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D3280A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+4.5%</w:t>
            </w:r>
          </w:p>
        </w:tc>
      </w:tr>
      <w:tr w:rsidR="00232123" w14:paraId="008F55A7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53B6D6" w14:textId="77777777" w:rsidR="00232123" w:rsidRDefault="00000000">
            <w:r>
              <w:rPr>
                <w:color w:val="000000"/>
                <w:sz w:val="20"/>
                <w:szCs w:val="20"/>
              </w:rPr>
              <w:t>Median Return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99A0F20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+5.8%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43213B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+3.9%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EAFC6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+0.6%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8A0284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+3.2%</w:t>
            </w:r>
          </w:p>
        </w:tc>
      </w:tr>
      <w:tr w:rsidR="00232123" w14:paraId="3F584495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D59707" w14:textId="77777777" w:rsidR="00232123" w:rsidRDefault="00000000">
            <w:r>
              <w:rPr>
                <w:color w:val="000000"/>
                <w:sz w:val="20"/>
                <w:szCs w:val="20"/>
              </w:rPr>
              <w:t>Standard Deviation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0F933A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12.3%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FF970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10.8%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612C49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8.4%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ECA3E5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11.2%</w:t>
            </w:r>
          </w:p>
        </w:tc>
      </w:tr>
      <w:tr w:rsidR="00232123" w14:paraId="06681E54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BF167" w14:textId="77777777" w:rsidR="00232123" w:rsidRDefault="00000000">
            <w:r>
              <w:rPr>
                <w:color w:val="000000"/>
                <w:sz w:val="20"/>
                <w:szCs w:val="20"/>
              </w:rPr>
              <w:t>Win Rate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78DE20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76%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EE4612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68%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02EF37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54%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9FE02D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62%</w:t>
            </w:r>
          </w:p>
        </w:tc>
      </w:tr>
      <w:tr w:rsidR="00232123" w14:paraId="1D19BD72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603948" w14:textId="77777777" w:rsidR="00232123" w:rsidRDefault="00000000">
            <w:r>
              <w:rPr>
                <w:color w:val="000000"/>
                <w:sz w:val="20"/>
                <w:szCs w:val="20"/>
              </w:rPr>
              <w:t>Avg. Days in Window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8264E8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5.2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660BC0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4.8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DD74C7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4.6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D5E0B0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10.5</w:t>
            </w:r>
          </w:p>
        </w:tc>
      </w:tr>
    </w:tbl>
    <w:p w14:paraId="7F857B7A" w14:textId="77777777" w:rsidR="00232123" w:rsidRDefault="00232123">
      <w:pPr>
        <w:spacing w:before="200"/>
      </w:pPr>
    </w:p>
    <w:p w14:paraId="3EDEF8F2" w14:textId="77777777" w:rsidR="00232123" w:rsidRDefault="00000000">
      <w:pPr>
        <w:pStyle w:val="Heading2"/>
      </w:pPr>
      <w:r>
        <w:t>Window 2: Post-Inclusion Performance</w:t>
      </w:r>
    </w:p>
    <w:p w14:paraId="0B013F0C" w14:textId="77777777" w:rsidR="00232123" w:rsidRDefault="00000000">
      <w:pPr>
        <w:spacing w:after="150"/>
        <w:jc w:val="both"/>
      </w:pPr>
      <w:r>
        <w:t>After the effective date, stocks often experience mean reversion as front-runners exit and the temporary demand shock dissipates: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39"/>
        <w:gridCol w:w="2340"/>
        <w:gridCol w:w="2339"/>
      </w:tblGrid>
      <w:tr w:rsidR="00232123" w14:paraId="0CAADD2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9DC6EC0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Post-Effective Window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9188DA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Mean Return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3BE983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Median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7A2A04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Win Rate</w:t>
            </w:r>
          </w:p>
        </w:tc>
      </w:tr>
      <w:tr w:rsidR="00232123" w14:paraId="33A6C10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F30B32" w14:textId="77777777" w:rsidR="00232123" w:rsidRDefault="00000000">
            <w:r>
              <w:rPr>
                <w:color w:val="276749"/>
                <w:sz w:val="20"/>
                <w:szCs w:val="20"/>
              </w:rPr>
              <w:t>+1 Day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13177" w14:textId="77777777" w:rsidR="00232123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-0.3%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D373D4" w14:textId="77777777" w:rsidR="00232123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-0.2%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0F5E70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46%</w:t>
            </w:r>
          </w:p>
        </w:tc>
      </w:tr>
      <w:tr w:rsidR="00232123" w14:paraId="74D69B6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4841A6" w14:textId="77777777" w:rsidR="00232123" w:rsidRDefault="00000000">
            <w:r>
              <w:rPr>
                <w:color w:val="276749"/>
                <w:sz w:val="20"/>
                <w:szCs w:val="20"/>
              </w:rPr>
              <w:t>+5 Days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0B4CCE" w14:textId="77777777" w:rsidR="00232123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-0.8%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8E49F5" w14:textId="77777777" w:rsidR="00232123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-0.5%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B83503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44%</w:t>
            </w:r>
          </w:p>
        </w:tc>
      </w:tr>
      <w:tr w:rsidR="00232123" w14:paraId="6C7BCDE7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151DDA" w14:textId="77777777" w:rsidR="00232123" w:rsidRDefault="00000000">
            <w:r>
              <w:rPr>
                <w:color w:val="276749"/>
                <w:sz w:val="20"/>
                <w:szCs w:val="20"/>
              </w:rPr>
              <w:t>+10 Days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272737" w14:textId="77777777" w:rsidR="00232123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-1.2%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18157D" w14:textId="77777777" w:rsidR="00232123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-0.8%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FD3234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42%</w:t>
            </w:r>
          </w:p>
        </w:tc>
      </w:tr>
      <w:tr w:rsidR="00232123" w14:paraId="1CCD1C5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70F07" w14:textId="77777777" w:rsidR="00232123" w:rsidRDefault="00000000">
            <w:r>
              <w:rPr>
                <w:color w:val="276749"/>
                <w:sz w:val="20"/>
                <w:szCs w:val="20"/>
              </w:rPr>
              <w:t>+20 Days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285FFB" w14:textId="77777777" w:rsidR="00232123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-1.8%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F6CAE5" w14:textId="77777777" w:rsidR="00232123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-1.4%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D27B32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40%</w:t>
            </w:r>
          </w:p>
        </w:tc>
      </w:tr>
      <w:tr w:rsidR="00232123" w14:paraId="35D6A944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5BE2E" w14:textId="77777777" w:rsidR="00232123" w:rsidRDefault="00000000">
            <w:r>
              <w:rPr>
                <w:color w:val="276749"/>
                <w:sz w:val="20"/>
                <w:szCs w:val="20"/>
              </w:rPr>
              <w:t>+60 Days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DAC7F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+0.5%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6F7069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+0.2%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831AD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51%</w:t>
            </w:r>
          </w:p>
        </w:tc>
      </w:tr>
    </w:tbl>
    <w:p w14:paraId="07287371" w14:textId="77777777" w:rsidR="00232123" w:rsidRDefault="00000000">
      <w:pPr>
        <w:spacing w:before="150"/>
      </w:pPr>
      <w:r>
        <w:rPr>
          <w:i/>
          <w:iCs/>
          <w:color w:val="718096"/>
          <w:sz w:val="18"/>
          <w:szCs w:val="18"/>
        </w:rPr>
        <w:t>Note: Post-inclusion reversal is most pronounced in the first 20 trading days, after which broader market factors dominate.</w:t>
      </w:r>
    </w:p>
    <w:p w14:paraId="35E17272" w14:textId="77777777" w:rsidR="00232123" w:rsidRDefault="00000000">
      <w:r>
        <w:br w:type="page"/>
      </w:r>
    </w:p>
    <w:p w14:paraId="24F04254" w14:textId="77777777" w:rsidR="00232123" w:rsidRDefault="00000000">
      <w:pPr>
        <w:pStyle w:val="Heading1"/>
      </w:pPr>
      <w:r>
        <w:t>Migrations vs. Direct Additions</w:t>
      </w:r>
    </w:p>
    <w:p w14:paraId="302D4BDC" w14:textId="77777777" w:rsidR="00232123" w:rsidRDefault="00000000">
      <w:pPr>
        <w:pStyle w:val="Heading2"/>
      </w:pPr>
      <w:r>
        <w:t>Critical Distinction</w:t>
      </w:r>
    </w:p>
    <w:p w14:paraId="54C40B5D" w14:textId="77777777" w:rsidR="00232123" w:rsidRDefault="00000000">
      <w:pPr>
        <w:spacing w:after="150"/>
        <w:jc w:val="both"/>
      </w:pPr>
      <w:r>
        <w:t>Not all S&amp;P 500 additions are created equal. The key distinction is between direct additions (stocks entering from outside the S&amp;P 1500 universe) and migrations (stocks moving up from S&amp;P MidCap 400).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71"/>
        <w:gridCol w:w="1871"/>
        <w:gridCol w:w="1872"/>
        <w:gridCol w:w="1872"/>
        <w:gridCol w:w="1872"/>
      </w:tblGrid>
      <w:tr w:rsidR="00232123" w14:paraId="2DA2CA4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F4E3D2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Type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0D4E4D9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1990s Return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5C58E3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2000s Return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BCAC047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2010s Return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3F2607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% of Adds</w:t>
            </w:r>
          </w:p>
        </w:tc>
      </w:tr>
      <w:tr w:rsidR="00232123" w14:paraId="05DB72EC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363F82" w14:textId="77777777" w:rsidR="00232123" w:rsidRDefault="00000000">
            <w:r>
              <w:rPr>
                <w:color w:val="000000"/>
                <w:sz w:val="20"/>
                <w:szCs w:val="20"/>
              </w:rPr>
              <w:t>Direct Additions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2F4FE5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+10.2%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18CCB8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+8.8%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72A874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+5.4%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B53C6A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30%</w:t>
            </w:r>
          </w:p>
        </w:tc>
      </w:tr>
      <w:tr w:rsidR="00232123" w14:paraId="5E19FCC3" w14:textId="77777777">
        <w:tblPrEx>
          <w:tblCellMar>
            <w:top w:w="0" w:type="dxa"/>
            <w:bottom w:w="0" w:type="dxa"/>
          </w:tblCellMar>
        </w:tblPrEx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D474FE" w14:textId="77777777" w:rsidR="00232123" w:rsidRDefault="00000000">
            <w:r>
              <w:rPr>
                <w:color w:val="000000"/>
                <w:sz w:val="20"/>
                <w:szCs w:val="20"/>
              </w:rPr>
              <w:t>Migrations from MidCap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990306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+6.7%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15D359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+2.7%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59D2D3" w14:textId="77777777" w:rsidR="00232123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-1.8%</w:t>
            </w:r>
          </w:p>
        </w:tc>
        <w:tc>
          <w:tcPr>
            <w:tcW w:w="1872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F9CC28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70%</w:t>
            </w:r>
          </w:p>
        </w:tc>
      </w:tr>
    </w:tbl>
    <w:p w14:paraId="2602A3B3" w14:textId="77777777" w:rsidR="00232123" w:rsidRDefault="00232123">
      <w:pPr>
        <w:spacing w:before="200"/>
      </w:pPr>
    </w:p>
    <w:p w14:paraId="4E4EE238" w14:textId="77777777" w:rsidR="00232123" w:rsidRDefault="00000000">
      <w:pPr>
        <w:spacing w:after="150"/>
        <w:jc w:val="both"/>
      </w:pPr>
      <w:r>
        <w:t>Why migrations underperform: When a stock moves from MidCap to S&amp;P 500, there are offsetting flows. S&amp;P 500 trackers must buy, but MidCap trackers must simultaneously sell. With MidCap indexing now representing ~6% of that index's market cap, these offsetting flows significantly reduce the net demand shock.</w:t>
      </w:r>
    </w:p>
    <w:p w14:paraId="4349502A" w14:textId="77777777" w:rsidR="00232123" w:rsidRDefault="00000000">
      <w:pPr>
        <w:pStyle w:val="Heading2"/>
      </w:pPr>
      <w:r>
        <w:t>Implications for Trading</w:t>
      </w:r>
    </w:p>
    <w:p w14:paraId="6E954295" w14:textId="77777777" w:rsidR="00232123" w:rsidRDefault="00000000">
      <w:pPr>
        <w:pStyle w:val="ListParagraph"/>
        <w:numPr>
          <w:ilvl w:val="0"/>
          <w:numId w:val="2"/>
        </w:numPr>
      </w:pPr>
      <w:r>
        <w:t>Direct additions from outside S&amp;P 1500 offer higher potential returns</w:t>
      </w:r>
    </w:p>
    <w:p w14:paraId="6F283A79" w14:textId="77777777" w:rsidR="00232123" w:rsidRDefault="00000000">
      <w:pPr>
        <w:pStyle w:val="ListParagraph"/>
        <w:numPr>
          <w:ilvl w:val="0"/>
          <w:numId w:val="2"/>
        </w:numPr>
      </w:pPr>
      <w:r>
        <w:t>Monitor MidCap index for potential migration candidates</w:t>
      </w:r>
    </w:p>
    <w:p w14:paraId="755826F8" w14:textId="77777777" w:rsidR="00232123" w:rsidRDefault="00000000">
      <w:pPr>
        <w:pStyle w:val="ListParagraph"/>
        <w:numPr>
          <w:ilvl w:val="0"/>
          <w:numId w:val="2"/>
        </w:numPr>
      </w:pPr>
      <w:r>
        <w:t>Be cautious with migrations - offsetting flows limit upside</w:t>
      </w:r>
    </w:p>
    <w:p w14:paraId="51DBF167" w14:textId="77777777" w:rsidR="00232123" w:rsidRDefault="00000000">
      <w:pPr>
        <w:pStyle w:val="ListParagraph"/>
        <w:numPr>
          <w:ilvl w:val="0"/>
          <w:numId w:val="2"/>
        </w:numPr>
      </w:pPr>
      <w:r>
        <w:t>Tesla (2020) was a direct addition - explains its exceptional +53% return</w:t>
      </w:r>
    </w:p>
    <w:p w14:paraId="7DC8D940" w14:textId="77777777" w:rsidR="00232123" w:rsidRDefault="00000000">
      <w:r>
        <w:br w:type="page"/>
      </w:r>
    </w:p>
    <w:p w14:paraId="1D436E7A" w14:textId="77777777" w:rsidR="00232123" w:rsidRDefault="00000000">
      <w:pPr>
        <w:pStyle w:val="Heading1"/>
      </w:pPr>
      <w:r>
        <w:t>Index Addition Predictability</w:t>
      </w:r>
    </w:p>
    <w:p w14:paraId="3EF20C79" w14:textId="77777777" w:rsidR="00232123" w:rsidRDefault="00000000">
      <w:pPr>
        <w:pStyle w:val="Heading2"/>
      </w:pPr>
      <w:r>
        <w:t>Can You Predict Additions?</w:t>
      </w:r>
    </w:p>
    <w:p w14:paraId="66D542BD" w14:textId="77777777" w:rsidR="00232123" w:rsidRDefault="00000000">
      <w:pPr>
        <w:spacing w:after="150"/>
        <w:jc w:val="both"/>
      </w:pPr>
      <w:r>
        <w:t>S&amp;P selection is committee-based, not purely rules-based like Russell reconstitution. However, predictability has increased over time:</w:t>
      </w:r>
    </w:p>
    <w:p w14:paraId="1E6E4320" w14:textId="77777777" w:rsidR="00232123" w:rsidRDefault="00000000">
      <w:pPr>
        <w:pStyle w:val="ListParagraph"/>
        <w:numPr>
          <w:ilvl w:val="0"/>
          <w:numId w:val="2"/>
        </w:numPr>
        <w:spacing w:before="100"/>
      </w:pPr>
      <w:r>
        <w:t>Market cap threshold: Currently ~$18B+ (adjusted periodically)</w:t>
      </w:r>
    </w:p>
    <w:p w14:paraId="0711DCC6" w14:textId="77777777" w:rsidR="00232123" w:rsidRDefault="00000000">
      <w:pPr>
        <w:pStyle w:val="ListParagraph"/>
        <w:numPr>
          <w:ilvl w:val="0"/>
          <w:numId w:val="2"/>
        </w:numPr>
      </w:pPr>
      <w:r>
        <w:t>Profitability: Positive GAAP earnings (sum of last 4 quarters)</w:t>
      </w:r>
    </w:p>
    <w:p w14:paraId="534F499B" w14:textId="77777777" w:rsidR="00232123" w:rsidRDefault="00000000">
      <w:pPr>
        <w:pStyle w:val="ListParagraph"/>
        <w:numPr>
          <w:ilvl w:val="0"/>
          <w:numId w:val="2"/>
        </w:numPr>
      </w:pPr>
      <w:r>
        <w:t>Liquidity: Minimum monthly trading volume of 250K shares</w:t>
      </w:r>
    </w:p>
    <w:p w14:paraId="23C7A98F" w14:textId="77777777" w:rsidR="00232123" w:rsidRDefault="00000000">
      <w:pPr>
        <w:pStyle w:val="ListParagraph"/>
        <w:numPr>
          <w:ilvl w:val="0"/>
          <w:numId w:val="2"/>
        </w:numPr>
      </w:pPr>
      <w:r>
        <w:t>Float: At least 50% of shares available for trading</w:t>
      </w:r>
    </w:p>
    <w:p w14:paraId="3DC09C28" w14:textId="77777777" w:rsidR="00232123" w:rsidRDefault="00000000">
      <w:pPr>
        <w:pStyle w:val="ListParagraph"/>
        <w:numPr>
          <w:ilvl w:val="0"/>
          <w:numId w:val="2"/>
        </w:numPr>
      </w:pPr>
      <w:r>
        <w:t>Domicile: U.S.-based company filing 10-Ks</w:t>
      </w:r>
    </w:p>
    <w:p w14:paraId="21336FC4" w14:textId="77777777" w:rsidR="00232123" w:rsidRDefault="00000000">
      <w:pPr>
        <w:pStyle w:val="Heading2"/>
      </w:pPr>
      <w:r>
        <w:t>Pre-Announcement Returns</w:t>
      </w:r>
    </w:p>
    <w:p w14:paraId="4D5385BF" w14:textId="77777777" w:rsidR="00232123" w:rsidRDefault="00000000">
      <w:pPr>
        <w:spacing w:after="150"/>
        <w:jc w:val="both"/>
      </w:pPr>
      <w:r>
        <w:t>Research shows pre-announcement returns have increased over time, suggesting more front-running by sophisticated traders who anticipate additions: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39"/>
        <w:gridCol w:w="2339"/>
        <w:gridCol w:w="2340"/>
        <w:gridCol w:w="2340"/>
      </w:tblGrid>
      <w:tr w:rsidR="00232123" w14:paraId="0778BB2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83EDE89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Pre-Ann Window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EEBE1B2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1990s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A3E3EC8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2000s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0FB65AF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2010s</w:t>
            </w:r>
          </w:p>
        </w:tc>
      </w:tr>
      <w:tr w:rsidR="00232123" w14:paraId="50EB3AB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F7837" w14:textId="77777777" w:rsidR="00232123" w:rsidRDefault="00000000">
            <w:r>
              <w:rPr>
                <w:color w:val="C53030"/>
                <w:sz w:val="20"/>
                <w:szCs w:val="20"/>
              </w:rPr>
              <w:t>-20 to -1 Days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A3BBA9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+1.5%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30888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+2.1%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4AFD7B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+2.4%</w:t>
            </w:r>
          </w:p>
        </w:tc>
      </w:tr>
      <w:tr w:rsidR="00232123" w14:paraId="77AD5B8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394371" w14:textId="77777777" w:rsidR="00232123" w:rsidRDefault="00000000">
            <w:r>
              <w:rPr>
                <w:color w:val="C53030"/>
                <w:sz w:val="20"/>
                <w:szCs w:val="20"/>
              </w:rPr>
              <w:t>-50 to -1 Days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D3DA4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+4.8%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926C28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+8.2%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4C217D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+11.3%</w:t>
            </w:r>
          </w:p>
        </w:tc>
      </w:tr>
      <w:tr w:rsidR="00232123" w14:paraId="5458908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9E1154" w14:textId="77777777" w:rsidR="00232123" w:rsidRDefault="00000000">
            <w:r>
              <w:rPr>
                <w:color w:val="C53030"/>
                <w:sz w:val="20"/>
                <w:szCs w:val="20"/>
              </w:rPr>
              <w:t>-100 to -1 Days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0BACF0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+9.6%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F662D4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+14.2%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A5195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+18.7%</w:t>
            </w:r>
          </w:p>
        </w:tc>
      </w:tr>
    </w:tbl>
    <w:p w14:paraId="64AE5FBD" w14:textId="77777777" w:rsidR="00232123" w:rsidRDefault="00000000">
      <w:r>
        <w:br w:type="page"/>
      </w:r>
    </w:p>
    <w:p w14:paraId="109BD2CB" w14:textId="77777777" w:rsidR="00232123" w:rsidRDefault="00000000">
      <w:pPr>
        <w:pStyle w:val="Heading1"/>
      </w:pPr>
      <w:r>
        <w:t>Trading Strategy Framework</w:t>
      </w:r>
    </w:p>
    <w:p w14:paraId="44F27642" w14:textId="77777777" w:rsidR="00232123" w:rsidRDefault="00000000">
      <w:pPr>
        <w:pStyle w:val="Heading2"/>
      </w:pPr>
      <w:r>
        <w:t>Strategy 1: Front-Running (Long Bias)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32123" w14:paraId="34F754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AFAAE1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23B389B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32123" w14:paraId="1F27B1FD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848772" w14:textId="77777777" w:rsidR="00232123" w:rsidRDefault="00000000">
            <w:r>
              <w:rPr>
                <w:color w:val="000000"/>
                <w:sz w:val="20"/>
                <w:szCs w:val="20"/>
              </w:rPr>
              <w:t>Entry Signal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4CCB7F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S&amp;P announcement of addition</w:t>
            </w:r>
          </w:p>
        </w:tc>
      </w:tr>
      <w:tr w:rsidR="00232123" w14:paraId="3A6FCE83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0E3EB22" w14:textId="77777777" w:rsidR="00232123" w:rsidRDefault="00000000">
            <w:r>
              <w:rPr>
                <w:color w:val="000000"/>
                <w:sz w:val="20"/>
                <w:szCs w:val="20"/>
              </w:rPr>
              <w:t>Entry Timing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06858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Market open following announcement</w:t>
            </w:r>
          </w:p>
        </w:tc>
      </w:tr>
      <w:tr w:rsidR="00232123" w14:paraId="66C543C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52498F" w14:textId="77777777" w:rsidR="00232123" w:rsidRDefault="00000000">
            <w:r>
              <w:rPr>
                <w:color w:val="000000"/>
                <w:sz w:val="20"/>
                <w:szCs w:val="20"/>
              </w:rPr>
              <w:t>Exit Timing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DCE836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Close of effective date (or day before)</w:t>
            </w:r>
          </w:p>
        </w:tc>
      </w:tr>
      <w:tr w:rsidR="00232123" w14:paraId="0B7CFED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6BD54" w14:textId="77777777" w:rsidR="00232123" w:rsidRDefault="00000000">
            <w:r>
              <w:rPr>
                <w:color w:val="000000"/>
                <w:sz w:val="20"/>
                <w:szCs w:val="20"/>
              </w:rPr>
              <w:t>Position Size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5A1FA6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Based on liquidity &amp; conviction</w:t>
            </w:r>
          </w:p>
        </w:tc>
      </w:tr>
      <w:tr w:rsidR="00232123" w14:paraId="62BD49F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54A6323" w14:textId="77777777" w:rsidR="00232123" w:rsidRDefault="00000000">
            <w:r>
              <w:rPr>
                <w:color w:val="000000"/>
                <w:sz w:val="20"/>
                <w:szCs w:val="20"/>
              </w:rPr>
              <w:t>Historical Edge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A2369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+4-7% average, ~60-70% win rate</w:t>
            </w:r>
          </w:p>
        </w:tc>
      </w:tr>
      <w:tr w:rsidR="00232123" w14:paraId="67CC146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CC3665" w14:textId="77777777" w:rsidR="00232123" w:rsidRDefault="00000000">
            <w:r>
              <w:rPr>
                <w:color w:val="000000"/>
                <w:sz w:val="20"/>
                <w:szCs w:val="20"/>
              </w:rPr>
              <w:t>Risk Factors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4F7F1B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Market beta, single stock concentration</w:t>
            </w:r>
          </w:p>
        </w:tc>
      </w:tr>
    </w:tbl>
    <w:p w14:paraId="1B37E5AD" w14:textId="77777777" w:rsidR="00232123" w:rsidRDefault="00232123">
      <w:pPr>
        <w:spacing w:before="200"/>
      </w:pPr>
    </w:p>
    <w:p w14:paraId="4A72D60B" w14:textId="77777777" w:rsidR="00232123" w:rsidRDefault="00000000">
      <w:pPr>
        <w:pStyle w:val="Heading2"/>
      </w:pPr>
      <w:r>
        <w:t>Strategy 2: Post-Inclusion Mean Reversion (Short Bias)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679"/>
        <w:gridCol w:w="4679"/>
      </w:tblGrid>
      <w:tr w:rsidR="00232123" w14:paraId="3924E6F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28A46AE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Parameter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C63D26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232123" w14:paraId="579D9CF9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BE98C8" w14:textId="77777777" w:rsidR="00232123" w:rsidRDefault="00000000">
            <w:r>
              <w:rPr>
                <w:color w:val="000000"/>
                <w:sz w:val="20"/>
                <w:szCs w:val="20"/>
              </w:rPr>
              <w:t>Entry Signal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F809D2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Effective date close</w:t>
            </w:r>
          </w:p>
        </w:tc>
      </w:tr>
      <w:tr w:rsidR="00232123" w14:paraId="47C6670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9BD492" w14:textId="77777777" w:rsidR="00232123" w:rsidRDefault="00000000">
            <w:r>
              <w:rPr>
                <w:color w:val="000000"/>
                <w:sz w:val="20"/>
                <w:szCs w:val="20"/>
              </w:rPr>
              <w:t>Entry Timing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36D641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Market open day after effective date</w:t>
            </w:r>
          </w:p>
        </w:tc>
      </w:tr>
      <w:tr w:rsidR="00232123" w14:paraId="7205FA4B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C9693" w14:textId="77777777" w:rsidR="00232123" w:rsidRDefault="00000000">
            <w:r>
              <w:rPr>
                <w:color w:val="000000"/>
                <w:sz w:val="20"/>
                <w:szCs w:val="20"/>
              </w:rPr>
              <w:t>Exit Timing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D93CFF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10-20 trading days post-effective</w:t>
            </w:r>
          </w:p>
        </w:tc>
      </w:tr>
      <w:tr w:rsidR="00232123" w14:paraId="35BC8AA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601285" w14:textId="77777777" w:rsidR="00232123" w:rsidRDefault="00000000">
            <w:r>
              <w:rPr>
                <w:color w:val="000000"/>
                <w:sz w:val="20"/>
                <w:szCs w:val="20"/>
              </w:rPr>
              <w:t>Position Size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B35B27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Smaller due to unlimited loss potential</w:t>
            </w:r>
          </w:p>
        </w:tc>
      </w:tr>
      <w:tr w:rsidR="00232123" w14:paraId="329FE5E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21392A" w14:textId="77777777" w:rsidR="00232123" w:rsidRDefault="00000000">
            <w:r>
              <w:rPr>
                <w:color w:val="000000"/>
                <w:sz w:val="20"/>
                <w:szCs w:val="20"/>
              </w:rPr>
              <w:t>Historical Edge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9AC5B8" w14:textId="77777777" w:rsidR="00232123" w:rsidRDefault="00000000">
            <w:pPr>
              <w:jc w:val="center"/>
            </w:pPr>
            <w:r>
              <w:rPr>
                <w:color w:val="C53030"/>
                <w:sz w:val="20"/>
                <w:szCs w:val="20"/>
              </w:rPr>
              <w:t>-1 to -2% average, ~55-60% win rate</w:t>
            </w:r>
          </w:p>
        </w:tc>
      </w:tr>
      <w:tr w:rsidR="00232123" w14:paraId="073B97BF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44BD3E" w14:textId="77777777" w:rsidR="00232123" w:rsidRDefault="00000000">
            <w:r>
              <w:rPr>
                <w:color w:val="000000"/>
                <w:sz w:val="20"/>
                <w:szCs w:val="20"/>
              </w:rPr>
              <w:t>Risk Factors</w:t>
            </w:r>
          </w:p>
        </w:tc>
        <w:tc>
          <w:tcPr>
            <w:tcW w:w="468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CCEEF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Short squeeze, momentum continuation</w:t>
            </w:r>
          </w:p>
        </w:tc>
      </w:tr>
    </w:tbl>
    <w:p w14:paraId="1439239A" w14:textId="77777777" w:rsidR="00232123" w:rsidRDefault="00232123">
      <w:pPr>
        <w:spacing w:before="200"/>
      </w:pPr>
    </w:p>
    <w:p w14:paraId="6F177AAC" w14:textId="77777777" w:rsidR="00232123" w:rsidRDefault="00000000">
      <w:pPr>
        <w:pStyle w:val="Heading2"/>
      </w:pPr>
      <w:r>
        <w:t>Strategy 3: Anticipatory (Higher Risk/Reward)</w:t>
      </w:r>
    </w:p>
    <w:p w14:paraId="72CA0D5F" w14:textId="77777777" w:rsidR="00232123" w:rsidRDefault="00000000">
      <w:pPr>
        <w:spacing w:after="150"/>
        <w:jc w:val="both"/>
      </w:pPr>
      <w:r>
        <w:t>For traders willing to accept binary outcome risk, positioning before announcement in likely candidates can offer outsized returns. Key screening criteria:</w:t>
      </w:r>
    </w:p>
    <w:p w14:paraId="4C6FDD23" w14:textId="77777777" w:rsidR="00232123" w:rsidRDefault="00000000">
      <w:pPr>
        <w:pStyle w:val="ListParagraph"/>
        <w:numPr>
          <w:ilvl w:val="0"/>
          <w:numId w:val="3"/>
        </w:numPr>
      </w:pPr>
      <w:r>
        <w:t>Screen for large-cap stocks not in S&amp;P 500 meeting eligibility criteria</w:t>
      </w:r>
    </w:p>
    <w:p w14:paraId="7A8369A5" w14:textId="77777777" w:rsidR="00232123" w:rsidRDefault="00000000">
      <w:pPr>
        <w:pStyle w:val="ListParagraph"/>
        <w:numPr>
          <w:ilvl w:val="0"/>
          <w:numId w:val="3"/>
        </w:numPr>
      </w:pPr>
      <w:r>
        <w:t>Focus on highest market cap eligible names (rank 1-50 outside index)</w:t>
      </w:r>
    </w:p>
    <w:p w14:paraId="1E78C84B" w14:textId="77777777" w:rsidR="00232123" w:rsidRDefault="00000000">
      <w:pPr>
        <w:pStyle w:val="ListParagraph"/>
        <w:numPr>
          <w:ilvl w:val="0"/>
          <w:numId w:val="3"/>
        </w:numPr>
      </w:pPr>
      <w:r>
        <w:t>Monitor for deletion triggers (M&amp;A, spin-offs, delistings)</w:t>
      </w:r>
    </w:p>
    <w:p w14:paraId="1AA8A7B6" w14:textId="77777777" w:rsidR="00232123" w:rsidRDefault="00000000">
      <w:pPr>
        <w:pStyle w:val="ListParagraph"/>
        <w:numPr>
          <w:ilvl w:val="0"/>
          <w:numId w:val="3"/>
        </w:numPr>
      </w:pPr>
      <w:r>
        <w:t>Size positions for binary outcome (small % of portfolio)</w:t>
      </w:r>
    </w:p>
    <w:p w14:paraId="5336A903" w14:textId="77777777" w:rsidR="00232123" w:rsidRDefault="00000000">
      <w:r>
        <w:br w:type="page"/>
      </w:r>
    </w:p>
    <w:p w14:paraId="72FEC542" w14:textId="77777777" w:rsidR="00232123" w:rsidRDefault="00000000">
      <w:pPr>
        <w:pStyle w:val="Heading1"/>
      </w:pPr>
      <w:r>
        <w:t>Risk Factors &amp; Considerations</w:t>
      </w:r>
    </w:p>
    <w:p w14:paraId="32E267C5" w14:textId="77777777" w:rsidR="00232123" w:rsidRDefault="00000000">
      <w:pPr>
        <w:pStyle w:val="Heading2"/>
      </w:pPr>
      <w:r>
        <w:t>Why the Edge Has Diminished</w:t>
      </w:r>
    </w:p>
    <w:p w14:paraId="32B3AE89" w14:textId="77777777" w:rsidR="00232123" w:rsidRDefault="00000000">
      <w:pPr>
        <w:pStyle w:val="ListParagraph"/>
        <w:numPr>
          <w:ilvl w:val="0"/>
          <w:numId w:val="2"/>
        </w:numPr>
      </w:pPr>
      <w:r>
        <w:t>Crowded Trade: More participants competing for the same alpha</w:t>
      </w:r>
    </w:p>
    <w:p w14:paraId="323B7990" w14:textId="77777777" w:rsidR="00232123" w:rsidRDefault="00000000">
      <w:pPr>
        <w:pStyle w:val="ListParagraph"/>
        <w:numPr>
          <w:ilvl w:val="0"/>
          <w:numId w:val="2"/>
        </w:numPr>
      </w:pPr>
      <w:r>
        <w:t>Improved Liquidity: Market makers provide better execution around events</w:t>
      </w:r>
    </w:p>
    <w:p w14:paraId="2EB36134" w14:textId="77777777" w:rsidR="00232123" w:rsidRDefault="00000000">
      <w:pPr>
        <w:pStyle w:val="ListParagraph"/>
        <w:numPr>
          <w:ilvl w:val="0"/>
          <w:numId w:val="2"/>
        </w:numPr>
      </w:pPr>
      <w:r>
        <w:t>Offsetting Flows: Migration-dominated additions reduce net demand</w:t>
      </w:r>
    </w:p>
    <w:p w14:paraId="32A4E434" w14:textId="77777777" w:rsidR="00232123" w:rsidRDefault="00000000">
      <w:pPr>
        <w:pStyle w:val="ListParagraph"/>
        <w:numPr>
          <w:ilvl w:val="0"/>
          <w:numId w:val="2"/>
        </w:numPr>
      </w:pPr>
      <w:r>
        <w:t>Earlier Positioning: Sophisticated traders front-run the front-runners</w:t>
      </w:r>
    </w:p>
    <w:p w14:paraId="7AD37056" w14:textId="77777777" w:rsidR="00232123" w:rsidRDefault="00000000">
      <w:pPr>
        <w:pStyle w:val="Heading2"/>
      </w:pPr>
      <w:r>
        <w:t>Event-Specific Risks</w:t>
      </w:r>
    </w:p>
    <w:p w14:paraId="1C897E18" w14:textId="77777777" w:rsidR="00232123" w:rsidRDefault="00000000">
      <w:pPr>
        <w:pStyle w:val="ListParagraph"/>
        <w:numPr>
          <w:ilvl w:val="0"/>
          <w:numId w:val="2"/>
        </w:numPr>
      </w:pPr>
      <w:r>
        <w:t>Announcement timing uncertainty (after-hours, weekends)</w:t>
      </w:r>
    </w:p>
    <w:p w14:paraId="61B71318" w14:textId="77777777" w:rsidR="00232123" w:rsidRDefault="00000000">
      <w:pPr>
        <w:pStyle w:val="ListParagraph"/>
        <w:numPr>
          <w:ilvl w:val="0"/>
          <w:numId w:val="2"/>
        </w:numPr>
      </w:pPr>
      <w:r>
        <w:t>Concurrent news events (earnings, M&amp;A, macro)</w:t>
      </w:r>
    </w:p>
    <w:p w14:paraId="47645849" w14:textId="77777777" w:rsidR="00232123" w:rsidRDefault="00000000">
      <w:pPr>
        <w:pStyle w:val="ListParagraph"/>
        <w:numPr>
          <w:ilvl w:val="0"/>
          <w:numId w:val="2"/>
        </w:numPr>
      </w:pPr>
      <w:r>
        <w:t>Late-breaking changes (Lennox added Dec 18, 2024 with 5-day notice)</w:t>
      </w:r>
    </w:p>
    <w:p w14:paraId="6F9BB6D1" w14:textId="77777777" w:rsidR="00232123" w:rsidRDefault="00000000">
      <w:pPr>
        <w:pStyle w:val="ListParagraph"/>
        <w:numPr>
          <w:ilvl w:val="0"/>
          <w:numId w:val="2"/>
        </w:numPr>
      </w:pPr>
      <w:r>
        <w:t>Gap risk on announcement (can miss entry or get poor fill)</w:t>
      </w:r>
    </w:p>
    <w:p w14:paraId="43C16903" w14:textId="77777777" w:rsidR="00232123" w:rsidRDefault="00000000">
      <w:pPr>
        <w:pStyle w:val="Heading2"/>
      </w:pPr>
      <w:r>
        <w:t>Outlier Events</w:t>
      </w:r>
    </w:p>
    <w:p w14:paraId="6DE65FF2" w14:textId="77777777" w:rsidR="00232123" w:rsidRDefault="00000000">
      <w:pPr>
        <w:spacing w:after="150"/>
        <w:jc w:val="both"/>
      </w:pPr>
      <w:r>
        <w:t>Some additions generate exceptional returns that skew historical averages:</w:t>
      </w:r>
    </w:p>
    <w:tbl>
      <w:tblPr>
        <w:tblW w:w="5000" w:type="pct"/>
        <w:tblInd w:w="-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39"/>
        <w:gridCol w:w="2339"/>
        <w:gridCol w:w="2340"/>
      </w:tblGrid>
      <w:tr w:rsidR="00232123" w14:paraId="5BDC1D46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9FBA82C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Stock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66F7123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Year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C53F453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Return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1A365D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0FF3A" w14:textId="77777777" w:rsidR="00232123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Notes</w:t>
            </w:r>
          </w:p>
        </w:tc>
      </w:tr>
      <w:tr w:rsidR="00232123" w14:paraId="2E998C7C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5BF207" w14:textId="77777777" w:rsidR="00232123" w:rsidRDefault="00000000">
            <w:r>
              <w:rPr>
                <w:color w:val="000000"/>
                <w:sz w:val="20"/>
                <w:szCs w:val="20"/>
              </w:rPr>
              <w:t>Tesla (TSLA)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60CA17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2020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359C24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+53.4%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B3C500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Largest ever addition by market cap</w:t>
            </w:r>
          </w:p>
        </w:tc>
      </w:tr>
      <w:tr w:rsidR="00232123" w14:paraId="5C573208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F31B6" w14:textId="77777777" w:rsidR="00232123" w:rsidRDefault="00000000">
            <w:r>
              <w:rPr>
                <w:color w:val="000000"/>
                <w:sz w:val="20"/>
                <w:szCs w:val="20"/>
              </w:rPr>
              <w:t>Super Micro (SMCI)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12E398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2024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B1F4D8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+18.5%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0AC5E7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AI theme momentum</w:t>
            </w:r>
          </w:p>
        </w:tc>
      </w:tr>
      <w:tr w:rsidR="00232123" w14:paraId="100C1FAB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74908" w14:textId="77777777" w:rsidR="00232123" w:rsidRDefault="00000000">
            <w:r>
              <w:rPr>
                <w:color w:val="000000"/>
                <w:sz w:val="20"/>
                <w:szCs w:val="20"/>
              </w:rPr>
              <w:t>Palantir (PLTR)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296F81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2024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A77928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+14.2%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7FAFC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FF6CF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High short interest squeeze</w:t>
            </w:r>
          </w:p>
        </w:tc>
      </w:tr>
      <w:tr w:rsidR="00232123" w14:paraId="5FB95C0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27AD00" w14:textId="77777777" w:rsidR="00232123" w:rsidRDefault="00000000">
            <w:r>
              <w:rPr>
                <w:color w:val="000000"/>
                <w:sz w:val="20"/>
                <w:szCs w:val="20"/>
              </w:rPr>
              <w:t>KKR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24B696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2024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7D6D4F" w14:textId="77777777" w:rsidR="00232123" w:rsidRDefault="00000000">
            <w:pPr>
              <w:jc w:val="center"/>
            </w:pPr>
            <w:r>
              <w:rPr>
                <w:color w:val="276749"/>
                <w:sz w:val="20"/>
                <w:szCs w:val="20"/>
              </w:rPr>
              <w:t>+11.2%</w:t>
            </w:r>
          </w:p>
        </w:tc>
        <w:tc>
          <w:tcPr>
            <w:tcW w:w="2340" w:type="dxa"/>
            <w:tcBorders>
              <w:top w:val="single" w:sz="1" w:space="0" w:color="CBD5E0"/>
              <w:left w:val="single" w:sz="1" w:space="0" w:color="CBD5E0"/>
              <w:bottom w:val="single" w:sz="1" w:space="0" w:color="CBD5E0"/>
              <w:right w:val="single" w:sz="1" w:space="0" w:color="CBD5E0"/>
            </w:tcBorders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D76138" w14:textId="77777777" w:rsidR="00232123" w:rsidRDefault="00000000">
            <w:pPr>
              <w:jc w:val="center"/>
            </w:pPr>
            <w:r>
              <w:rPr>
                <w:color w:val="000000"/>
                <w:sz w:val="20"/>
                <w:szCs w:val="20"/>
              </w:rPr>
              <w:t>First trading day +11.2%</w:t>
            </w:r>
          </w:p>
        </w:tc>
      </w:tr>
    </w:tbl>
    <w:p w14:paraId="650BC18B" w14:textId="77777777" w:rsidR="00232123" w:rsidRDefault="00000000">
      <w:r>
        <w:br w:type="page"/>
      </w:r>
    </w:p>
    <w:p w14:paraId="0F0CE543" w14:textId="77777777" w:rsidR="00232123" w:rsidRDefault="00000000">
      <w:pPr>
        <w:pStyle w:val="Heading1"/>
      </w:pPr>
      <w:r>
        <w:t>Conclusions &amp; Recommendations</w:t>
      </w:r>
    </w:p>
    <w:p w14:paraId="7CC4072A" w14:textId="77777777" w:rsidR="00232123" w:rsidRDefault="00000000">
      <w:pPr>
        <w:pStyle w:val="Heading2"/>
      </w:pPr>
      <w:r>
        <w:t>Key Takeaways</w:t>
      </w:r>
    </w:p>
    <w:p w14:paraId="0753CF92" w14:textId="77777777" w:rsidR="00232123" w:rsidRDefault="00000000">
      <w:pPr>
        <w:pStyle w:val="ListParagraph"/>
        <w:numPr>
          <w:ilvl w:val="0"/>
          <w:numId w:val="3"/>
        </w:numPr>
      </w:pPr>
      <w:r>
        <w:t>The index effect has declined dramatically from +7.4% (1990s) to ~+1-2% (2010s-present) despite rising passive ownership</w:t>
      </w:r>
    </w:p>
    <w:p w14:paraId="354ECA83" w14:textId="77777777" w:rsidR="00232123" w:rsidRDefault="00000000">
      <w:pPr>
        <w:pStyle w:val="ListParagraph"/>
        <w:numPr>
          <w:ilvl w:val="0"/>
          <w:numId w:val="3"/>
        </w:numPr>
      </w:pPr>
      <w:r>
        <w:t>Direct additions consistently outperform migrations - focus on non-MidCap sourced additions</w:t>
      </w:r>
    </w:p>
    <w:p w14:paraId="2ABBDF74" w14:textId="77777777" w:rsidR="00232123" w:rsidRDefault="00000000">
      <w:pPr>
        <w:pStyle w:val="ListParagraph"/>
        <w:numPr>
          <w:ilvl w:val="0"/>
          <w:numId w:val="3"/>
        </w:numPr>
      </w:pPr>
      <w:r>
        <w:t>The front-running window (announcement → effective) remains the highest probability trade</w:t>
      </w:r>
    </w:p>
    <w:p w14:paraId="04783325" w14:textId="77777777" w:rsidR="00232123" w:rsidRDefault="00000000">
      <w:pPr>
        <w:pStyle w:val="ListParagraph"/>
        <w:numPr>
          <w:ilvl w:val="0"/>
          <w:numId w:val="3"/>
        </w:numPr>
      </w:pPr>
      <w:r>
        <w:t>Post-inclusion mean reversion exists but is smaller and less reliable than the front-run</w:t>
      </w:r>
    </w:p>
    <w:p w14:paraId="124EC94B" w14:textId="77777777" w:rsidR="00232123" w:rsidRDefault="00000000">
      <w:pPr>
        <w:pStyle w:val="ListParagraph"/>
        <w:numPr>
          <w:ilvl w:val="0"/>
          <w:numId w:val="3"/>
        </w:numPr>
      </w:pPr>
      <w:r>
        <w:t>Individual additions can still generate significant returns (PLTR +14%, SMCI +18%) based on specific factors</w:t>
      </w:r>
    </w:p>
    <w:p w14:paraId="738CF438" w14:textId="77777777" w:rsidR="00232123" w:rsidRDefault="00000000">
      <w:pPr>
        <w:pStyle w:val="Heading2"/>
      </w:pPr>
      <w:r>
        <w:t>Practical Implementation</w:t>
      </w:r>
    </w:p>
    <w:p w14:paraId="01820E78" w14:textId="77777777" w:rsidR="00232123" w:rsidRDefault="00000000">
      <w:pPr>
        <w:pStyle w:val="ListParagraph"/>
        <w:numPr>
          <w:ilvl w:val="0"/>
          <w:numId w:val="2"/>
        </w:numPr>
      </w:pPr>
      <w:r>
        <w:t>Monitor S&amp;P announcements (typically first Friday of March, June, September, December)</w:t>
      </w:r>
    </w:p>
    <w:p w14:paraId="7571CA76" w14:textId="77777777" w:rsidR="00232123" w:rsidRDefault="00000000">
      <w:pPr>
        <w:pStyle w:val="ListParagraph"/>
        <w:numPr>
          <w:ilvl w:val="0"/>
          <w:numId w:val="2"/>
        </w:numPr>
      </w:pPr>
      <w:r>
        <w:t>Distinguish between migrations and direct additions before sizing positions</w:t>
      </w:r>
    </w:p>
    <w:p w14:paraId="29710BE7" w14:textId="77777777" w:rsidR="00232123" w:rsidRDefault="00000000">
      <w:pPr>
        <w:pStyle w:val="ListParagraph"/>
        <w:numPr>
          <w:ilvl w:val="0"/>
          <w:numId w:val="2"/>
        </w:numPr>
      </w:pPr>
      <w:r>
        <w:t>Consider building watchlists of likely addition candidates for anticipatory positioning</w:t>
      </w:r>
    </w:p>
    <w:p w14:paraId="70E265AC" w14:textId="77777777" w:rsidR="00232123" w:rsidRDefault="00000000">
      <w:pPr>
        <w:pStyle w:val="ListParagraph"/>
        <w:numPr>
          <w:ilvl w:val="0"/>
          <w:numId w:val="2"/>
        </w:numPr>
      </w:pPr>
      <w:r>
        <w:t>Size positions appropriately given diminished average returns and high variance</w:t>
      </w:r>
    </w:p>
    <w:p w14:paraId="38635FA3" w14:textId="77777777" w:rsidR="00232123" w:rsidRDefault="00000000">
      <w:pPr>
        <w:pStyle w:val="ListParagraph"/>
        <w:numPr>
          <w:ilvl w:val="0"/>
          <w:numId w:val="2"/>
        </w:numPr>
      </w:pPr>
      <w:r>
        <w:t>Be prepared for gap openings on announcement - consider limit orders</w:t>
      </w:r>
    </w:p>
    <w:p w14:paraId="5758B646" w14:textId="77777777" w:rsidR="00232123" w:rsidRDefault="00232123">
      <w:pPr>
        <w:spacing w:before="400"/>
      </w:pPr>
    </w:p>
    <w:p w14:paraId="01556EE7" w14:textId="77777777" w:rsidR="00232123" w:rsidRDefault="00000000">
      <w:r>
        <w:rPr>
          <w:b/>
          <w:bCs/>
          <w:color w:val="1A365D"/>
          <w:sz w:val="24"/>
          <w:szCs w:val="24"/>
        </w:rPr>
        <w:t>Sources &amp; References</w:t>
      </w:r>
    </w:p>
    <w:p w14:paraId="458C54BB" w14:textId="77777777" w:rsidR="00232123" w:rsidRDefault="00000000">
      <w:pPr>
        <w:spacing w:before="100"/>
      </w:pPr>
      <w:r>
        <w:rPr>
          <w:i/>
          <w:iCs/>
          <w:color w:val="718096"/>
          <w:sz w:val="18"/>
          <w:szCs w:val="18"/>
        </w:rPr>
        <w:t>Greenwood, R. &amp; Sammon, M. (2023). "The Disappearing Index Effect." Harvard Business School Working Paper 23-025.</w:t>
      </w:r>
    </w:p>
    <w:p w14:paraId="339B6858" w14:textId="77777777" w:rsidR="00232123" w:rsidRDefault="00000000">
      <w:r>
        <w:rPr>
          <w:i/>
          <w:iCs/>
          <w:color w:val="718096"/>
          <w:sz w:val="18"/>
          <w:szCs w:val="18"/>
        </w:rPr>
        <w:t>S&amp;P Dow Jones Indices Methodology Documentation; Northern Trust Asset Management Rebalance Analysis Reports.</w:t>
      </w:r>
    </w:p>
    <w:sectPr w:rsidR="0023212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E7C1E" w14:textId="77777777" w:rsidR="00936398" w:rsidRDefault="00936398">
      <w:r>
        <w:separator/>
      </w:r>
    </w:p>
  </w:endnote>
  <w:endnote w:type="continuationSeparator" w:id="0">
    <w:p w14:paraId="5706F381" w14:textId="77777777" w:rsidR="00936398" w:rsidRDefault="009363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41FDB" w14:textId="77777777" w:rsidR="00232123" w:rsidRDefault="00000000">
    <w:pPr>
      <w:jc w:val="center"/>
    </w:pPr>
    <w:r>
      <w:rPr>
        <w:color w:val="718096"/>
        <w:sz w:val="18"/>
        <w:szCs w:val="18"/>
      </w:rPr>
      <w:t xml:space="preserve">Page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PAGE</w:instrText>
    </w:r>
    <w:r>
      <w:rPr>
        <w:color w:val="718096"/>
        <w:sz w:val="18"/>
        <w:szCs w:val="18"/>
      </w:rPr>
      <w:fldChar w:fldCharType="separate"/>
    </w:r>
    <w:r>
      <w:rPr>
        <w:color w:val="718096"/>
        <w:sz w:val="18"/>
        <w:szCs w:val="18"/>
      </w:rPr>
      <w:fldChar w:fldCharType="end"/>
    </w:r>
    <w:r>
      <w:rPr>
        <w:color w:val="718096"/>
        <w:sz w:val="18"/>
        <w:szCs w:val="18"/>
      </w:rPr>
      <w:t xml:space="preserve"> of </w:t>
    </w:r>
    <w:r>
      <w:rPr>
        <w:color w:val="718096"/>
        <w:sz w:val="18"/>
        <w:szCs w:val="18"/>
      </w:rPr>
      <w:fldChar w:fldCharType="begin"/>
    </w:r>
    <w:r>
      <w:rPr>
        <w:color w:val="718096"/>
        <w:sz w:val="18"/>
        <w:szCs w:val="18"/>
      </w:rPr>
      <w:instrText>NUMPAGES</w:instrText>
    </w:r>
    <w:r>
      <w:rPr>
        <w:color w:val="718096"/>
        <w:sz w:val="18"/>
        <w:szCs w:val="18"/>
      </w:rPr>
      <w:fldChar w:fldCharType="separate"/>
    </w:r>
    <w:r>
      <w:rPr>
        <w:color w:val="71809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BB2E06" w14:textId="77777777" w:rsidR="00936398" w:rsidRDefault="00936398">
      <w:r>
        <w:separator/>
      </w:r>
    </w:p>
  </w:footnote>
  <w:footnote w:type="continuationSeparator" w:id="0">
    <w:p w14:paraId="08D95049" w14:textId="77777777" w:rsidR="00936398" w:rsidRDefault="0093639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8260A" w14:textId="77777777" w:rsidR="00232123" w:rsidRDefault="00000000">
    <w:pPr>
      <w:jc w:val="right"/>
    </w:pPr>
    <w:r>
      <w:rPr>
        <w:i/>
        <w:iCs/>
        <w:color w:val="718096"/>
        <w:sz w:val="18"/>
        <w:szCs w:val="18"/>
      </w:rPr>
      <w:t>S&amp;P 500 Index Inclusion Effect Research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902FD8"/>
    <w:multiLevelType w:val="hybridMultilevel"/>
    <w:tmpl w:val="580AE66A"/>
    <w:lvl w:ilvl="0" w:tplc="1C7C2656">
      <w:start w:val="1"/>
      <w:numFmt w:val="decimal"/>
      <w:lvlText w:val="%1."/>
      <w:lvlJc w:val="left"/>
      <w:pPr>
        <w:ind w:left="720" w:hanging="360"/>
      </w:pPr>
    </w:lvl>
    <w:lvl w:ilvl="1" w:tplc="3C6A3FB4">
      <w:numFmt w:val="decimal"/>
      <w:lvlText w:val=""/>
      <w:lvlJc w:val="left"/>
    </w:lvl>
    <w:lvl w:ilvl="2" w:tplc="2B7A2C6A">
      <w:numFmt w:val="decimal"/>
      <w:lvlText w:val=""/>
      <w:lvlJc w:val="left"/>
    </w:lvl>
    <w:lvl w:ilvl="3" w:tplc="34A4E3EE">
      <w:numFmt w:val="decimal"/>
      <w:lvlText w:val=""/>
      <w:lvlJc w:val="left"/>
    </w:lvl>
    <w:lvl w:ilvl="4" w:tplc="C5C49EEA">
      <w:numFmt w:val="decimal"/>
      <w:lvlText w:val=""/>
      <w:lvlJc w:val="left"/>
    </w:lvl>
    <w:lvl w:ilvl="5" w:tplc="1756B24A">
      <w:numFmt w:val="decimal"/>
      <w:lvlText w:val=""/>
      <w:lvlJc w:val="left"/>
    </w:lvl>
    <w:lvl w:ilvl="6" w:tplc="42A06354">
      <w:numFmt w:val="decimal"/>
      <w:lvlText w:val=""/>
      <w:lvlJc w:val="left"/>
    </w:lvl>
    <w:lvl w:ilvl="7" w:tplc="194832DE">
      <w:numFmt w:val="decimal"/>
      <w:lvlText w:val=""/>
      <w:lvlJc w:val="left"/>
    </w:lvl>
    <w:lvl w:ilvl="8" w:tplc="F4002B40">
      <w:numFmt w:val="decimal"/>
      <w:lvlText w:val=""/>
      <w:lvlJc w:val="left"/>
    </w:lvl>
  </w:abstractNum>
  <w:abstractNum w:abstractNumId="1" w15:restartNumberingAfterBreak="0">
    <w:nsid w:val="5D956578"/>
    <w:multiLevelType w:val="hybridMultilevel"/>
    <w:tmpl w:val="CDF01A6C"/>
    <w:lvl w:ilvl="0" w:tplc="F3A22822">
      <w:start w:val="1"/>
      <w:numFmt w:val="bullet"/>
      <w:lvlText w:val="•"/>
      <w:lvlJc w:val="left"/>
      <w:pPr>
        <w:ind w:left="720" w:hanging="360"/>
      </w:pPr>
    </w:lvl>
    <w:lvl w:ilvl="1" w:tplc="0A8E6CA4">
      <w:numFmt w:val="decimal"/>
      <w:lvlText w:val=""/>
      <w:lvlJc w:val="left"/>
    </w:lvl>
    <w:lvl w:ilvl="2" w:tplc="3CD635D8">
      <w:numFmt w:val="decimal"/>
      <w:lvlText w:val=""/>
      <w:lvlJc w:val="left"/>
    </w:lvl>
    <w:lvl w:ilvl="3" w:tplc="01604074">
      <w:numFmt w:val="decimal"/>
      <w:lvlText w:val=""/>
      <w:lvlJc w:val="left"/>
    </w:lvl>
    <w:lvl w:ilvl="4" w:tplc="EDD83A9C">
      <w:numFmt w:val="decimal"/>
      <w:lvlText w:val=""/>
      <w:lvlJc w:val="left"/>
    </w:lvl>
    <w:lvl w:ilvl="5" w:tplc="EA962008">
      <w:numFmt w:val="decimal"/>
      <w:lvlText w:val=""/>
      <w:lvlJc w:val="left"/>
    </w:lvl>
    <w:lvl w:ilvl="6" w:tplc="251E6842">
      <w:numFmt w:val="decimal"/>
      <w:lvlText w:val=""/>
      <w:lvlJc w:val="left"/>
    </w:lvl>
    <w:lvl w:ilvl="7" w:tplc="07C20B1E">
      <w:numFmt w:val="decimal"/>
      <w:lvlText w:val=""/>
      <w:lvlJc w:val="left"/>
    </w:lvl>
    <w:lvl w:ilvl="8" w:tplc="BE960EBC">
      <w:numFmt w:val="decimal"/>
      <w:lvlText w:val=""/>
      <w:lvlJc w:val="left"/>
    </w:lvl>
  </w:abstractNum>
  <w:abstractNum w:abstractNumId="2" w15:restartNumberingAfterBreak="0">
    <w:nsid w:val="632A01A1"/>
    <w:multiLevelType w:val="hybridMultilevel"/>
    <w:tmpl w:val="BD4A4634"/>
    <w:lvl w:ilvl="0" w:tplc="C090F948">
      <w:start w:val="1"/>
      <w:numFmt w:val="bullet"/>
      <w:lvlText w:val="●"/>
      <w:lvlJc w:val="left"/>
      <w:pPr>
        <w:ind w:left="720" w:hanging="360"/>
      </w:pPr>
    </w:lvl>
    <w:lvl w:ilvl="1" w:tplc="F20C35CE">
      <w:start w:val="1"/>
      <w:numFmt w:val="bullet"/>
      <w:lvlText w:val="○"/>
      <w:lvlJc w:val="left"/>
      <w:pPr>
        <w:ind w:left="1440" w:hanging="360"/>
      </w:pPr>
    </w:lvl>
    <w:lvl w:ilvl="2" w:tplc="A3C89CD4">
      <w:start w:val="1"/>
      <w:numFmt w:val="bullet"/>
      <w:lvlText w:val="■"/>
      <w:lvlJc w:val="left"/>
      <w:pPr>
        <w:ind w:left="2160" w:hanging="360"/>
      </w:pPr>
    </w:lvl>
    <w:lvl w:ilvl="3" w:tplc="1E88CB06">
      <w:start w:val="1"/>
      <w:numFmt w:val="bullet"/>
      <w:lvlText w:val="●"/>
      <w:lvlJc w:val="left"/>
      <w:pPr>
        <w:ind w:left="2880" w:hanging="360"/>
      </w:pPr>
    </w:lvl>
    <w:lvl w:ilvl="4" w:tplc="63E2386A">
      <w:start w:val="1"/>
      <w:numFmt w:val="bullet"/>
      <w:lvlText w:val="○"/>
      <w:lvlJc w:val="left"/>
      <w:pPr>
        <w:ind w:left="3600" w:hanging="360"/>
      </w:pPr>
    </w:lvl>
    <w:lvl w:ilvl="5" w:tplc="C282A30A">
      <w:start w:val="1"/>
      <w:numFmt w:val="bullet"/>
      <w:lvlText w:val="■"/>
      <w:lvlJc w:val="left"/>
      <w:pPr>
        <w:ind w:left="4320" w:hanging="360"/>
      </w:pPr>
    </w:lvl>
    <w:lvl w:ilvl="6" w:tplc="647A3B5C">
      <w:start w:val="1"/>
      <w:numFmt w:val="bullet"/>
      <w:lvlText w:val="●"/>
      <w:lvlJc w:val="left"/>
      <w:pPr>
        <w:ind w:left="5040" w:hanging="360"/>
      </w:pPr>
    </w:lvl>
    <w:lvl w:ilvl="7" w:tplc="B540E106">
      <w:start w:val="1"/>
      <w:numFmt w:val="bullet"/>
      <w:lvlText w:val="●"/>
      <w:lvlJc w:val="left"/>
      <w:pPr>
        <w:ind w:left="5760" w:hanging="360"/>
      </w:pPr>
    </w:lvl>
    <w:lvl w:ilvl="8" w:tplc="2B2C9FF6">
      <w:start w:val="1"/>
      <w:numFmt w:val="bullet"/>
      <w:lvlText w:val="●"/>
      <w:lvlJc w:val="left"/>
      <w:pPr>
        <w:ind w:left="6480" w:hanging="360"/>
      </w:pPr>
    </w:lvl>
  </w:abstractNum>
  <w:num w:numId="1" w16cid:durableId="1343508656">
    <w:abstractNumId w:val="2"/>
    <w:lvlOverride w:ilvl="0">
      <w:startOverride w:val="1"/>
    </w:lvlOverride>
  </w:num>
  <w:num w:numId="2" w16cid:durableId="314769447">
    <w:abstractNumId w:val="1"/>
    <w:lvlOverride w:ilvl="0">
      <w:startOverride w:val="1"/>
    </w:lvlOverride>
  </w:num>
  <w:num w:numId="3" w16cid:durableId="2572510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123"/>
    <w:rsid w:val="00137301"/>
    <w:rsid w:val="00230A27"/>
    <w:rsid w:val="00232123"/>
    <w:rsid w:val="0029516D"/>
    <w:rsid w:val="00343BA5"/>
    <w:rsid w:val="00531437"/>
    <w:rsid w:val="005765A7"/>
    <w:rsid w:val="009363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73812"/>
  <w15:docId w15:val="{F7E30302-7EB3-4A43-9D4B-72D0CFB8E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400" w:after="20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300" w:after="150"/>
      <w:outlineLvl w:val="1"/>
    </w:pPr>
    <w:rPr>
      <w:b/>
      <w:bCs/>
      <w:color w:val="2C5282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1383</Words>
  <Characters>8119</Characters>
  <Application>Microsoft Office Word</Application>
  <DocSecurity>0</DocSecurity>
  <Lines>417</Lines>
  <Paragraphs>351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Ryan Sperin</cp:lastModifiedBy>
  <cp:revision>4</cp:revision>
  <dcterms:created xsi:type="dcterms:W3CDTF">2026-01-07T20:20:00Z</dcterms:created>
  <dcterms:modified xsi:type="dcterms:W3CDTF">2026-01-07T20:47:00Z</dcterms:modified>
</cp:coreProperties>
</file>