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6B" w:val="clear"/>
        <w:spacing w:after="100" w:before="600"/>
        <w:jc w:val="center"/>
      </w:pPr>
      <w:r>
        <w:rPr>
          <w:rFonts w:ascii="Arial" w:cs="Arial" w:eastAsia="Arial" w:hAnsi="Arial"/>
          <w:b/>
          <w:bCs/>
          <w:color w:val="FFFFFF"/>
          <w:sz w:val="38"/>
          <w:szCs w:val="38"/>
        </w:rPr>
        <w:t xml:space="preserve">RESUMO ANALÍTICO JURÍDICO</w:t>
      </w:r>
    </w:p>
    <w:p>
      <w:pPr>
        <w:shd w:fill="1B3A6B" w:val="clear"/>
        <w:spacing w:after="60" w:before="0"/>
        <w:jc w:val="center"/>
      </w:pPr>
      <w:r>
        <w:rPr>
          <w:rFonts w:ascii="Arial" w:cs="Arial" w:eastAsia="Arial" w:hAnsi="Arial"/>
          <w:i/>
          <w:iCs/>
          <w:color w:val="D6E4F0"/>
          <w:sz w:val="24"/>
          <w:szCs w:val="24"/>
        </w:rPr>
        <w:t xml:space="preserve">Acidente de Trânsito · Responsabilidade Civil · Direito Securitário</w:t>
      </w:r>
    </w:p>
    <w:p>
      <w:pPr>
        <w:shd w:fill="1B3A6B" w:val="clear"/>
        <w:spacing w:after="600" w:before="0"/>
        <w:jc w:val="center"/>
      </w:pPr>
      <w:r>
        <w:rPr>
          <w:rFonts w:ascii="Arial" w:cs="Arial" w:eastAsia="Arial" w:hAnsi="Arial"/>
          <w:sz w:val="22"/>
          <w:szCs w:val="22"/>
        </w:rP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C0C0C0" w:sz="1"/>
              <w:left w:val="single" w:color="C0C0C0" w:sz="1"/>
              <w:bottom w:val="single" w:color="C0C0C0" w:sz="1"/>
              <w:right w:val="single" w:color="C0C0C0" w:sz="1"/>
            </w:tcBorders>
            <w:shd w:fill="1B3A6B" w:val="clear"/>
            <w:tcMar>
              <w:top w:type="dxa" w:w="80"/>
              <w:left w:type="dxa" w:w="140"/>
              <w:bottom w:type="dxa" w:w="80"/>
              <w:right w:type="dxa" w:w="140"/>
            </w:tcMar>
            <w:vAlign w:val="center"/>
          </w:tcPr>
          <w:p>
            <w:r>
              <w:rPr>
                <w:rFonts w:ascii="Arial" w:cs="Arial" w:eastAsia="Arial" w:hAnsi="Arial"/>
                <w:b/>
                <w:bCs/>
                <w:i w:val="false"/>
                <w:iCs w:val="false"/>
                <w:color w:val="FFFFFF"/>
                <w:sz w:val="20"/>
                <w:szCs w:val="20"/>
              </w:rPr>
              <w:t xml:space="preserve">Processo</w:t>
            </w:r>
          </w:p>
        </w:tc>
        <w:tc>
          <w:tcPr>
            <w:tcW w:type="dxa" w:w="6706"/>
            <w:tcBorders>
              <w:top w:val="single" w:color="C0C0C0" w:sz="1"/>
              <w:left w:val="single" w:color="C0C0C0" w:sz="1"/>
              <w:bottom w:val="single" w:color="C0C0C0" w:sz="1"/>
              <w:right w:val="single" w:color="C0C0C0" w:sz="1"/>
            </w:tcBorders>
            <w:shd w:fill="F0F4FA" w:val="clear"/>
            <w:tcMar>
              <w:top w:type="dxa" w:w="80"/>
              <w:left w:type="dxa" w:w="140"/>
              <w:bottom w:type="dxa" w:w="80"/>
              <w:right w:type="dxa" w:w="140"/>
            </w:tcMar>
            <w:vAlign w:val="center"/>
          </w:tcPr>
          <w:p>
            <w:r>
              <w:rPr>
                <w:rFonts w:ascii="Arial" w:cs="Arial" w:eastAsia="Arial" w:hAnsi="Arial"/>
                <w:b w:val="false"/>
                <w:bCs w:val="false"/>
                <w:i w:val="false"/>
                <w:iCs w:val="false"/>
                <w:color w:val="1A1A2E"/>
                <w:sz w:val="20"/>
                <w:szCs w:val="20"/>
              </w:rPr>
              <w:t xml:space="preserve">5001804-71.2021.8.21.0049</w:t>
            </w:r>
          </w:p>
        </w:tc>
      </w:tr>
      <w:tr>
        <w:tc>
          <w:tcPr>
            <w:tcW w:type="dxa" w:w="2800"/>
            <w:tcBorders>
              <w:top w:val="single" w:color="C0C0C0" w:sz="1"/>
              <w:left w:val="single" w:color="C0C0C0" w:sz="1"/>
              <w:bottom w:val="single" w:color="C0C0C0" w:sz="1"/>
              <w:right w:val="single" w:color="C0C0C0" w:sz="1"/>
            </w:tcBorders>
            <w:shd w:fill="D6E4F0" w:val="clear"/>
            <w:tcMar>
              <w:top w:type="dxa" w:w="80"/>
              <w:left w:type="dxa" w:w="140"/>
              <w:bottom w:type="dxa" w:w="80"/>
              <w:right w:type="dxa" w:w="140"/>
            </w:tcMar>
            <w:vAlign w:val="center"/>
          </w:tcPr>
          <w:p>
            <w:r>
              <w:rPr>
                <w:rFonts w:ascii="Arial" w:cs="Arial" w:eastAsia="Arial" w:hAnsi="Arial"/>
                <w:b/>
                <w:bCs/>
                <w:i w:val="false"/>
                <w:iCs w:val="false"/>
                <w:color w:val="1B3A6B"/>
                <w:sz w:val="20"/>
                <w:szCs w:val="20"/>
              </w:rPr>
              <w:t xml:space="preserve">Vara / Comarca</w:t>
            </w:r>
          </w:p>
        </w:tc>
        <w:tc>
          <w:tcPr>
            <w:tcW w:type="dxa" w:w="6706"/>
            <w:tcBorders>
              <w:top w:val="single" w:color="C0C0C0" w:sz="1"/>
              <w:left w:val="single" w:color="C0C0C0" w:sz="1"/>
              <w:bottom w:val="single" w:color="C0C0C0" w:sz="1"/>
              <w:right w:val="single" w:color="C0C0C0" w:sz="1"/>
            </w:tcBorders>
            <w:tcMar>
              <w:top w:type="dxa" w:w="80"/>
              <w:left w:type="dxa" w:w="140"/>
              <w:bottom w:type="dxa" w:w="80"/>
              <w:right w:type="dxa" w:w="140"/>
            </w:tcMar>
            <w:vAlign w:val="center"/>
          </w:tcPr>
          <w:p>
            <w:r>
              <w:rPr>
                <w:rFonts w:ascii="Arial" w:cs="Arial" w:eastAsia="Arial" w:hAnsi="Arial"/>
                <w:b w:val="false"/>
                <w:bCs w:val="false"/>
                <w:i w:val="false"/>
                <w:iCs w:val="false"/>
                <w:color w:val="1A1A2E"/>
                <w:sz w:val="20"/>
                <w:szCs w:val="20"/>
              </w:rPr>
              <w:t xml:space="preserve">1ª Vara Cível da Comarca de Frederico Westphalen – RS</w:t>
            </w:r>
          </w:p>
        </w:tc>
      </w:tr>
      <w:tr>
        <w:tc>
          <w:tcPr>
            <w:tcW w:type="dxa" w:w="2800"/>
            <w:tcBorders>
              <w:top w:val="single" w:color="C0C0C0" w:sz="1"/>
              <w:left w:val="single" w:color="C0C0C0" w:sz="1"/>
              <w:bottom w:val="single" w:color="C0C0C0" w:sz="1"/>
              <w:right w:val="single" w:color="C0C0C0" w:sz="1"/>
            </w:tcBorders>
            <w:shd w:fill="1B3A6B" w:val="clear"/>
            <w:tcMar>
              <w:top w:type="dxa" w:w="80"/>
              <w:left w:type="dxa" w:w="140"/>
              <w:bottom w:type="dxa" w:w="80"/>
              <w:right w:type="dxa" w:w="140"/>
            </w:tcMar>
            <w:vAlign w:val="center"/>
          </w:tcPr>
          <w:p>
            <w:r>
              <w:rPr>
                <w:rFonts w:ascii="Arial" w:cs="Arial" w:eastAsia="Arial" w:hAnsi="Arial"/>
                <w:b/>
                <w:bCs/>
                <w:i w:val="false"/>
                <w:iCs w:val="false"/>
                <w:color w:val="FFFFFF"/>
                <w:sz w:val="20"/>
                <w:szCs w:val="20"/>
              </w:rPr>
              <w:t xml:space="preserve">Autor</w:t>
            </w:r>
          </w:p>
        </w:tc>
        <w:tc>
          <w:tcPr>
            <w:tcW w:type="dxa" w:w="6706"/>
            <w:tcBorders>
              <w:top w:val="single" w:color="C0C0C0" w:sz="1"/>
              <w:left w:val="single" w:color="C0C0C0" w:sz="1"/>
              <w:bottom w:val="single" w:color="C0C0C0" w:sz="1"/>
              <w:right w:val="single" w:color="C0C0C0" w:sz="1"/>
            </w:tcBorders>
            <w:shd w:fill="F0F4FA" w:val="clear"/>
            <w:tcMar>
              <w:top w:type="dxa" w:w="80"/>
              <w:left w:type="dxa" w:w="140"/>
              <w:bottom w:type="dxa" w:w="80"/>
              <w:right w:type="dxa" w:w="140"/>
            </w:tcMar>
            <w:vAlign w:val="center"/>
          </w:tcPr>
          <w:p>
            <w:r>
              <w:rPr>
                <w:rFonts w:ascii="Arial" w:cs="Arial" w:eastAsia="Arial" w:hAnsi="Arial"/>
                <w:b w:val="false"/>
                <w:bCs w:val="false"/>
                <w:i w:val="false"/>
                <w:iCs w:val="false"/>
                <w:color w:val="1A1A2E"/>
                <w:sz w:val="20"/>
                <w:szCs w:val="20"/>
              </w:rPr>
              <w:t xml:space="preserve">Maicon Denti (motorista autônomo)</w:t>
            </w:r>
          </w:p>
        </w:tc>
      </w:tr>
      <w:tr>
        <w:tc>
          <w:tcPr>
            <w:tcW w:type="dxa" w:w="2800"/>
            <w:tcBorders>
              <w:top w:val="single" w:color="C0C0C0" w:sz="1"/>
              <w:left w:val="single" w:color="C0C0C0" w:sz="1"/>
              <w:bottom w:val="single" w:color="C0C0C0" w:sz="1"/>
              <w:right w:val="single" w:color="C0C0C0" w:sz="1"/>
            </w:tcBorders>
            <w:shd w:fill="D6E4F0" w:val="clear"/>
            <w:tcMar>
              <w:top w:type="dxa" w:w="80"/>
              <w:left w:type="dxa" w:w="140"/>
              <w:bottom w:type="dxa" w:w="80"/>
              <w:right w:type="dxa" w:w="140"/>
            </w:tcMar>
            <w:vAlign w:val="center"/>
          </w:tcPr>
          <w:p>
            <w:r>
              <w:rPr>
                <w:rFonts w:ascii="Arial" w:cs="Arial" w:eastAsia="Arial" w:hAnsi="Arial"/>
                <w:b/>
                <w:bCs/>
                <w:i w:val="false"/>
                <w:iCs w:val="false"/>
                <w:color w:val="1B3A6B"/>
                <w:sz w:val="20"/>
                <w:szCs w:val="20"/>
              </w:rPr>
              <w:t xml:space="preserve">Réus</w:t>
            </w:r>
          </w:p>
        </w:tc>
        <w:tc>
          <w:tcPr>
            <w:tcW w:type="dxa" w:w="6706"/>
            <w:tcBorders>
              <w:top w:val="single" w:color="C0C0C0" w:sz="1"/>
              <w:left w:val="single" w:color="C0C0C0" w:sz="1"/>
              <w:bottom w:val="single" w:color="C0C0C0" w:sz="1"/>
              <w:right w:val="single" w:color="C0C0C0" w:sz="1"/>
            </w:tcBorders>
            <w:tcMar>
              <w:top w:type="dxa" w:w="80"/>
              <w:left w:type="dxa" w:w="140"/>
              <w:bottom w:type="dxa" w:w="80"/>
              <w:right w:type="dxa" w:w="140"/>
            </w:tcMar>
            <w:vAlign w:val="center"/>
          </w:tcPr>
          <w:p>
            <w:r>
              <w:rPr>
                <w:rFonts w:ascii="Arial" w:cs="Arial" w:eastAsia="Arial" w:hAnsi="Arial"/>
                <w:b w:val="false"/>
                <w:bCs w:val="false"/>
                <w:i w:val="false"/>
                <w:iCs w:val="false"/>
                <w:color w:val="1A1A2E"/>
                <w:sz w:val="20"/>
                <w:szCs w:val="20"/>
              </w:rPr>
              <w:t xml:space="preserve">R.A. Mesquita de Araujo Moveis e Estofados ME + HDI Seguros S.A.</w:t>
            </w:r>
          </w:p>
        </w:tc>
      </w:tr>
      <w:tr>
        <w:tc>
          <w:tcPr>
            <w:tcW w:type="dxa" w:w="2800"/>
            <w:tcBorders>
              <w:top w:val="single" w:color="C0C0C0" w:sz="1"/>
              <w:left w:val="single" w:color="C0C0C0" w:sz="1"/>
              <w:bottom w:val="single" w:color="C0C0C0" w:sz="1"/>
              <w:right w:val="single" w:color="C0C0C0" w:sz="1"/>
            </w:tcBorders>
            <w:shd w:fill="1B3A6B" w:val="clear"/>
            <w:tcMar>
              <w:top w:type="dxa" w:w="80"/>
              <w:left w:type="dxa" w:w="140"/>
              <w:bottom w:type="dxa" w:w="80"/>
              <w:right w:type="dxa" w:w="140"/>
            </w:tcMar>
            <w:vAlign w:val="center"/>
          </w:tcPr>
          <w:p>
            <w:r>
              <w:rPr>
                <w:rFonts w:ascii="Arial" w:cs="Arial" w:eastAsia="Arial" w:hAnsi="Arial"/>
                <w:b/>
                <w:bCs/>
                <w:i w:val="false"/>
                <w:iCs w:val="false"/>
                <w:color w:val="FFFFFF"/>
                <w:sz w:val="20"/>
                <w:szCs w:val="20"/>
              </w:rPr>
              <w:t xml:space="preserve">Data do Acidente</w:t>
            </w:r>
          </w:p>
        </w:tc>
        <w:tc>
          <w:tcPr>
            <w:tcW w:type="dxa" w:w="6706"/>
            <w:tcBorders>
              <w:top w:val="single" w:color="C0C0C0" w:sz="1"/>
              <w:left w:val="single" w:color="C0C0C0" w:sz="1"/>
              <w:bottom w:val="single" w:color="C0C0C0" w:sz="1"/>
              <w:right w:val="single" w:color="C0C0C0" w:sz="1"/>
            </w:tcBorders>
            <w:shd w:fill="F0F4FA" w:val="clear"/>
            <w:tcMar>
              <w:top w:type="dxa" w:w="80"/>
              <w:left w:type="dxa" w:w="140"/>
              <w:bottom w:type="dxa" w:w="80"/>
              <w:right w:type="dxa" w:w="140"/>
            </w:tcMar>
            <w:vAlign w:val="center"/>
          </w:tcPr>
          <w:p>
            <w:r>
              <w:rPr>
                <w:rFonts w:ascii="Arial" w:cs="Arial" w:eastAsia="Arial" w:hAnsi="Arial"/>
                <w:b w:val="false"/>
                <w:bCs w:val="false"/>
                <w:i w:val="false"/>
                <w:iCs w:val="false"/>
                <w:color w:val="1A1A2E"/>
                <w:sz w:val="20"/>
                <w:szCs w:val="20"/>
              </w:rPr>
              <w:t xml:space="preserve">23/02/2021 — aprox. 16h30 — Rod. PR 180, km 208, Goioerê/PR</w:t>
            </w:r>
          </w:p>
        </w:tc>
      </w:tr>
      <w:tr>
        <w:tc>
          <w:tcPr>
            <w:tcW w:type="dxa" w:w="2800"/>
            <w:tcBorders>
              <w:top w:val="single" w:color="C0C0C0" w:sz="1"/>
              <w:left w:val="single" w:color="C0C0C0" w:sz="1"/>
              <w:bottom w:val="single" w:color="C0C0C0" w:sz="1"/>
              <w:right w:val="single" w:color="C0C0C0" w:sz="1"/>
            </w:tcBorders>
            <w:shd w:fill="D6E4F0" w:val="clear"/>
            <w:tcMar>
              <w:top w:type="dxa" w:w="80"/>
              <w:left w:type="dxa" w:w="140"/>
              <w:bottom w:type="dxa" w:w="80"/>
              <w:right w:type="dxa" w:w="140"/>
            </w:tcMar>
            <w:vAlign w:val="center"/>
          </w:tcPr>
          <w:p>
            <w:r>
              <w:rPr>
                <w:rFonts w:ascii="Arial" w:cs="Arial" w:eastAsia="Arial" w:hAnsi="Arial"/>
                <w:b/>
                <w:bCs/>
                <w:i w:val="false"/>
                <w:iCs w:val="false"/>
                <w:color w:val="1B3A6B"/>
                <w:sz w:val="20"/>
                <w:szCs w:val="20"/>
              </w:rPr>
              <w:t xml:space="preserve">Data Ajuizamento</w:t>
            </w:r>
          </w:p>
        </w:tc>
        <w:tc>
          <w:tcPr>
            <w:tcW w:type="dxa" w:w="6706"/>
            <w:tcBorders>
              <w:top w:val="single" w:color="C0C0C0" w:sz="1"/>
              <w:left w:val="single" w:color="C0C0C0" w:sz="1"/>
              <w:bottom w:val="single" w:color="C0C0C0" w:sz="1"/>
              <w:right w:val="single" w:color="C0C0C0" w:sz="1"/>
            </w:tcBorders>
            <w:tcMar>
              <w:top w:type="dxa" w:w="80"/>
              <w:left w:type="dxa" w:w="140"/>
              <w:bottom w:type="dxa" w:w="80"/>
              <w:right w:type="dxa" w:w="140"/>
            </w:tcMar>
            <w:vAlign w:val="center"/>
          </w:tcPr>
          <w:p>
            <w:r>
              <w:rPr>
                <w:rFonts w:ascii="Arial" w:cs="Arial" w:eastAsia="Arial" w:hAnsi="Arial"/>
                <w:b w:val="false"/>
                <w:bCs w:val="false"/>
                <w:i w:val="false"/>
                <w:iCs w:val="false"/>
                <w:color w:val="1A1A2E"/>
                <w:sz w:val="20"/>
                <w:szCs w:val="20"/>
              </w:rPr>
              <w:t xml:space="preserve">05/07/2021</w:t>
            </w:r>
          </w:p>
        </w:tc>
      </w:tr>
      <w:tr>
        <w:tc>
          <w:tcPr>
            <w:tcW w:type="dxa" w:w="2800"/>
            <w:tcBorders>
              <w:top w:val="single" w:color="C0C0C0" w:sz="1"/>
              <w:left w:val="single" w:color="C0C0C0" w:sz="1"/>
              <w:bottom w:val="single" w:color="C0C0C0" w:sz="1"/>
              <w:right w:val="single" w:color="C0C0C0" w:sz="1"/>
            </w:tcBorders>
            <w:shd w:fill="1B3A6B" w:val="clear"/>
            <w:tcMar>
              <w:top w:type="dxa" w:w="80"/>
              <w:left w:type="dxa" w:w="140"/>
              <w:bottom w:type="dxa" w:w="80"/>
              <w:right w:type="dxa" w:w="140"/>
            </w:tcMar>
            <w:vAlign w:val="center"/>
          </w:tcPr>
          <w:p>
            <w:r>
              <w:rPr>
                <w:rFonts w:ascii="Arial" w:cs="Arial" w:eastAsia="Arial" w:hAnsi="Arial"/>
                <w:b/>
                <w:bCs/>
                <w:i w:val="false"/>
                <w:iCs w:val="false"/>
                <w:color w:val="FFFFFF"/>
                <w:sz w:val="20"/>
                <w:szCs w:val="20"/>
              </w:rPr>
              <w:t xml:space="preserve">Data da Sentença</w:t>
            </w:r>
          </w:p>
        </w:tc>
        <w:tc>
          <w:tcPr>
            <w:tcW w:type="dxa" w:w="6706"/>
            <w:tcBorders>
              <w:top w:val="single" w:color="C0C0C0" w:sz="1"/>
              <w:left w:val="single" w:color="C0C0C0" w:sz="1"/>
              <w:bottom w:val="single" w:color="C0C0C0" w:sz="1"/>
              <w:right w:val="single" w:color="C0C0C0" w:sz="1"/>
            </w:tcBorders>
            <w:shd w:fill="F0F4FA" w:val="clear"/>
            <w:tcMar>
              <w:top w:type="dxa" w:w="80"/>
              <w:left w:type="dxa" w:w="140"/>
              <w:bottom w:type="dxa" w:w="80"/>
              <w:right w:type="dxa" w:w="140"/>
            </w:tcMar>
            <w:vAlign w:val="center"/>
          </w:tcPr>
          <w:p>
            <w:r>
              <w:rPr>
                <w:rFonts w:ascii="Arial" w:cs="Arial" w:eastAsia="Arial" w:hAnsi="Arial"/>
                <w:b w:val="false"/>
                <w:bCs w:val="false"/>
                <w:i w:val="false"/>
                <w:iCs w:val="false"/>
                <w:color w:val="1A1A2E"/>
                <w:sz w:val="20"/>
                <w:szCs w:val="20"/>
              </w:rPr>
              <w:t xml:space="preserve">13/05/2023 — Juiz Marco Aurelio Antunes dos Santos</w:t>
            </w:r>
          </w:p>
        </w:tc>
      </w:tr>
      <w:tr>
        <w:tc>
          <w:tcPr>
            <w:tcW w:type="dxa" w:w="2800"/>
            <w:tcBorders>
              <w:top w:val="single" w:color="C0C0C0" w:sz="1"/>
              <w:left w:val="single" w:color="C0C0C0" w:sz="1"/>
              <w:bottom w:val="single" w:color="C0C0C0" w:sz="1"/>
              <w:right w:val="single" w:color="C0C0C0" w:sz="1"/>
            </w:tcBorders>
            <w:shd w:fill="D6E4F0" w:val="clear"/>
            <w:tcMar>
              <w:top w:type="dxa" w:w="80"/>
              <w:left w:type="dxa" w:w="140"/>
              <w:bottom w:type="dxa" w:w="80"/>
              <w:right w:type="dxa" w:w="140"/>
            </w:tcMar>
            <w:vAlign w:val="center"/>
          </w:tcPr>
          <w:p>
            <w:r>
              <w:rPr>
                <w:rFonts w:ascii="Arial" w:cs="Arial" w:eastAsia="Arial" w:hAnsi="Arial"/>
                <w:b/>
                <w:bCs/>
                <w:i w:val="false"/>
                <w:iCs w:val="false"/>
                <w:color w:val="1B3A6B"/>
                <w:sz w:val="20"/>
                <w:szCs w:val="20"/>
              </w:rPr>
              <w:t xml:space="preserve">Valor da Causa</w:t>
            </w:r>
          </w:p>
        </w:tc>
        <w:tc>
          <w:tcPr>
            <w:tcW w:type="dxa" w:w="6706"/>
            <w:tcBorders>
              <w:top w:val="single" w:color="C0C0C0" w:sz="1"/>
              <w:left w:val="single" w:color="C0C0C0" w:sz="1"/>
              <w:bottom w:val="single" w:color="C0C0C0" w:sz="1"/>
              <w:right w:val="single" w:color="C0C0C0" w:sz="1"/>
            </w:tcBorders>
            <w:tcMar>
              <w:top w:type="dxa" w:w="80"/>
              <w:left w:type="dxa" w:w="140"/>
              <w:bottom w:type="dxa" w:w="80"/>
              <w:right w:type="dxa" w:w="140"/>
            </w:tcMar>
            <w:vAlign w:val="center"/>
          </w:tcPr>
          <w:p>
            <w:r>
              <w:rPr>
                <w:rFonts w:ascii="Arial" w:cs="Arial" w:eastAsia="Arial" w:hAnsi="Arial"/>
                <w:b w:val="false"/>
                <w:bCs w:val="false"/>
                <w:i w:val="false"/>
                <w:iCs w:val="false"/>
                <w:color w:val="1A1A2E"/>
                <w:sz w:val="20"/>
                <w:szCs w:val="20"/>
              </w:rPr>
              <w:t xml:space="preserve">R$ 317.399,40</w:t>
            </w:r>
          </w:p>
        </w:tc>
      </w:tr>
      <w:tr>
        <w:tc>
          <w:tcPr>
            <w:tcW w:type="dxa" w:w="2800"/>
            <w:tcBorders>
              <w:top w:val="single" w:color="C0C0C0" w:sz="1"/>
              <w:left w:val="single" w:color="C0C0C0" w:sz="1"/>
              <w:bottom w:val="single" w:color="C0C0C0" w:sz="1"/>
              <w:right w:val="single" w:color="C0C0C0" w:sz="1"/>
            </w:tcBorders>
            <w:shd w:fill="1B3A6B" w:val="clear"/>
            <w:tcMar>
              <w:top w:type="dxa" w:w="80"/>
              <w:left w:type="dxa" w:w="140"/>
              <w:bottom w:type="dxa" w:w="80"/>
              <w:right w:type="dxa" w:w="140"/>
            </w:tcMar>
            <w:vAlign w:val="center"/>
          </w:tcPr>
          <w:p>
            <w:r>
              <w:rPr>
                <w:rFonts w:ascii="Arial" w:cs="Arial" w:eastAsia="Arial" w:hAnsi="Arial"/>
                <w:b/>
                <w:bCs/>
                <w:i w:val="false"/>
                <w:iCs w:val="false"/>
                <w:color w:val="FFFFFF"/>
                <w:sz w:val="20"/>
                <w:szCs w:val="20"/>
              </w:rPr>
              <w:t xml:space="preserve">Resultado</w:t>
            </w:r>
          </w:p>
        </w:tc>
        <w:tc>
          <w:tcPr>
            <w:tcW w:type="dxa" w:w="6706"/>
            <w:tcBorders>
              <w:top w:val="single" w:color="C0C0C0" w:sz="1"/>
              <w:left w:val="single" w:color="C0C0C0" w:sz="1"/>
              <w:bottom w:val="single" w:color="C0C0C0" w:sz="1"/>
              <w:right w:val="single" w:color="C0C0C0" w:sz="1"/>
            </w:tcBorders>
            <w:shd w:fill="F0F4FA" w:val="clear"/>
            <w:tcMar>
              <w:top w:type="dxa" w:w="80"/>
              <w:left w:type="dxa" w:w="140"/>
              <w:bottom w:type="dxa" w:w="80"/>
              <w:right w:type="dxa" w:w="140"/>
            </w:tcMar>
            <w:vAlign w:val="center"/>
          </w:tcPr>
          <w:p>
            <w:r>
              <w:rPr>
                <w:rFonts w:ascii="Arial" w:cs="Arial" w:eastAsia="Arial" w:hAnsi="Arial"/>
                <w:b w:val="false"/>
                <w:bCs w:val="false"/>
                <w:i w:val="false"/>
                <w:iCs w:val="false"/>
                <w:color w:val="1A1A2E"/>
                <w:sz w:val="20"/>
                <w:szCs w:val="20"/>
              </w:rPr>
              <w:t xml:space="preserve">PARCIALMENTE PROCEDENTE — conserto integral do veículo + lucros cessantes de R$ 3.000,00/mês</w:t>
            </w:r>
          </w:p>
        </w:tc>
      </w:tr>
    </w:tbl>
    <w:p>
      <w:pPr>
        <w:spacing w:after="100" w:before="200"/>
      </w:pPr>
    </w:p>
    <w:p>
      <w:pPr>
        <w:pStyle w:val="Heading1"/>
        <w:shd w:fill="1B3A6B" w:val="clear"/>
        <w:spacing w:after="160" w:before="400"/>
        <w:ind w:left="200" w:right="200"/>
      </w:pPr>
      <w:r>
        <w:rPr>
          <w:rFonts w:ascii="Arial" w:cs="Arial" w:eastAsia="Arial" w:hAnsi="Arial"/>
          <w:b/>
          <w:bCs/>
          <w:color w:val="FFFFFF"/>
          <w:sz w:val="30"/>
          <w:szCs w:val="30"/>
        </w:rPr>
        <w:t xml:space="preserve">1. SÍNTESE FÁTICA DO ACIDENTE</w:t>
      </w:r>
    </w:p>
    <w:p>
      <w:pPr>
        <w:pBdr>
          <w:bottom w:val="single" w:color="2E6DA4" w:sz="4"/>
        </w:pBdr>
        <w:spacing w:after="60" w:before="60"/>
      </w:pPr>
    </w:p>
    <w:p>
      <w:pPr>
        <w:spacing w:after="80" w:before="80"/>
        <w:ind w:left="0"/>
      </w:pPr>
      <w:r>
        <w:rPr>
          <w:rFonts w:ascii="Arial" w:cs="Arial" w:eastAsia="Arial" w:hAnsi="Arial"/>
          <w:color w:val="1A1A2E"/>
          <w:sz w:val="22"/>
          <w:szCs w:val="22"/>
        </w:rPr>
        <w:t xml:space="preserve">Em 23 de fevereiro de 2021, por volta das 16h30, o autor Maicon Denti conduzia seu caminhão Mercedes Benz L1113 (Placa CLK9H70 — ano 1971, com amplas melhorias) pela Rodovia PR 180, sentido Moreira Sales, quando foi frontalmente abalroado pelo automóvel Fiat Strada (Placa ARW3250) de propriedade da ré R.A. Mesquita de Araujo Moveis e Estofados ME, conduzido pelo seu funcionário Lucas Gabriel Biaggi.</w:t>
      </w:r>
    </w:p>
    <w:p>
      <w:pPr>
        <w:spacing w:after="80" w:before="80"/>
      </w:pPr>
    </w:p>
    <w:p>
      <w:pPr>
        <w:spacing w:after="80" w:before="80"/>
        <w:ind w:left="0"/>
      </w:pPr>
      <w:r>
        <w:rPr>
          <w:rFonts w:ascii="Arial" w:cs="Arial" w:eastAsia="Arial" w:hAnsi="Arial"/>
          <w:color w:val="1A1A2E"/>
          <w:sz w:val="22"/>
          <w:szCs w:val="22"/>
        </w:rPr>
        <w:t xml:space="preserve">O condutor da Strada tentou ultrapassar um terceiro veículo (Ford Cargo, ATO5461) em local proibido — trecho com faixa contínua e em curva — transitando em velocidade estimada entre 130 e 150 km/h (muito acima dos 80 km/h permitidos). Ao perceber o caminhão do autor na pista contrária, tentou retornar à faixa, mas a traseira da picape derrapou, gerando colisão frontal. Lucas Biaggi faleceu no local; o passageiro Jackson Simioni Backes sobreviveu com ferimentos.</w:t>
      </w:r>
    </w:p>
    <w:p>
      <w:pPr>
        <w:spacing w:after="80" w:before="80"/>
      </w:pPr>
    </w:p>
    <w:p>
      <w:pPr>
        <w:spacing w:after="80" w:before="200"/>
      </w:pPr>
      <w:r>
        <w:rPr>
          <w:rFonts w:ascii="Arial" w:cs="Arial" w:eastAsia="Arial" w:hAnsi="Arial"/>
          <w:b/>
          <w:bCs/>
          <w:color w:val="1B3A6B"/>
          <w:sz w:val="22"/>
          <w:szCs w:val="22"/>
          <w:u w:val="single"/>
        </w:rPr>
        <w:t xml:space="preserve">Veículos envolvidos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2100"/>
        <w:gridCol w:w="2000"/>
        <w:gridCol w:w="1906"/>
        <w:gridCol w:w="1900"/>
      </w:tblGrid>
      <w:tr>
        <w:trPr>
          <w:tblHeader/>
        </w:trPr>
        <w:tc>
          <w:tcPr>
            <w:tcW w:type="dxa" w:w="1600"/>
            <w:tcBorders>
              <w:top w:val="single" w:color="ffffff" w:sz="1"/>
              <w:left w:val="single" w:color="ffffff" w:sz="1"/>
              <w:bottom w:val="single" w:color="ffffff" w:sz="1"/>
              <w:right w:val="single" w:color="ffffff"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Veículo</w:t>
            </w:r>
          </w:p>
        </w:tc>
        <w:tc>
          <w:tcPr>
            <w:tcW w:type="dxa" w:w="2100"/>
            <w:tcBorders>
              <w:top w:val="single" w:color="ffffff" w:sz="1"/>
              <w:left w:val="single" w:color="ffffff" w:sz="1"/>
              <w:bottom w:val="single" w:color="ffffff" w:sz="1"/>
              <w:right w:val="single" w:color="ffffff"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Placa / Marca</w:t>
            </w:r>
          </w:p>
        </w:tc>
        <w:tc>
          <w:tcPr>
            <w:tcW w:type="dxa" w:w="2000"/>
            <w:tcBorders>
              <w:top w:val="single" w:color="ffffff" w:sz="1"/>
              <w:left w:val="single" w:color="ffffff" w:sz="1"/>
              <w:bottom w:val="single" w:color="ffffff" w:sz="1"/>
              <w:right w:val="single" w:color="ffffff"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Proprietário</w:t>
            </w:r>
          </w:p>
        </w:tc>
        <w:tc>
          <w:tcPr>
            <w:tcW w:type="dxa" w:w="1906"/>
            <w:tcBorders>
              <w:top w:val="single" w:color="ffffff" w:sz="1"/>
              <w:left w:val="single" w:color="ffffff" w:sz="1"/>
              <w:bottom w:val="single" w:color="ffffff" w:sz="1"/>
              <w:right w:val="single" w:color="ffffff"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Condutor</w:t>
            </w:r>
          </w:p>
        </w:tc>
        <w:tc>
          <w:tcPr>
            <w:tcW w:type="dxa" w:w="1900"/>
            <w:tcBorders>
              <w:top w:val="single" w:color="ffffff" w:sz="1"/>
              <w:left w:val="single" w:color="ffffff" w:sz="1"/>
              <w:bottom w:val="single" w:color="ffffff" w:sz="1"/>
              <w:right w:val="single" w:color="ffffff"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Resultado</w:t>
            </w:r>
          </w:p>
        </w:tc>
      </w:tr>
      <w:tr>
        <w:tc>
          <w:tcPr>
            <w:tcW w:type="dxa" w:w="1600"/>
            <w:tcBorders>
              <w:top w:val="single" w:color="C0C0C0" w:sz="1"/>
              <w:left w:val="single" w:color="C0C0C0" w:sz="1"/>
              <w:bottom w:val="single" w:color="C0C0C0" w:sz="1"/>
              <w:right w:val="single" w:color="C0C0C0" w:sz="1"/>
            </w:tcBorders>
            <w:shd w:fill="FFF0F0" w:val="clear"/>
            <w:tcMar>
              <w:top w:type="dxa" w:w="80"/>
              <w:left w:type="dxa" w:w="140"/>
              <w:bottom w:type="dxa" w:w="80"/>
              <w:right w:type="dxa" w:w="140"/>
            </w:tcMar>
            <w:vAlign w:val="center"/>
          </w:tcPr>
          <w:p>
            <w:r>
              <w:rPr>
                <w:rFonts w:ascii="Arial" w:cs="Arial" w:eastAsia="Arial" w:hAnsi="Arial"/>
                <w:b/>
                <w:bCs/>
                <w:i w:val="false"/>
                <w:iCs w:val="false"/>
                <w:color w:val="C0392B"/>
                <w:sz w:val="20"/>
                <w:szCs w:val="20"/>
              </w:rPr>
              <w:t xml:space="preserve">V1 (causador)</w:t>
            </w:r>
          </w:p>
        </w:tc>
        <w:tc>
          <w:tcPr>
            <w:tcW w:type="dxa" w:w="2100"/>
            <w:tcBorders>
              <w:top w:val="single" w:color="C0C0C0" w:sz="1"/>
              <w:left w:val="single" w:color="C0C0C0" w:sz="1"/>
              <w:bottom w:val="single" w:color="C0C0C0" w:sz="1"/>
              <w:right w:val="single" w:color="C0C0C0" w:sz="1"/>
            </w:tcBorders>
            <w:tcMar>
              <w:top w:type="dxa" w:w="80"/>
              <w:left w:type="dxa" w:w="140"/>
              <w:bottom w:type="dxa" w:w="80"/>
              <w:right w:type="dxa" w:w="140"/>
            </w:tcMar>
            <w:vAlign w:val="center"/>
          </w:tcPr>
          <w:p>
            <w:r>
              <w:rPr>
                <w:rFonts w:ascii="Arial" w:cs="Arial" w:eastAsia="Arial" w:hAnsi="Arial"/>
                <w:b w:val="false"/>
                <w:bCs w:val="false"/>
                <w:i w:val="false"/>
                <w:iCs w:val="false"/>
                <w:color w:val="1A1A2E"/>
                <w:sz w:val="20"/>
                <w:szCs w:val="20"/>
              </w:rPr>
              <w:t xml:space="preserve">ARW3250 / Fiat Strada 2009</w:t>
            </w:r>
          </w:p>
        </w:tc>
        <w:tc>
          <w:tcPr>
            <w:tcW w:type="dxa" w:w="2000"/>
            <w:tcBorders>
              <w:top w:val="single" w:color="C0C0C0" w:sz="1"/>
              <w:left w:val="single" w:color="C0C0C0" w:sz="1"/>
              <w:bottom w:val="single" w:color="C0C0C0" w:sz="1"/>
              <w:right w:val="single" w:color="C0C0C0" w:sz="1"/>
            </w:tcBorders>
            <w:tcMar>
              <w:top w:type="dxa" w:w="80"/>
              <w:left w:type="dxa" w:w="140"/>
              <w:bottom w:type="dxa" w:w="80"/>
              <w:right w:type="dxa" w:w="140"/>
            </w:tcMar>
            <w:vAlign w:val="center"/>
          </w:tcPr>
          <w:p>
            <w:r>
              <w:rPr>
                <w:rFonts w:ascii="Arial" w:cs="Arial" w:eastAsia="Arial" w:hAnsi="Arial"/>
                <w:b w:val="false"/>
                <w:bCs w:val="false"/>
                <w:i w:val="false"/>
                <w:iCs w:val="false"/>
                <w:color w:val="1A1A2E"/>
                <w:sz w:val="20"/>
                <w:szCs w:val="20"/>
              </w:rPr>
              <w:t xml:space="preserve">R.A. Mesquita ME</w:t>
            </w:r>
          </w:p>
        </w:tc>
        <w:tc>
          <w:tcPr>
            <w:tcW w:type="dxa" w:w="1906"/>
            <w:tcBorders>
              <w:top w:val="single" w:color="C0C0C0" w:sz="1"/>
              <w:left w:val="single" w:color="C0C0C0" w:sz="1"/>
              <w:bottom w:val="single" w:color="C0C0C0" w:sz="1"/>
              <w:right w:val="single" w:color="C0C0C0" w:sz="1"/>
            </w:tcBorders>
            <w:tcMar>
              <w:top w:type="dxa" w:w="80"/>
              <w:left w:type="dxa" w:w="140"/>
              <w:bottom w:type="dxa" w:w="80"/>
              <w:right w:type="dxa" w:w="140"/>
            </w:tcMar>
            <w:vAlign w:val="center"/>
          </w:tcPr>
          <w:p>
            <w:r>
              <w:rPr>
                <w:rFonts w:ascii="Arial" w:cs="Arial" w:eastAsia="Arial" w:hAnsi="Arial"/>
                <w:b w:val="false"/>
                <w:bCs w:val="false"/>
                <w:i w:val="false"/>
                <w:iCs w:val="false"/>
                <w:color w:val="1A1A2E"/>
                <w:sz w:val="20"/>
                <w:szCs w:val="20"/>
              </w:rPr>
              <w:t xml:space="preserve">Lucas G. Biaggi (22 anos)</w:t>
            </w:r>
          </w:p>
        </w:tc>
        <w:tc>
          <w:tcPr>
            <w:tcW w:type="dxa" w:w="1900"/>
            <w:tcBorders>
              <w:top w:val="single" w:color="C0C0C0" w:sz="1"/>
              <w:left w:val="single" w:color="C0C0C0" w:sz="1"/>
              <w:bottom w:val="single" w:color="C0C0C0" w:sz="1"/>
              <w:right w:val="single" w:color="C0C0C0" w:sz="1"/>
            </w:tcBorders>
            <w:tcMar>
              <w:top w:type="dxa" w:w="80"/>
              <w:left w:type="dxa" w:w="140"/>
              <w:bottom w:type="dxa" w:w="80"/>
              <w:right w:type="dxa" w:w="140"/>
            </w:tcMar>
            <w:vAlign w:val="center"/>
          </w:tcPr>
          <w:p>
            <w:r>
              <w:rPr>
                <w:rFonts w:ascii="Arial" w:cs="Arial" w:eastAsia="Arial" w:hAnsi="Arial"/>
                <w:b/>
                <w:bCs/>
                <w:i w:val="false"/>
                <w:iCs w:val="false"/>
                <w:color w:val="C0392B"/>
                <w:sz w:val="20"/>
                <w:szCs w:val="20"/>
              </w:rPr>
              <w:t xml:space="preserve">Óbito no local</w:t>
            </w:r>
          </w:p>
        </w:tc>
      </w:tr>
      <w:tr>
        <w:tc>
          <w:tcPr>
            <w:tcW w:type="dxa" w:w="16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r>
              <w:rPr>
                <w:rFonts w:ascii="Arial" w:cs="Arial" w:eastAsia="Arial" w:hAnsi="Arial"/>
                <w:b w:val="false"/>
                <w:bCs w:val="false"/>
                <w:i w:val="false"/>
                <w:iCs w:val="false"/>
                <w:color w:val="1A1A2E"/>
                <w:sz w:val="20"/>
                <w:szCs w:val="20"/>
              </w:rPr>
              <w:t xml:space="preserve">V2 (vítima)</w:t>
            </w:r>
          </w:p>
        </w:tc>
        <w:tc>
          <w:tcPr>
            <w:tcW w:type="dxa" w:w="21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r>
              <w:rPr>
                <w:rFonts w:ascii="Arial" w:cs="Arial" w:eastAsia="Arial" w:hAnsi="Arial"/>
                <w:b w:val="false"/>
                <w:bCs w:val="false"/>
                <w:i w:val="false"/>
                <w:iCs w:val="false"/>
                <w:color w:val="1A1A2E"/>
                <w:sz w:val="20"/>
                <w:szCs w:val="20"/>
              </w:rPr>
              <w:t xml:space="preserve">CLK9H70 / M.Benz L1113 1971</w:t>
            </w:r>
          </w:p>
        </w:tc>
        <w:tc>
          <w:tcPr>
            <w:tcW w:type="dxa" w:w="20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r>
              <w:rPr>
                <w:rFonts w:ascii="Arial" w:cs="Arial" w:eastAsia="Arial" w:hAnsi="Arial"/>
                <w:b w:val="false"/>
                <w:bCs w:val="false"/>
                <w:i w:val="false"/>
                <w:iCs w:val="false"/>
                <w:color w:val="1A1A2E"/>
                <w:sz w:val="20"/>
                <w:szCs w:val="20"/>
              </w:rPr>
              <w:t xml:space="preserve">Maicon Denti</w:t>
            </w:r>
          </w:p>
        </w:tc>
        <w:tc>
          <w:tcPr>
            <w:tcW w:type="dxa" w:w="1906"/>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r>
              <w:rPr>
                <w:rFonts w:ascii="Arial" w:cs="Arial" w:eastAsia="Arial" w:hAnsi="Arial"/>
                <w:b w:val="false"/>
                <w:bCs w:val="false"/>
                <w:i w:val="false"/>
                <w:iCs w:val="false"/>
                <w:color w:val="1A1A2E"/>
                <w:sz w:val="20"/>
                <w:szCs w:val="20"/>
              </w:rPr>
              <w:t xml:space="preserve">Maicon Denti (28 anos)</w:t>
            </w:r>
          </w:p>
        </w:tc>
        <w:tc>
          <w:tcPr>
            <w:tcW w:type="dxa" w:w="19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r>
              <w:rPr>
                <w:rFonts w:ascii="Arial" w:cs="Arial" w:eastAsia="Arial" w:hAnsi="Arial"/>
                <w:b w:val="false"/>
                <w:bCs w:val="false"/>
                <w:i w:val="false"/>
                <w:iCs w:val="false"/>
                <w:color w:val="1A1A2E"/>
                <w:sz w:val="20"/>
                <w:szCs w:val="20"/>
              </w:rPr>
              <w:t xml:space="preserve">Sem ferimentos; veículo avariado</w:t>
            </w:r>
          </w:p>
        </w:tc>
      </w:tr>
      <w:tr>
        <w:tc>
          <w:tcPr>
            <w:tcW w:type="dxa" w:w="1600"/>
            <w:tcBorders>
              <w:top w:val="single" w:color="C0C0C0" w:sz="1"/>
              <w:left w:val="single" w:color="C0C0C0" w:sz="1"/>
              <w:bottom w:val="single" w:color="C0C0C0" w:sz="1"/>
              <w:right w:val="single" w:color="C0C0C0" w:sz="1"/>
            </w:tcBorders>
            <w:tcMar>
              <w:top w:type="dxa" w:w="80"/>
              <w:left w:type="dxa" w:w="140"/>
              <w:bottom w:type="dxa" w:w="80"/>
              <w:right w:type="dxa" w:w="140"/>
            </w:tcMar>
            <w:vAlign w:val="center"/>
          </w:tcPr>
          <w:p>
            <w:r>
              <w:rPr>
                <w:rFonts w:ascii="Arial" w:cs="Arial" w:eastAsia="Arial" w:hAnsi="Arial"/>
                <w:b w:val="false"/>
                <w:bCs w:val="false"/>
                <w:i w:val="false"/>
                <w:iCs w:val="false"/>
                <w:color w:val="1A1A2E"/>
                <w:sz w:val="20"/>
                <w:szCs w:val="20"/>
              </w:rPr>
              <w:t xml:space="preserve">V3 (terceiro)</w:t>
            </w:r>
          </w:p>
        </w:tc>
        <w:tc>
          <w:tcPr>
            <w:tcW w:type="dxa" w:w="2100"/>
            <w:tcBorders>
              <w:top w:val="single" w:color="C0C0C0" w:sz="1"/>
              <w:left w:val="single" w:color="C0C0C0" w:sz="1"/>
              <w:bottom w:val="single" w:color="C0C0C0" w:sz="1"/>
              <w:right w:val="single" w:color="C0C0C0" w:sz="1"/>
            </w:tcBorders>
            <w:tcMar>
              <w:top w:type="dxa" w:w="80"/>
              <w:left w:type="dxa" w:w="140"/>
              <w:bottom w:type="dxa" w:w="80"/>
              <w:right w:type="dxa" w:w="140"/>
            </w:tcMar>
            <w:vAlign w:val="center"/>
          </w:tcPr>
          <w:p>
            <w:r>
              <w:rPr>
                <w:rFonts w:ascii="Arial" w:cs="Arial" w:eastAsia="Arial" w:hAnsi="Arial"/>
                <w:b w:val="false"/>
                <w:bCs w:val="false"/>
                <w:i w:val="false"/>
                <w:iCs w:val="false"/>
                <w:color w:val="1A1A2E"/>
                <w:sz w:val="20"/>
                <w:szCs w:val="20"/>
              </w:rPr>
              <w:t xml:space="preserve">ATO5461 / Ford Cargo 2010</w:t>
            </w:r>
          </w:p>
        </w:tc>
        <w:tc>
          <w:tcPr>
            <w:tcW w:type="dxa" w:w="2000"/>
            <w:tcBorders>
              <w:top w:val="single" w:color="C0C0C0" w:sz="1"/>
              <w:left w:val="single" w:color="C0C0C0" w:sz="1"/>
              <w:bottom w:val="single" w:color="C0C0C0" w:sz="1"/>
              <w:right w:val="single" w:color="C0C0C0" w:sz="1"/>
            </w:tcBorders>
            <w:tcMar>
              <w:top w:type="dxa" w:w="80"/>
              <w:left w:type="dxa" w:w="140"/>
              <w:bottom w:type="dxa" w:w="80"/>
              <w:right w:type="dxa" w:w="140"/>
            </w:tcMar>
            <w:vAlign w:val="center"/>
          </w:tcPr>
          <w:p>
            <w:r>
              <w:rPr>
                <w:rFonts w:ascii="Arial" w:cs="Arial" w:eastAsia="Arial" w:hAnsi="Arial"/>
                <w:b w:val="false"/>
                <w:bCs w:val="false"/>
                <w:i w:val="false"/>
                <w:iCs w:val="false"/>
                <w:color w:val="1A1A2E"/>
                <w:sz w:val="20"/>
                <w:szCs w:val="20"/>
              </w:rPr>
              <w:t xml:space="preserve">Rogério A. P. de Medeiros</w:t>
            </w:r>
          </w:p>
        </w:tc>
        <w:tc>
          <w:tcPr>
            <w:tcW w:type="dxa" w:w="1906"/>
            <w:tcBorders>
              <w:top w:val="single" w:color="C0C0C0" w:sz="1"/>
              <w:left w:val="single" w:color="C0C0C0" w:sz="1"/>
              <w:bottom w:val="single" w:color="C0C0C0" w:sz="1"/>
              <w:right w:val="single" w:color="C0C0C0" w:sz="1"/>
            </w:tcBorders>
            <w:tcMar>
              <w:top w:type="dxa" w:w="80"/>
              <w:left w:type="dxa" w:w="140"/>
              <w:bottom w:type="dxa" w:w="80"/>
              <w:right w:type="dxa" w:w="140"/>
            </w:tcMar>
            <w:vAlign w:val="center"/>
          </w:tcPr>
          <w:p>
            <w:r>
              <w:rPr>
                <w:rFonts w:ascii="Arial" w:cs="Arial" w:eastAsia="Arial" w:hAnsi="Arial"/>
                <w:b w:val="false"/>
                <w:bCs w:val="false"/>
                <w:i w:val="false"/>
                <w:iCs w:val="false"/>
                <w:color w:val="1A1A2E"/>
                <w:sz w:val="20"/>
                <w:szCs w:val="20"/>
              </w:rPr>
              <w:t xml:space="preserve">Marcos Aurelio P. de Medeiros</w:t>
            </w:r>
          </w:p>
        </w:tc>
        <w:tc>
          <w:tcPr>
            <w:tcW w:type="dxa" w:w="1900"/>
            <w:tcBorders>
              <w:top w:val="single" w:color="C0C0C0" w:sz="1"/>
              <w:left w:val="single" w:color="C0C0C0" w:sz="1"/>
              <w:bottom w:val="single" w:color="C0C0C0" w:sz="1"/>
              <w:right w:val="single" w:color="C0C0C0" w:sz="1"/>
            </w:tcBorders>
            <w:tcMar>
              <w:top w:type="dxa" w:w="80"/>
              <w:left w:type="dxa" w:w="140"/>
              <w:bottom w:type="dxa" w:w="80"/>
              <w:right w:type="dxa" w:w="140"/>
            </w:tcMar>
            <w:vAlign w:val="center"/>
          </w:tcPr>
          <w:p>
            <w:r>
              <w:rPr>
                <w:rFonts w:ascii="Arial" w:cs="Arial" w:eastAsia="Arial" w:hAnsi="Arial"/>
                <w:b w:val="false"/>
                <w:bCs w:val="false"/>
                <w:i w:val="false"/>
                <w:iCs w:val="false"/>
                <w:color w:val="1A1A2E"/>
                <w:sz w:val="20"/>
                <w:szCs w:val="20"/>
              </w:rPr>
              <w:t xml:space="preserve">Avaria de pequena monta; reparado pela seg.</w:t>
            </w:r>
          </w:p>
        </w:tc>
      </w:tr>
    </w:tbl>
    <w:p>
      <w:pPr>
        <w:spacing w:before="160"/>
      </w:pPr>
    </w:p>
    <w:p>
      <w:pPr>
        <w:spacing w:after="80" w:before="200"/>
      </w:pPr>
      <w:r>
        <w:rPr>
          <w:rFonts w:ascii="Arial" w:cs="Arial" w:eastAsia="Arial" w:hAnsi="Arial"/>
          <w:b/>
          <w:bCs/>
          <w:color w:val="1B3A6B"/>
          <w:sz w:val="22"/>
          <w:szCs w:val="22"/>
          <w:u w:val="single"/>
        </w:rPr>
        <w:t xml:space="preserve">Condições da via (BATEU nº 458196/1)</w:t>
      </w:r>
    </w:p>
    <w:p>
      <w:pPr>
        <w:pStyle w:val="ListParagraph"/>
        <w:numPr>
          <w:ilvl w:val="0"/>
          <w:numId w:val="2"/>
        </w:numPr>
        <w:spacing w:after="60" w:before="60"/>
      </w:pPr>
      <w:r>
        <w:rPr>
          <w:rFonts w:ascii="Arial" w:cs="Arial" w:eastAsia="Arial" w:hAnsi="Arial"/>
          <w:color w:val="1A1A2E"/>
          <w:sz w:val="22"/>
          <w:szCs w:val="22"/>
        </w:rPr>
        <w:t xml:space="preserve">Tipo de pista: rodovia dupla sentido, asfalto seco, perfil em declive</w:t>
      </w:r>
    </w:p>
    <w:p>
      <w:pPr>
        <w:pStyle w:val="ListParagraph"/>
        <w:numPr>
          <w:ilvl w:val="0"/>
          <w:numId w:val="2"/>
        </w:numPr>
        <w:spacing w:after="60" w:before="60"/>
      </w:pPr>
      <w:r>
        <w:rPr>
          <w:rFonts w:ascii="Arial" w:cs="Arial" w:eastAsia="Arial" w:hAnsi="Arial"/>
          <w:color w:val="1A1A2E"/>
          <w:sz w:val="22"/>
          <w:szCs w:val="22"/>
        </w:rPr>
        <w:t xml:space="preserve">Velocidade máxima permitida: 80 km/h</w:t>
      </w:r>
    </w:p>
    <w:p>
      <w:pPr>
        <w:pStyle w:val="ListParagraph"/>
        <w:numPr>
          <w:ilvl w:val="0"/>
          <w:numId w:val="2"/>
        </w:numPr>
        <w:spacing w:after="60" w:before="60"/>
      </w:pPr>
      <w:r>
        <w:rPr>
          <w:rFonts w:ascii="Arial" w:cs="Arial" w:eastAsia="Arial" w:hAnsi="Arial"/>
          <w:color w:val="1A1A2E"/>
          <w:sz w:val="22"/>
          <w:szCs w:val="22"/>
        </w:rPr>
        <w:t xml:space="preserve">Sinalização horizontal e vertical: proibia expressamente a ultrapassagem no sentido Goioerê–Moreira Sales</w:t>
      </w:r>
    </w:p>
    <w:p>
      <w:pPr>
        <w:pStyle w:val="ListParagraph"/>
        <w:numPr>
          <w:ilvl w:val="0"/>
          <w:numId w:val="2"/>
        </w:numPr>
        <w:spacing w:after="60" w:before="60"/>
      </w:pPr>
      <w:r>
        <w:rPr>
          <w:rFonts w:ascii="Arial" w:cs="Arial" w:eastAsia="Arial" w:hAnsi="Arial"/>
          <w:color w:val="1A1A2E"/>
          <w:sz w:val="22"/>
          <w:szCs w:val="22"/>
        </w:rPr>
        <w:t xml:space="preserve">Visibilidade: boa, período diurno</w:t>
      </w:r>
    </w:p>
    <w:p>
      <w:pPr>
        <w:pStyle w:val="ListParagraph"/>
        <w:numPr>
          <w:ilvl w:val="0"/>
          <w:numId w:val="2"/>
        </w:numPr>
        <w:spacing w:after="60" w:before="60"/>
      </w:pPr>
      <w:r>
        <w:rPr>
          <w:rFonts w:ascii="Arial" w:cs="Arial" w:eastAsia="Arial" w:hAnsi="Arial"/>
          <w:color w:val="1A1A2E"/>
          <w:sz w:val="22"/>
          <w:szCs w:val="22"/>
        </w:rPr>
        <w:t xml:space="preserve">Tacógrafo presente nos caminhões V2 e V3 (dado relevante para perícia de velocidade)</w:t>
      </w:r>
    </w:p>
    <w:p>
      <w:pPr>
        <w:spacing w:before="160"/>
      </w:pPr>
    </w:p>
    <w:p>
      <w:pPr>
        <w:pStyle w:val="Heading1"/>
        <w:shd w:fill="1B3A6B" w:val="clear"/>
        <w:spacing w:after="160" w:before="400"/>
        <w:ind w:left="200" w:right="200"/>
      </w:pPr>
      <w:r>
        <w:rPr>
          <w:rFonts w:ascii="Arial" w:cs="Arial" w:eastAsia="Arial" w:hAnsi="Arial"/>
          <w:b/>
          <w:bCs/>
          <w:color w:val="FFFFFF"/>
          <w:sz w:val="30"/>
          <w:szCs w:val="30"/>
        </w:rPr>
        <w:t xml:space="preserve">2. PARTES E REPRESENTAÇÃO PROCESSUAL</w:t>
      </w:r>
    </w:p>
    <w:p>
      <w:pPr>
        <w:pBdr>
          <w:bottom w:val="single" w:color="2E6DA4" w:sz="4"/>
        </w:pBdr>
        <w:spacing w:after="60" w:before="60"/>
      </w:pPr>
    </w:p>
    <w:p>
      <w:pPr>
        <w:pStyle w:val="Heading2"/>
        <w:pBdr>
          <w:left w:val="single" w:color="2E6DA4" w:sz="12"/>
        </w:pBdr>
        <w:spacing w:after="100" w:before="280"/>
        <w:ind w:left="200"/>
      </w:pPr>
      <w:r>
        <w:rPr>
          <w:rFonts w:ascii="Arial" w:cs="Arial" w:eastAsia="Arial" w:hAnsi="Arial"/>
          <w:b/>
          <w:bCs/>
          <w:color w:val="1B3A6B"/>
          <w:sz w:val="26"/>
          <w:szCs w:val="26"/>
        </w:rPr>
        <w:t xml:space="preserve">2.1 Autor — Maicon Denti</w:t>
      </w:r>
    </w:p>
    <w:p>
      <w:pPr>
        <w:pStyle w:val="ListParagraph"/>
        <w:numPr>
          <w:ilvl w:val="0"/>
          <w:numId w:val="2"/>
        </w:numPr>
        <w:spacing w:after="60" w:before="60"/>
      </w:pPr>
      <w:r>
        <w:rPr>
          <w:rFonts w:ascii="Arial" w:cs="Arial" w:eastAsia="Arial" w:hAnsi="Arial"/>
          <w:color w:val="1A1A2E"/>
          <w:sz w:val="22"/>
          <w:szCs w:val="22"/>
        </w:rPr>
        <w:t xml:space="preserve">Motorista autônomo, solteiro, nascido em 06/03/1993, residente em Frederico Westphalen/RS</w:t>
      </w:r>
    </w:p>
    <w:p>
      <w:pPr>
        <w:pStyle w:val="ListParagraph"/>
        <w:numPr>
          <w:ilvl w:val="0"/>
          <w:numId w:val="2"/>
        </w:numPr>
        <w:spacing w:after="60" w:before="60"/>
      </w:pPr>
      <w:r>
        <w:rPr>
          <w:rFonts w:ascii="Arial" w:cs="Arial" w:eastAsia="Arial" w:hAnsi="Arial"/>
          <w:color w:val="1A1A2E"/>
          <w:sz w:val="22"/>
          <w:szCs w:val="22"/>
        </w:rPr>
        <w:t xml:space="preserve">Beneficiário da Justiça Gratuita (deferida) — hipossuficiência comprovada por CTPS, declaração e certidão SRF</w:t>
      </w:r>
    </w:p>
    <w:p>
      <w:pPr>
        <w:pStyle w:val="ListParagraph"/>
        <w:numPr>
          <w:ilvl w:val="0"/>
          <w:numId w:val="2"/>
        </w:numPr>
        <w:spacing w:after="60" w:before="60"/>
      </w:pPr>
      <w:r>
        <w:rPr>
          <w:rFonts w:ascii="Arial" w:cs="Arial" w:eastAsia="Arial" w:hAnsi="Arial"/>
          <w:color w:val="1A1A2E"/>
          <w:sz w:val="22"/>
          <w:szCs w:val="22"/>
        </w:rPr>
        <w:t xml:space="preserve">Advogados: Belchior Frizon (OAB/RS 91.887), Daniel Goliszevski (OAB/RS 79.906) e Mauricio de Oliveira Bravo (OAB/RS 102.927) — Escritório DKG Advocacia, Frederico Westphalen/RS</w:t>
      </w:r>
    </w:p>
    <w:p>
      <w:pPr>
        <w:pStyle w:val="Heading2"/>
        <w:pBdr>
          <w:left w:val="single" w:color="2E6DA4" w:sz="12"/>
        </w:pBdr>
        <w:spacing w:after="100" w:before="280"/>
        <w:ind w:left="200"/>
      </w:pPr>
      <w:r>
        <w:rPr>
          <w:rFonts w:ascii="Arial" w:cs="Arial" w:eastAsia="Arial" w:hAnsi="Arial"/>
          <w:b/>
          <w:bCs/>
          <w:color w:val="1B3A6B"/>
          <w:sz w:val="26"/>
          <w:szCs w:val="26"/>
        </w:rPr>
        <w:t xml:space="preserve">2.2 Ré 1 — R.A. Mesquita de Araujo Moveis e Estofados ME</w:t>
      </w:r>
    </w:p>
    <w:p>
      <w:pPr>
        <w:pStyle w:val="ListParagraph"/>
        <w:numPr>
          <w:ilvl w:val="0"/>
          <w:numId w:val="2"/>
        </w:numPr>
        <w:spacing w:after="60" w:before="60"/>
      </w:pPr>
      <w:r>
        <w:rPr>
          <w:rFonts w:ascii="Arial" w:cs="Arial" w:eastAsia="Arial" w:hAnsi="Arial"/>
          <w:color w:val="1A1A2E"/>
          <w:sz w:val="22"/>
          <w:szCs w:val="22"/>
        </w:rPr>
        <w:t xml:space="preserve">CNPJ 31.067.991/0001-53 — Goioerê/PR</w:t>
      </w:r>
    </w:p>
    <w:p>
      <w:pPr>
        <w:pStyle w:val="ListParagraph"/>
        <w:numPr>
          <w:ilvl w:val="0"/>
          <w:numId w:val="2"/>
        </w:numPr>
        <w:spacing w:after="60" w:before="60"/>
      </w:pPr>
      <w:r>
        <w:rPr>
          <w:rFonts w:ascii="Arial" w:cs="Arial" w:eastAsia="Arial" w:hAnsi="Arial"/>
          <w:color w:val="1A1A2E"/>
          <w:sz w:val="22"/>
          <w:szCs w:val="22"/>
        </w:rPr>
        <w:t xml:space="preserve">Proprietária do Fiat Strada; empregadora do condutor falecido (reconhecido em depoimento)</w:t>
      </w:r>
    </w:p>
    <w:p>
      <w:pPr>
        <w:pStyle w:val="ListParagraph"/>
        <w:numPr>
          <w:ilvl w:val="0"/>
          <w:numId w:val="2"/>
        </w:numPr>
        <w:spacing w:after="60" w:before="60"/>
      </w:pPr>
      <w:r>
        <w:rPr>
          <w:rFonts w:ascii="Arial" w:cs="Arial" w:eastAsia="Arial" w:hAnsi="Arial"/>
          <w:color w:val="1A1A2E"/>
          <w:sz w:val="22"/>
          <w:szCs w:val="22"/>
        </w:rPr>
        <w:t xml:space="preserve">Advogado: Rodrigo Gonçalves (OAB/SC 29.322) — Blumenau/SC</w:t>
      </w:r>
    </w:p>
    <w:p>
      <w:pPr>
        <w:pStyle w:val="ListParagraph"/>
        <w:numPr>
          <w:ilvl w:val="0"/>
          <w:numId w:val="2"/>
        </w:numPr>
        <w:spacing w:after="60" w:before="60"/>
      </w:pPr>
      <w:r>
        <w:rPr>
          <w:rFonts w:ascii="Arial" w:cs="Arial" w:eastAsia="Arial" w:hAnsi="Arial"/>
          <w:color w:val="1A1A2E"/>
          <w:sz w:val="22"/>
          <w:szCs w:val="22"/>
        </w:rPr>
        <w:t xml:space="preserve">Postura na lide: negou culpa; pediu denunciação à lide da HDI; pleiteou gratuidade de justiça</w:t>
      </w:r>
    </w:p>
    <w:p>
      <w:pPr>
        <w:pStyle w:val="Heading2"/>
        <w:pBdr>
          <w:left w:val="single" w:color="2E6DA4" w:sz="12"/>
        </w:pBdr>
        <w:spacing w:after="100" w:before="280"/>
        <w:ind w:left="200"/>
      </w:pPr>
      <w:r>
        <w:rPr>
          <w:rFonts w:ascii="Arial" w:cs="Arial" w:eastAsia="Arial" w:hAnsi="Arial"/>
          <w:b/>
          <w:bCs/>
          <w:color w:val="1B3A6B"/>
          <w:sz w:val="26"/>
          <w:szCs w:val="26"/>
        </w:rPr>
        <w:t xml:space="preserve">2.3 Ré 2 — HDI Seguros S.A.</w:t>
      </w:r>
    </w:p>
    <w:p>
      <w:pPr>
        <w:pStyle w:val="ListParagraph"/>
        <w:numPr>
          <w:ilvl w:val="0"/>
          <w:numId w:val="2"/>
        </w:numPr>
        <w:spacing w:after="60" w:before="60"/>
      </w:pPr>
      <w:r>
        <w:rPr>
          <w:rFonts w:ascii="Arial" w:cs="Arial" w:eastAsia="Arial" w:hAnsi="Arial"/>
          <w:color w:val="1A1A2E"/>
          <w:sz w:val="22"/>
          <w:szCs w:val="22"/>
        </w:rPr>
        <w:t xml:space="preserve">CNPJ 29.980.158/0001-57 (matriz SP) / Filial Maringá/PR</w:t>
      </w:r>
    </w:p>
    <w:p>
      <w:pPr>
        <w:pStyle w:val="ListParagraph"/>
        <w:numPr>
          <w:ilvl w:val="0"/>
          <w:numId w:val="2"/>
        </w:numPr>
        <w:spacing w:after="60" w:before="60"/>
      </w:pPr>
      <w:r>
        <w:rPr>
          <w:rFonts w:ascii="Arial" w:cs="Arial" w:eastAsia="Arial" w:hAnsi="Arial"/>
          <w:color w:val="1A1A2E"/>
          <w:sz w:val="22"/>
          <w:szCs w:val="22"/>
        </w:rPr>
        <w:t xml:space="preserve">Seguradora do veículo Fiat Strada (apólice com coberturas de RC, danos materiais e morais)</w:t>
      </w:r>
    </w:p>
    <w:p>
      <w:pPr>
        <w:pStyle w:val="ListParagraph"/>
        <w:numPr>
          <w:ilvl w:val="0"/>
          <w:numId w:val="2"/>
        </w:numPr>
        <w:spacing w:after="60" w:before="60"/>
      </w:pPr>
      <w:r>
        <w:rPr>
          <w:rFonts w:ascii="Arial" w:cs="Arial" w:eastAsia="Arial" w:hAnsi="Arial"/>
          <w:color w:val="1A1A2E"/>
          <w:sz w:val="22"/>
          <w:szCs w:val="22"/>
        </w:rPr>
        <w:t xml:space="preserve">Advogado: Luiz Henrique Cabanellos Schuh (OAB/RS 18.673) — Curitiba/PR (escritório Cabanellos)</w:t>
      </w:r>
    </w:p>
    <w:p>
      <w:pPr>
        <w:pStyle w:val="ListParagraph"/>
        <w:numPr>
          <w:ilvl w:val="0"/>
          <w:numId w:val="2"/>
        </w:numPr>
        <w:spacing w:after="60" w:before="60"/>
      </w:pPr>
      <w:r>
        <w:rPr>
          <w:rFonts w:ascii="Arial" w:cs="Arial" w:eastAsia="Arial" w:hAnsi="Arial"/>
          <w:color w:val="1A1A2E"/>
          <w:sz w:val="22"/>
          <w:szCs w:val="22"/>
        </w:rPr>
        <w:t xml:space="preserve">Postura na lide: ausência de comprovação de culpa; limitação da cobertura à apólice; negativa de depreciação</w:t>
      </w:r>
    </w:p>
    <w:p>
      <w:pPr>
        <w:spacing w:before="160"/>
      </w:pPr>
    </w:p>
    <w:p>
      <w:pPr>
        <w:pStyle w:val="Heading1"/>
        <w:shd w:fill="1B3A6B" w:val="clear"/>
        <w:spacing w:after="160" w:before="400"/>
        <w:ind w:left="200" w:right="200"/>
      </w:pPr>
      <w:r>
        <w:rPr>
          <w:rFonts w:ascii="Arial" w:cs="Arial" w:eastAsia="Arial" w:hAnsi="Arial"/>
          <w:b/>
          <w:bCs/>
          <w:color w:val="FFFFFF"/>
          <w:sz w:val="30"/>
          <w:szCs w:val="30"/>
        </w:rPr>
        <w:t xml:space="preserve">3. ITER PROCESSUAL CRONOLÓGICO</w:t>
      </w:r>
    </w:p>
    <w:p>
      <w:pPr>
        <w:pBdr>
          <w:bottom w:val="single" w:color="2E6DA4" w:sz="4"/>
        </w:pBdr>
        <w:spacing w:after="60" w:before="6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7706"/>
      </w:tblGrid>
      <w:tr>
        <w:trPr>
          <w:tblHeader/>
        </w:trPr>
        <w:tc>
          <w:tcPr>
            <w:tcW w:type="dxa" w:w="1800"/>
            <w:tcBorders>
              <w:top w:val="single" w:color="ffffff" w:sz="1"/>
              <w:left w:val="single" w:color="ffffff" w:sz="1"/>
              <w:bottom w:val="single" w:color="ffffff" w:sz="1"/>
              <w:right w:val="single" w:color="ffffff"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Data / Fase</w:t>
            </w:r>
          </w:p>
        </w:tc>
        <w:tc>
          <w:tcPr>
            <w:tcW w:type="dxa" w:w="7706"/>
            <w:tcBorders>
              <w:top w:val="single" w:color="ffffff" w:sz="1"/>
              <w:left w:val="single" w:color="ffffff" w:sz="1"/>
              <w:bottom w:val="single" w:color="ffffff" w:sz="1"/>
              <w:right w:val="single" w:color="ffffff"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Ato Processual</w:t>
            </w:r>
          </w:p>
        </w:tc>
      </w:tr>
      <w:tr>
        <w:tc>
          <w:tcPr>
            <w:tcW w:type="dxa" w:w="18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r>
              <w:rPr>
                <w:rFonts w:ascii="Arial" w:cs="Arial" w:eastAsia="Arial" w:hAnsi="Arial"/>
                <w:b w:val="false"/>
                <w:bCs w:val="false"/>
                <w:i w:val="false"/>
                <w:iCs w:val="false"/>
                <w:color w:val="1A1A2E"/>
                <w:sz w:val="20"/>
                <w:szCs w:val="20"/>
              </w:rPr>
              <w:t xml:space="preserve">23/02/2021</w:t>
            </w:r>
          </w:p>
        </w:tc>
        <w:tc>
          <w:tcPr>
            <w:tcW w:type="dxa" w:w="7706"/>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r>
              <w:rPr>
                <w:rFonts w:ascii="Arial" w:cs="Arial" w:eastAsia="Arial" w:hAnsi="Arial"/>
                <w:b w:val="false"/>
                <w:bCs w:val="false"/>
                <w:i w:val="false"/>
                <w:iCs w:val="false"/>
                <w:color w:val="1A1A2E"/>
                <w:sz w:val="20"/>
                <w:szCs w:val="20"/>
              </w:rPr>
              <w:t xml:space="preserve">Acidente de trânsito — Rod. PR 180, km 208, Goioerê/PR</w:t>
            </w:r>
          </w:p>
        </w:tc>
      </w:tr>
      <w:tr>
        <w:tc>
          <w:tcPr>
            <w:tcW w:type="dxa" w:w="1800"/>
            <w:tcBorders>
              <w:top w:val="single" w:color="C0C0C0" w:sz="1"/>
              <w:left w:val="single" w:color="C0C0C0" w:sz="1"/>
              <w:bottom w:val="single" w:color="C0C0C0" w:sz="1"/>
              <w:right w:val="single" w:color="C0C0C0" w:sz="1"/>
            </w:tcBorders>
            <w:tcMar>
              <w:top w:type="dxa" w:w="80"/>
              <w:left w:type="dxa" w:w="140"/>
              <w:bottom w:type="dxa" w:w="80"/>
              <w:right w:type="dxa" w:w="140"/>
            </w:tcMar>
            <w:vAlign w:val="center"/>
          </w:tcPr>
          <w:p>
            <w:r>
              <w:rPr>
                <w:rFonts w:ascii="Arial" w:cs="Arial" w:eastAsia="Arial" w:hAnsi="Arial"/>
                <w:b w:val="false"/>
                <w:bCs w:val="false"/>
                <w:i w:val="false"/>
                <w:iCs w:val="false"/>
                <w:color w:val="1A1A2E"/>
                <w:sz w:val="20"/>
                <w:szCs w:val="20"/>
              </w:rPr>
              <w:t xml:space="preserve">05/07/2021</w:t>
            </w:r>
          </w:p>
        </w:tc>
        <w:tc>
          <w:tcPr>
            <w:tcW w:type="dxa" w:w="7706"/>
            <w:tcBorders>
              <w:top w:val="single" w:color="C0C0C0" w:sz="1"/>
              <w:left w:val="single" w:color="C0C0C0" w:sz="1"/>
              <w:bottom w:val="single" w:color="C0C0C0" w:sz="1"/>
              <w:right w:val="single" w:color="C0C0C0" w:sz="1"/>
            </w:tcBorders>
            <w:tcMar>
              <w:top w:type="dxa" w:w="80"/>
              <w:left w:type="dxa" w:w="140"/>
              <w:bottom w:type="dxa" w:w="80"/>
              <w:right w:type="dxa" w:w="140"/>
            </w:tcMar>
            <w:vAlign w:val="center"/>
          </w:tcPr>
          <w:p>
            <w:r>
              <w:rPr>
                <w:rFonts w:ascii="Arial" w:cs="Arial" w:eastAsia="Arial" w:hAnsi="Arial"/>
                <w:b w:val="false"/>
                <w:bCs w:val="false"/>
                <w:i w:val="false"/>
                <w:iCs w:val="false"/>
                <w:color w:val="1A1A2E"/>
                <w:sz w:val="20"/>
                <w:szCs w:val="20"/>
              </w:rPr>
              <w:t xml:space="preserve">Ajuizamento da Ação Indenizatória — Causa: R$ 317.399,40</w:t>
            </w:r>
          </w:p>
        </w:tc>
      </w:tr>
      <w:tr>
        <w:tc>
          <w:tcPr>
            <w:tcW w:type="dxa" w:w="18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r>
              <w:rPr>
                <w:rFonts w:ascii="Arial" w:cs="Arial" w:eastAsia="Arial" w:hAnsi="Arial"/>
                <w:b w:val="false"/>
                <w:bCs w:val="false"/>
                <w:i w:val="false"/>
                <w:iCs w:val="false"/>
                <w:color w:val="1A1A2E"/>
                <w:sz w:val="20"/>
                <w:szCs w:val="20"/>
              </w:rPr>
              <w:t xml:space="preserve">Jul/2021</w:t>
            </w:r>
          </w:p>
        </w:tc>
        <w:tc>
          <w:tcPr>
            <w:tcW w:type="dxa" w:w="7706"/>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r>
              <w:rPr>
                <w:rFonts w:ascii="Arial" w:cs="Arial" w:eastAsia="Arial" w:hAnsi="Arial"/>
                <w:b w:val="false"/>
                <w:bCs w:val="false"/>
                <w:i w:val="false"/>
                <w:iCs w:val="false"/>
                <w:color w:val="1A1A2E"/>
                <w:sz w:val="20"/>
                <w:szCs w:val="20"/>
              </w:rPr>
              <w:t xml:space="preserve">Indeferimento da Tutela de Urgência (SISBAJUD — bloqueio de R$ 62.515,00)</w:t>
            </w:r>
          </w:p>
        </w:tc>
      </w:tr>
      <w:tr>
        <w:tc>
          <w:tcPr>
            <w:tcW w:type="dxa" w:w="1800"/>
            <w:tcBorders>
              <w:top w:val="single" w:color="C0C0C0" w:sz="1"/>
              <w:left w:val="single" w:color="C0C0C0" w:sz="1"/>
              <w:bottom w:val="single" w:color="C0C0C0" w:sz="1"/>
              <w:right w:val="single" w:color="C0C0C0" w:sz="1"/>
            </w:tcBorders>
            <w:tcMar>
              <w:top w:type="dxa" w:w="80"/>
              <w:left w:type="dxa" w:w="140"/>
              <w:bottom w:type="dxa" w:w="80"/>
              <w:right w:type="dxa" w:w="140"/>
            </w:tcMar>
            <w:vAlign w:val="center"/>
          </w:tcPr>
          <w:p>
            <w:r>
              <w:rPr>
                <w:rFonts w:ascii="Arial" w:cs="Arial" w:eastAsia="Arial" w:hAnsi="Arial"/>
                <w:b w:val="false"/>
                <w:bCs w:val="false"/>
                <w:i w:val="false"/>
                <w:iCs w:val="false"/>
                <w:color w:val="1A1A2E"/>
                <w:sz w:val="20"/>
                <w:szCs w:val="20"/>
              </w:rPr>
              <w:t xml:space="preserve">14/07/2021</w:t>
            </w:r>
          </w:p>
        </w:tc>
        <w:tc>
          <w:tcPr>
            <w:tcW w:type="dxa" w:w="7706"/>
            <w:tcBorders>
              <w:top w:val="single" w:color="C0C0C0" w:sz="1"/>
              <w:left w:val="single" w:color="C0C0C0" w:sz="1"/>
              <w:bottom w:val="single" w:color="C0C0C0" w:sz="1"/>
              <w:right w:val="single" w:color="C0C0C0" w:sz="1"/>
            </w:tcBorders>
            <w:tcMar>
              <w:top w:type="dxa" w:w="80"/>
              <w:left w:type="dxa" w:w="140"/>
              <w:bottom w:type="dxa" w:w="80"/>
              <w:right w:type="dxa" w:w="140"/>
            </w:tcMar>
            <w:vAlign w:val="center"/>
          </w:tcPr>
          <w:p>
            <w:r>
              <w:rPr>
                <w:rFonts w:ascii="Arial" w:cs="Arial" w:eastAsia="Arial" w:hAnsi="Arial"/>
                <w:b w:val="false"/>
                <w:bCs w:val="false"/>
                <w:i w:val="false"/>
                <w:iCs w:val="false"/>
                <w:color w:val="1A1A2E"/>
                <w:sz w:val="20"/>
                <w:szCs w:val="20"/>
              </w:rPr>
              <w:t xml:space="preserve">Contestação da Ré Mesquita (pedido de denunciação à lide da HDI)</w:t>
            </w:r>
          </w:p>
        </w:tc>
      </w:tr>
      <w:tr>
        <w:tc>
          <w:tcPr>
            <w:tcW w:type="dxa" w:w="18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r>
              <w:rPr>
                <w:rFonts w:ascii="Arial" w:cs="Arial" w:eastAsia="Arial" w:hAnsi="Arial"/>
                <w:b w:val="false"/>
                <w:bCs w:val="false"/>
                <w:i w:val="false"/>
                <w:iCs w:val="false"/>
                <w:color w:val="1A1A2E"/>
                <w:sz w:val="20"/>
                <w:szCs w:val="20"/>
              </w:rPr>
              <w:t xml:space="preserve">30/08/2021</w:t>
            </w:r>
          </w:p>
        </w:tc>
        <w:tc>
          <w:tcPr>
            <w:tcW w:type="dxa" w:w="7706"/>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r>
              <w:rPr>
                <w:rFonts w:ascii="Arial" w:cs="Arial" w:eastAsia="Arial" w:hAnsi="Arial"/>
                <w:b w:val="false"/>
                <w:bCs w:val="false"/>
                <w:i w:val="false"/>
                <w:iCs w:val="false"/>
                <w:color w:val="1A1A2E"/>
                <w:sz w:val="20"/>
                <w:szCs w:val="20"/>
              </w:rPr>
              <w:t xml:space="preserve">Contestação da HDI Seguros</w:t>
            </w:r>
          </w:p>
        </w:tc>
      </w:tr>
      <w:tr>
        <w:tc>
          <w:tcPr>
            <w:tcW w:type="dxa" w:w="1800"/>
            <w:tcBorders>
              <w:top w:val="single" w:color="C0C0C0" w:sz="1"/>
              <w:left w:val="single" w:color="C0C0C0" w:sz="1"/>
              <w:bottom w:val="single" w:color="C0C0C0" w:sz="1"/>
              <w:right w:val="single" w:color="C0C0C0" w:sz="1"/>
            </w:tcBorders>
            <w:tcMar>
              <w:top w:type="dxa" w:w="80"/>
              <w:left w:type="dxa" w:w="140"/>
              <w:bottom w:type="dxa" w:w="80"/>
              <w:right w:type="dxa" w:w="140"/>
            </w:tcMar>
            <w:vAlign w:val="center"/>
          </w:tcPr>
          <w:p>
            <w:r>
              <w:rPr>
                <w:rFonts w:ascii="Arial" w:cs="Arial" w:eastAsia="Arial" w:hAnsi="Arial"/>
                <w:b w:val="false"/>
                <w:bCs w:val="false"/>
                <w:i w:val="false"/>
                <w:iCs w:val="false"/>
                <w:color w:val="1A1A2E"/>
                <w:sz w:val="20"/>
                <w:szCs w:val="20"/>
              </w:rPr>
              <w:t xml:space="preserve">18/04/2022</w:t>
            </w:r>
          </w:p>
        </w:tc>
        <w:tc>
          <w:tcPr>
            <w:tcW w:type="dxa" w:w="7706"/>
            <w:tcBorders>
              <w:top w:val="single" w:color="C0C0C0" w:sz="1"/>
              <w:left w:val="single" w:color="C0C0C0" w:sz="1"/>
              <w:bottom w:val="single" w:color="C0C0C0" w:sz="1"/>
              <w:right w:val="single" w:color="C0C0C0" w:sz="1"/>
            </w:tcBorders>
            <w:tcMar>
              <w:top w:type="dxa" w:w="80"/>
              <w:left w:type="dxa" w:w="140"/>
              <w:bottom w:type="dxa" w:w="80"/>
              <w:right w:type="dxa" w:w="140"/>
            </w:tcMar>
            <w:vAlign w:val="center"/>
          </w:tcPr>
          <w:p>
            <w:r>
              <w:rPr>
                <w:rFonts w:ascii="Arial" w:cs="Arial" w:eastAsia="Arial" w:hAnsi="Arial"/>
                <w:b w:val="false"/>
                <w:bCs w:val="false"/>
                <w:i w:val="false"/>
                <w:iCs w:val="false"/>
                <w:color w:val="1A1A2E"/>
                <w:sz w:val="20"/>
                <w:szCs w:val="20"/>
              </w:rPr>
              <w:t xml:space="preserve">Réplica do Autor + Juntada de documentos do Inquérito Policial nº 78.386/2021 (Delegacia Goioerê)</w:t>
            </w:r>
          </w:p>
        </w:tc>
      </w:tr>
      <w:tr>
        <w:tc>
          <w:tcPr>
            <w:tcW w:type="dxa" w:w="18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r>
              <w:rPr>
                <w:rFonts w:ascii="Arial" w:cs="Arial" w:eastAsia="Arial" w:hAnsi="Arial"/>
                <w:b w:val="false"/>
                <w:bCs w:val="false"/>
                <w:i w:val="false"/>
                <w:iCs w:val="false"/>
                <w:color w:val="1A1A2E"/>
                <w:sz w:val="20"/>
                <w:szCs w:val="20"/>
              </w:rPr>
              <w:t xml:space="preserve">Abr/2022</w:t>
            </w:r>
          </w:p>
        </w:tc>
        <w:tc>
          <w:tcPr>
            <w:tcW w:type="dxa" w:w="7706"/>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r>
              <w:rPr>
                <w:rFonts w:ascii="Arial" w:cs="Arial" w:eastAsia="Arial" w:hAnsi="Arial"/>
                <w:b w:val="false"/>
                <w:bCs w:val="false"/>
                <w:i w:val="false"/>
                <w:iCs w:val="false"/>
                <w:color w:val="1A1A2E"/>
                <w:sz w:val="20"/>
                <w:szCs w:val="20"/>
              </w:rPr>
              <w:t xml:space="preserve">2º Indeferimento do pedido de tutela de urgência</w:t>
            </w:r>
          </w:p>
        </w:tc>
      </w:tr>
      <w:tr>
        <w:tc>
          <w:tcPr>
            <w:tcW w:type="dxa" w:w="1800"/>
            <w:tcBorders>
              <w:top w:val="single" w:color="C0C0C0" w:sz="1"/>
              <w:left w:val="single" w:color="C0C0C0" w:sz="1"/>
              <w:bottom w:val="single" w:color="C0C0C0" w:sz="1"/>
              <w:right w:val="single" w:color="C0C0C0" w:sz="1"/>
            </w:tcBorders>
            <w:tcMar>
              <w:top w:type="dxa" w:w="80"/>
              <w:left w:type="dxa" w:w="140"/>
              <w:bottom w:type="dxa" w:w="80"/>
              <w:right w:type="dxa" w:w="140"/>
            </w:tcMar>
            <w:vAlign w:val="center"/>
          </w:tcPr>
          <w:p>
            <w:r>
              <w:rPr>
                <w:rFonts w:ascii="Arial" w:cs="Arial" w:eastAsia="Arial" w:hAnsi="Arial"/>
                <w:b w:val="false"/>
                <w:bCs w:val="false"/>
                <w:i w:val="false"/>
                <w:iCs w:val="false"/>
                <w:color w:val="1A1A2E"/>
                <w:sz w:val="20"/>
                <w:szCs w:val="20"/>
              </w:rPr>
              <w:t xml:space="preserve">2022/2023</w:t>
            </w:r>
          </w:p>
        </w:tc>
        <w:tc>
          <w:tcPr>
            <w:tcW w:type="dxa" w:w="7706"/>
            <w:tcBorders>
              <w:top w:val="single" w:color="C0C0C0" w:sz="1"/>
              <w:left w:val="single" w:color="C0C0C0" w:sz="1"/>
              <w:bottom w:val="single" w:color="C0C0C0" w:sz="1"/>
              <w:right w:val="single" w:color="C0C0C0" w:sz="1"/>
            </w:tcBorders>
            <w:tcMar>
              <w:top w:type="dxa" w:w="80"/>
              <w:left w:type="dxa" w:w="140"/>
              <w:bottom w:type="dxa" w:w="80"/>
              <w:right w:type="dxa" w:w="140"/>
            </w:tcMar>
            <w:vAlign w:val="center"/>
          </w:tcPr>
          <w:p>
            <w:r>
              <w:rPr>
                <w:rFonts w:ascii="Arial" w:cs="Arial" w:eastAsia="Arial" w:hAnsi="Arial"/>
                <w:b w:val="false"/>
                <w:bCs w:val="false"/>
                <w:i w:val="false"/>
                <w:iCs w:val="false"/>
                <w:color w:val="1A1A2E"/>
                <w:sz w:val="20"/>
                <w:szCs w:val="20"/>
              </w:rPr>
              <w:t xml:space="preserve">Audiência de Instrução e Julgamento — 7 testemunhas + depoimentos pessoais (vídeos nos Eventos 62/63)</w:t>
            </w:r>
          </w:p>
        </w:tc>
      </w:tr>
      <w:tr>
        <w:tc>
          <w:tcPr>
            <w:tcW w:type="dxa" w:w="18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r>
              <w:rPr>
                <w:rFonts w:ascii="Arial" w:cs="Arial" w:eastAsia="Arial" w:hAnsi="Arial"/>
                <w:b w:val="false"/>
                <w:bCs w:val="false"/>
                <w:i w:val="false"/>
                <w:iCs w:val="false"/>
                <w:color w:val="1A1A2E"/>
                <w:sz w:val="20"/>
                <w:szCs w:val="20"/>
              </w:rPr>
              <w:t xml:space="preserve">25/04/2023</w:t>
            </w:r>
          </w:p>
        </w:tc>
        <w:tc>
          <w:tcPr>
            <w:tcW w:type="dxa" w:w="7706"/>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r>
              <w:rPr>
                <w:rFonts w:ascii="Arial" w:cs="Arial" w:eastAsia="Arial" w:hAnsi="Arial"/>
                <w:b w:val="false"/>
                <w:bCs w:val="false"/>
                <w:i w:val="false"/>
                <w:iCs w:val="false"/>
                <w:color w:val="1A1A2E"/>
                <w:sz w:val="20"/>
                <w:szCs w:val="20"/>
              </w:rPr>
              <w:t xml:space="preserve">Memoriais do Autor</w:t>
            </w:r>
          </w:p>
        </w:tc>
      </w:tr>
      <w:tr>
        <w:tc>
          <w:tcPr>
            <w:tcW w:type="dxa" w:w="1800"/>
            <w:tcBorders>
              <w:top w:val="single" w:color="C0C0C0" w:sz="1"/>
              <w:left w:val="single" w:color="C0C0C0" w:sz="1"/>
              <w:bottom w:val="single" w:color="C0C0C0" w:sz="1"/>
              <w:right w:val="single" w:color="C0C0C0" w:sz="1"/>
            </w:tcBorders>
            <w:tcMar>
              <w:top w:type="dxa" w:w="80"/>
              <w:left w:type="dxa" w:w="140"/>
              <w:bottom w:type="dxa" w:w="80"/>
              <w:right w:type="dxa" w:w="140"/>
            </w:tcMar>
            <w:vAlign w:val="center"/>
          </w:tcPr>
          <w:p>
            <w:r>
              <w:rPr>
                <w:rFonts w:ascii="Arial" w:cs="Arial" w:eastAsia="Arial" w:hAnsi="Arial"/>
                <w:b w:val="false"/>
                <w:bCs w:val="false"/>
                <w:i w:val="false"/>
                <w:iCs w:val="false"/>
                <w:color w:val="1A1A2E"/>
                <w:sz w:val="20"/>
                <w:szCs w:val="20"/>
              </w:rPr>
              <w:t xml:space="preserve">13/04/2023</w:t>
            </w:r>
          </w:p>
        </w:tc>
        <w:tc>
          <w:tcPr>
            <w:tcW w:type="dxa" w:w="7706"/>
            <w:tcBorders>
              <w:top w:val="single" w:color="C0C0C0" w:sz="1"/>
              <w:left w:val="single" w:color="C0C0C0" w:sz="1"/>
              <w:bottom w:val="single" w:color="C0C0C0" w:sz="1"/>
              <w:right w:val="single" w:color="C0C0C0" w:sz="1"/>
            </w:tcBorders>
            <w:tcMar>
              <w:top w:type="dxa" w:w="80"/>
              <w:left w:type="dxa" w:w="140"/>
              <w:bottom w:type="dxa" w:w="80"/>
              <w:right w:type="dxa" w:w="140"/>
            </w:tcMar>
            <w:vAlign w:val="center"/>
          </w:tcPr>
          <w:p>
            <w:r>
              <w:rPr>
                <w:rFonts w:ascii="Arial" w:cs="Arial" w:eastAsia="Arial" w:hAnsi="Arial"/>
                <w:b w:val="false"/>
                <w:bCs w:val="false"/>
                <w:i w:val="false"/>
                <w:iCs w:val="false"/>
                <w:color w:val="1A1A2E"/>
                <w:sz w:val="20"/>
                <w:szCs w:val="20"/>
              </w:rPr>
              <w:t xml:space="preserve">Memoriais da HDI Seguros</w:t>
            </w:r>
          </w:p>
        </w:tc>
      </w:tr>
      <w:tr>
        <w:tc>
          <w:tcPr>
            <w:tcW w:type="dxa" w:w="18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r>
              <w:rPr>
                <w:rFonts w:ascii="Arial" w:cs="Arial" w:eastAsia="Arial" w:hAnsi="Arial"/>
                <w:b w:val="false"/>
                <w:bCs w:val="false"/>
                <w:i w:val="false"/>
                <w:iCs w:val="false"/>
                <w:color w:val="1A1A2E"/>
                <w:sz w:val="20"/>
                <w:szCs w:val="20"/>
              </w:rPr>
              <w:t xml:space="preserve">24/04/2023</w:t>
            </w:r>
          </w:p>
        </w:tc>
        <w:tc>
          <w:tcPr>
            <w:tcW w:type="dxa" w:w="7706"/>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r>
              <w:rPr>
                <w:rFonts w:ascii="Arial" w:cs="Arial" w:eastAsia="Arial" w:hAnsi="Arial"/>
                <w:b w:val="false"/>
                <w:bCs w:val="false"/>
                <w:i w:val="false"/>
                <w:iCs w:val="false"/>
                <w:color w:val="1A1A2E"/>
                <w:sz w:val="20"/>
                <w:szCs w:val="20"/>
              </w:rPr>
              <w:t xml:space="preserve">Alegações Finais de R.A. Mesquita</w:t>
            </w:r>
          </w:p>
        </w:tc>
      </w:tr>
      <w:tr>
        <w:tc>
          <w:tcPr>
            <w:tcW w:type="dxa" w:w="1800"/>
            <w:tcBorders>
              <w:top w:val="single" w:color="C0C0C0" w:sz="1"/>
              <w:left w:val="single" w:color="C0C0C0" w:sz="1"/>
              <w:bottom w:val="single" w:color="C0C0C0" w:sz="1"/>
              <w:right w:val="single" w:color="C0C0C0" w:sz="1"/>
            </w:tcBorders>
            <w:tcMar>
              <w:top w:type="dxa" w:w="80"/>
              <w:left w:type="dxa" w:w="140"/>
              <w:bottom w:type="dxa" w:w="80"/>
              <w:right w:type="dxa" w:w="140"/>
            </w:tcMar>
            <w:vAlign w:val="center"/>
          </w:tcPr>
          <w:p>
            <w:r>
              <w:rPr>
                <w:rFonts w:ascii="Arial" w:cs="Arial" w:eastAsia="Arial" w:hAnsi="Arial"/>
                <w:b/>
                <w:bCs/>
                <w:i w:val="false"/>
                <w:iCs w:val="false"/>
                <w:color w:val="1A1A2E"/>
                <w:sz w:val="20"/>
                <w:szCs w:val="20"/>
              </w:rPr>
              <w:t xml:space="preserve">13/05/2023</w:t>
            </w:r>
          </w:p>
        </w:tc>
        <w:tc>
          <w:tcPr>
            <w:tcW w:type="dxa" w:w="7706"/>
            <w:tcBorders>
              <w:top w:val="single" w:color="C0C0C0" w:sz="1"/>
              <w:left w:val="single" w:color="C0C0C0" w:sz="1"/>
              <w:bottom w:val="single" w:color="C0C0C0" w:sz="1"/>
              <w:right w:val="single" w:color="C0C0C0" w:sz="1"/>
            </w:tcBorders>
            <w:tcMar>
              <w:top w:type="dxa" w:w="80"/>
              <w:left w:type="dxa" w:w="140"/>
              <w:bottom w:type="dxa" w:w="80"/>
              <w:right w:type="dxa" w:w="140"/>
            </w:tcMar>
            <w:vAlign w:val="center"/>
          </w:tcPr>
          <w:p>
            <w:r>
              <w:rPr>
                <w:rFonts w:ascii="Arial" w:cs="Arial" w:eastAsia="Arial" w:hAnsi="Arial"/>
                <w:b/>
                <w:bCs/>
                <w:i w:val="false"/>
                <w:iCs w:val="false"/>
                <w:color w:val="1A7A4A"/>
                <w:sz w:val="20"/>
                <w:szCs w:val="20"/>
              </w:rPr>
              <w:t xml:space="preserve">SENTENÇA — Juiz Marco Aurelio Antunes dos Santos — Procedência parcial</w:t>
            </w:r>
          </w:p>
        </w:tc>
      </w:tr>
    </w:tbl>
    <w:p>
      <w:pPr>
        <w:spacing w:before="160"/>
      </w:pPr>
    </w:p>
    <w:p>
      <w:pPr>
        <w:pStyle w:val="Heading1"/>
        <w:shd w:fill="1B3A6B" w:val="clear"/>
        <w:spacing w:after="160" w:before="400"/>
        <w:ind w:left="200" w:right="200"/>
      </w:pPr>
      <w:r>
        <w:rPr>
          <w:rFonts w:ascii="Arial" w:cs="Arial" w:eastAsia="Arial" w:hAnsi="Arial"/>
          <w:b/>
          <w:bCs/>
          <w:color w:val="FFFFFF"/>
          <w:sz w:val="30"/>
          <w:szCs w:val="30"/>
        </w:rPr>
        <w:t xml:space="preserve">4. PEDIDOS DO AUTOR E ANÁLISE CRÍTICA</w:t>
      </w:r>
    </w:p>
    <w:p>
      <w:pPr>
        <w:pBdr>
          <w:bottom w:val="single" w:color="2E6DA4" w:sz="4"/>
        </w:pBdr>
        <w:spacing w:after="60" w:before="6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400"/>
        <w:gridCol w:w="1900"/>
        <w:gridCol w:w="2400"/>
        <w:gridCol w:w="1806"/>
      </w:tblGrid>
      <w:tr>
        <w:trPr>
          <w:tblHeader/>
        </w:trPr>
        <w:tc>
          <w:tcPr>
            <w:tcW w:type="dxa" w:w="3400"/>
            <w:tcBorders>
              <w:top w:val="single" w:color="ffffff" w:sz="1"/>
              <w:left w:val="single" w:color="ffffff" w:sz="1"/>
              <w:bottom w:val="single" w:color="ffffff" w:sz="1"/>
              <w:right w:val="single" w:color="ffffff"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Pedido</w:t>
            </w:r>
          </w:p>
        </w:tc>
        <w:tc>
          <w:tcPr>
            <w:tcW w:type="dxa" w:w="1900"/>
            <w:tcBorders>
              <w:top w:val="single" w:color="ffffff" w:sz="1"/>
              <w:left w:val="single" w:color="ffffff" w:sz="1"/>
              <w:bottom w:val="single" w:color="ffffff" w:sz="1"/>
              <w:right w:val="single" w:color="ffffff"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Valor Pleiteado</w:t>
            </w:r>
          </w:p>
        </w:tc>
        <w:tc>
          <w:tcPr>
            <w:tcW w:type="dxa" w:w="2400"/>
            <w:tcBorders>
              <w:top w:val="single" w:color="ffffff" w:sz="1"/>
              <w:left w:val="single" w:color="ffffff" w:sz="1"/>
              <w:bottom w:val="single" w:color="ffffff" w:sz="1"/>
              <w:right w:val="single" w:color="ffffff"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Resultado Sentença</w:t>
            </w:r>
          </w:p>
        </w:tc>
        <w:tc>
          <w:tcPr>
            <w:tcW w:type="dxa" w:w="1806"/>
            <w:tcBorders>
              <w:top w:val="single" w:color="ffffff" w:sz="1"/>
              <w:left w:val="single" w:color="ffffff" w:sz="1"/>
              <w:bottom w:val="single" w:color="ffffff" w:sz="1"/>
              <w:right w:val="single" w:color="ffffff"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Avaliação Crítica</w:t>
            </w:r>
          </w:p>
        </w:tc>
      </w:tr>
      <w:tr>
        <w:tc>
          <w:tcPr>
            <w:tcW w:type="dxa" w:w="34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r>
              <w:rPr>
                <w:rFonts w:ascii="Arial" w:cs="Arial" w:eastAsia="Arial" w:hAnsi="Arial"/>
                <w:b w:val="false"/>
                <w:bCs w:val="false"/>
                <w:i w:val="false"/>
                <w:iCs w:val="false"/>
                <w:color w:val="1A1A2E"/>
                <w:sz w:val="20"/>
                <w:szCs w:val="20"/>
              </w:rPr>
              <w:t xml:space="preserve">Danos emergentes — conserto do caminhão</w:t>
            </w:r>
          </w:p>
        </w:tc>
        <w:tc>
          <w:tcPr>
            <w:tcW w:type="dxa" w:w="19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r>
              <w:rPr>
                <w:rFonts w:ascii="Arial" w:cs="Arial" w:eastAsia="Arial" w:hAnsi="Arial"/>
                <w:b w:val="false"/>
                <w:bCs w:val="false"/>
                <w:i w:val="false"/>
                <w:iCs w:val="false"/>
                <w:color w:val="1A1A2E"/>
                <w:sz w:val="20"/>
                <w:szCs w:val="20"/>
              </w:rPr>
              <w:t xml:space="preserve">R$ 62.515,00 (preliminar, podendo ser maior)</w:t>
            </w:r>
          </w:p>
        </w:tc>
        <w:tc>
          <w:tcPr>
            <w:tcW w:type="dxa" w:w="24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r>
              <w:rPr>
                <w:rFonts w:ascii="Arial" w:cs="Arial" w:eastAsia="Arial" w:hAnsi="Arial"/>
                <w:b/>
                <w:bCs/>
                <w:i w:val="false"/>
                <w:iCs w:val="false"/>
                <w:color w:val="1A7A4A"/>
                <w:sz w:val="20"/>
                <w:szCs w:val="20"/>
              </w:rPr>
              <w:t xml:space="preserve">DEFERIDO — conserto integral determinado</w:t>
            </w:r>
          </w:p>
        </w:tc>
        <w:tc>
          <w:tcPr>
            <w:tcW w:type="dxa" w:w="1806"/>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r>
              <w:rPr>
                <w:rFonts w:ascii="Arial" w:cs="Arial" w:eastAsia="Arial" w:hAnsi="Arial"/>
                <w:b w:val="false"/>
                <w:bCs w:val="false"/>
                <w:i w:val="false"/>
                <w:iCs w:val="false"/>
                <w:color w:val="1A1A2E"/>
                <w:sz w:val="20"/>
                <w:szCs w:val="20"/>
              </w:rPr>
              <w:t xml:space="preserve">Adequado</w:t>
            </w:r>
          </w:p>
        </w:tc>
      </w:tr>
      <w:tr>
        <w:tc>
          <w:tcPr>
            <w:tcW w:type="dxa" w:w="3400"/>
            <w:tcBorders>
              <w:top w:val="single" w:color="C0C0C0" w:sz="1"/>
              <w:left w:val="single" w:color="C0C0C0" w:sz="1"/>
              <w:bottom w:val="single" w:color="C0C0C0" w:sz="1"/>
              <w:right w:val="single" w:color="C0C0C0" w:sz="1"/>
            </w:tcBorders>
            <w:tcMar>
              <w:top w:type="dxa" w:w="80"/>
              <w:left w:type="dxa" w:w="140"/>
              <w:bottom w:type="dxa" w:w="80"/>
              <w:right w:type="dxa" w:w="140"/>
            </w:tcMar>
            <w:vAlign w:val="center"/>
          </w:tcPr>
          <w:p>
            <w:r>
              <w:rPr>
                <w:rFonts w:ascii="Arial" w:cs="Arial" w:eastAsia="Arial" w:hAnsi="Arial"/>
                <w:b w:val="false"/>
                <w:bCs w:val="false"/>
                <w:i w:val="false"/>
                <w:iCs w:val="false"/>
                <w:color w:val="1A1A2E"/>
                <w:sz w:val="20"/>
                <w:szCs w:val="20"/>
              </w:rPr>
              <w:t xml:space="preserve">Lucros cessantes — R$ 16.698,70/mês até o conserto</w:t>
            </w:r>
          </w:p>
        </w:tc>
        <w:tc>
          <w:tcPr>
            <w:tcW w:type="dxa" w:w="1900"/>
            <w:tcBorders>
              <w:top w:val="single" w:color="C0C0C0" w:sz="1"/>
              <w:left w:val="single" w:color="C0C0C0" w:sz="1"/>
              <w:bottom w:val="single" w:color="C0C0C0" w:sz="1"/>
              <w:right w:val="single" w:color="C0C0C0" w:sz="1"/>
            </w:tcBorders>
            <w:tcMar>
              <w:top w:type="dxa" w:w="80"/>
              <w:left w:type="dxa" w:w="140"/>
              <w:bottom w:type="dxa" w:w="80"/>
              <w:right w:type="dxa" w:w="140"/>
            </w:tcMar>
            <w:vAlign w:val="center"/>
          </w:tcPr>
          <w:p>
            <w:r>
              <w:rPr>
                <w:rFonts w:ascii="Arial" w:cs="Arial" w:eastAsia="Arial" w:hAnsi="Arial"/>
                <w:b w:val="false"/>
                <w:bCs w:val="false"/>
                <w:i w:val="false"/>
                <w:iCs w:val="false"/>
                <w:color w:val="1A1A2E"/>
                <w:sz w:val="20"/>
                <w:szCs w:val="20"/>
              </w:rPr>
              <w:t xml:space="preserve">R$ 16.698,70/mês</w:t>
            </w:r>
          </w:p>
        </w:tc>
        <w:tc>
          <w:tcPr>
            <w:tcW w:type="dxa" w:w="2400"/>
            <w:tcBorders>
              <w:top w:val="single" w:color="C0C0C0" w:sz="1"/>
              <w:left w:val="single" w:color="C0C0C0" w:sz="1"/>
              <w:bottom w:val="single" w:color="C0C0C0" w:sz="1"/>
              <w:right w:val="single" w:color="C0C0C0" w:sz="1"/>
            </w:tcBorders>
            <w:tcMar>
              <w:top w:type="dxa" w:w="80"/>
              <w:left w:type="dxa" w:w="140"/>
              <w:bottom w:type="dxa" w:w="80"/>
              <w:right w:type="dxa" w:w="140"/>
            </w:tcMar>
            <w:vAlign w:val="center"/>
          </w:tcPr>
          <w:p>
            <w:r>
              <w:rPr>
                <w:rFonts w:ascii="Arial" w:cs="Arial" w:eastAsia="Arial" w:hAnsi="Arial"/>
                <w:b/>
                <w:bCs/>
                <w:i w:val="false"/>
                <w:iCs w:val="false"/>
                <w:color w:val="D4860A"/>
                <w:sz w:val="20"/>
                <w:szCs w:val="20"/>
              </w:rPr>
              <w:t xml:space="preserve">PARCIALMENTE deferido — R$ 3.000,00/mês</w:t>
            </w:r>
          </w:p>
        </w:tc>
        <w:tc>
          <w:tcPr>
            <w:tcW w:type="dxa" w:w="1806"/>
            <w:tcBorders>
              <w:top w:val="single" w:color="C0C0C0" w:sz="1"/>
              <w:left w:val="single" w:color="C0C0C0" w:sz="1"/>
              <w:bottom w:val="single" w:color="C0C0C0" w:sz="1"/>
              <w:right w:val="single" w:color="C0C0C0" w:sz="1"/>
            </w:tcBorders>
            <w:tcMar>
              <w:top w:type="dxa" w:w="80"/>
              <w:left w:type="dxa" w:w="140"/>
              <w:bottom w:type="dxa" w:w="80"/>
              <w:right w:type="dxa" w:w="140"/>
            </w:tcMar>
            <w:vAlign w:val="center"/>
          </w:tcPr>
          <w:p>
            <w:r>
              <w:rPr>
                <w:rFonts w:ascii="Arial" w:cs="Arial" w:eastAsia="Arial" w:hAnsi="Arial"/>
                <w:b w:val="false"/>
                <w:bCs w:val="false"/>
                <w:i w:val="false"/>
                <w:iCs w:val="false"/>
                <w:color w:val="D4860A"/>
                <w:sz w:val="20"/>
                <w:szCs w:val="20"/>
              </w:rPr>
              <w:t xml:space="preserve">Subdimensionado — ver análise</w:t>
            </w:r>
          </w:p>
        </w:tc>
      </w:tr>
      <w:tr>
        <w:tc>
          <w:tcPr>
            <w:tcW w:type="dxa" w:w="34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r>
              <w:rPr>
                <w:rFonts w:ascii="Arial" w:cs="Arial" w:eastAsia="Arial" w:hAnsi="Arial"/>
                <w:b w:val="false"/>
                <w:bCs w:val="false"/>
                <w:i w:val="false"/>
                <w:iCs w:val="false"/>
                <w:color w:val="1A1A2E"/>
                <w:sz w:val="20"/>
                <w:szCs w:val="20"/>
              </w:rPr>
              <w:t xml:space="preserve">Depreciação do veículo (30% do valor)</w:t>
            </w:r>
          </w:p>
        </w:tc>
        <w:tc>
          <w:tcPr>
            <w:tcW w:type="dxa" w:w="19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r>
              <w:rPr>
                <w:rFonts w:ascii="Arial" w:cs="Arial" w:eastAsia="Arial" w:hAnsi="Arial"/>
                <w:b w:val="false"/>
                <w:bCs w:val="false"/>
                <w:i w:val="false"/>
                <w:iCs w:val="false"/>
                <w:color w:val="1A1A2E"/>
                <w:sz w:val="20"/>
                <w:szCs w:val="20"/>
              </w:rPr>
              <w:t xml:space="preserve">R$ 24.000,00</w:t>
            </w:r>
          </w:p>
        </w:tc>
        <w:tc>
          <w:tcPr>
            <w:tcW w:type="dxa" w:w="24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r>
              <w:rPr>
                <w:rFonts w:ascii="Arial" w:cs="Arial" w:eastAsia="Arial" w:hAnsi="Arial"/>
                <w:b/>
                <w:bCs/>
                <w:i w:val="false"/>
                <w:iCs w:val="false"/>
                <w:color w:val="C0392B"/>
                <w:sz w:val="20"/>
                <w:szCs w:val="20"/>
              </w:rPr>
              <w:t xml:space="preserve">INDEFERIDO</w:t>
            </w:r>
          </w:p>
        </w:tc>
        <w:tc>
          <w:tcPr>
            <w:tcW w:type="dxa" w:w="1806"/>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r>
              <w:rPr>
                <w:rFonts w:ascii="Arial" w:cs="Arial" w:eastAsia="Arial" w:hAnsi="Arial"/>
                <w:b w:val="false"/>
                <w:bCs w:val="false"/>
                <w:i w:val="false"/>
                <w:iCs w:val="false"/>
                <w:color w:val="D4860A"/>
                <w:sz w:val="20"/>
                <w:szCs w:val="20"/>
              </w:rPr>
              <w:t xml:space="preserve">Discutível — ver análise</w:t>
            </w:r>
          </w:p>
        </w:tc>
      </w:tr>
      <w:tr>
        <w:tc>
          <w:tcPr>
            <w:tcW w:type="dxa" w:w="3400"/>
            <w:tcBorders>
              <w:top w:val="single" w:color="C0C0C0" w:sz="1"/>
              <w:left w:val="single" w:color="C0C0C0" w:sz="1"/>
              <w:bottom w:val="single" w:color="C0C0C0" w:sz="1"/>
              <w:right w:val="single" w:color="C0C0C0" w:sz="1"/>
            </w:tcBorders>
            <w:tcMar>
              <w:top w:type="dxa" w:w="80"/>
              <w:left w:type="dxa" w:w="140"/>
              <w:bottom w:type="dxa" w:w="80"/>
              <w:right w:type="dxa" w:w="140"/>
            </w:tcMar>
            <w:vAlign w:val="center"/>
          </w:tcPr>
          <w:p>
            <w:r>
              <w:rPr>
                <w:rFonts w:ascii="Arial" w:cs="Arial" w:eastAsia="Arial" w:hAnsi="Arial"/>
                <w:b w:val="false"/>
                <w:bCs w:val="false"/>
                <w:i w:val="false"/>
                <w:iCs w:val="false"/>
                <w:color w:val="1A1A2E"/>
                <w:sz w:val="20"/>
                <w:szCs w:val="20"/>
              </w:rPr>
              <w:t xml:space="preserve">Danos morais</w:t>
            </w:r>
          </w:p>
        </w:tc>
        <w:tc>
          <w:tcPr>
            <w:tcW w:type="dxa" w:w="1900"/>
            <w:tcBorders>
              <w:top w:val="single" w:color="C0C0C0" w:sz="1"/>
              <w:left w:val="single" w:color="C0C0C0" w:sz="1"/>
              <w:bottom w:val="single" w:color="C0C0C0" w:sz="1"/>
              <w:right w:val="single" w:color="C0C0C0" w:sz="1"/>
            </w:tcBorders>
            <w:tcMar>
              <w:top w:type="dxa" w:w="80"/>
              <w:left w:type="dxa" w:w="140"/>
              <w:bottom w:type="dxa" w:w="80"/>
              <w:right w:type="dxa" w:w="140"/>
            </w:tcMar>
            <w:vAlign w:val="center"/>
          </w:tcPr>
          <w:p>
            <w:r>
              <w:rPr>
                <w:rFonts w:ascii="Arial" w:cs="Arial" w:eastAsia="Arial" w:hAnsi="Arial"/>
                <w:b w:val="false"/>
                <w:bCs w:val="false"/>
                <w:i w:val="false"/>
                <w:iCs w:val="false"/>
                <w:color w:val="1A1A2E"/>
                <w:sz w:val="20"/>
                <w:szCs w:val="20"/>
              </w:rPr>
              <w:t xml:space="preserve">R$ 30.000,00</w:t>
            </w:r>
          </w:p>
        </w:tc>
        <w:tc>
          <w:tcPr>
            <w:tcW w:type="dxa" w:w="2400"/>
            <w:tcBorders>
              <w:top w:val="single" w:color="C0C0C0" w:sz="1"/>
              <w:left w:val="single" w:color="C0C0C0" w:sz="1"/>
              <w:bottom w:val="single" w:color="C0C0C0" w:sz="1"/>
              <w:right w:val="single" w:color="C0C0C0" w:sz="1"/>
            </w:tcBorders>
            <w:tcMar>
              <w:top w:type="dxa" w:w="80"/>
              <w:left w:type="dxa" w:w="140"/>
              <w:bottom w:type="dxa" w:w="80"/>
              <w:right w:type="dxa" w:w="140"/>
            </w:tcMar>
            <w:vAlign w:val="center"/>
          </w:tcPr>
          <w:p>
            <w:r>
              <w:rPr>
                <w:rFonts w:ascii="Arial" w:cs="Arial" w:eastAsia="Arial" w:hAnsi="Arial"/>
                <w:b/>
                <w:bCs/>
                <w:i w:val="false"/>
                <w:iCs w:val="false"/>
                <w:color w:val="C0392B"/>
                <w:sz w:val="20"/>
                <w:szCs w:val="20"/>
              </w:rPr>
              <w:t xml:space="preserve">INDEFERIDO</w:t>
            </w:r>
          </w:p>
        </w:tc>
        <w:tc>
          <w:tcPr>
            <w:tcW w:type="dxa" w:w="1806"/>
            <w:tcBorders>
              <w:top w:val="single" w:color="C0C0C0" w:sz="1"/>
              <w:left w:val="single" w:color="C0C0C0" w:sz="1"/>
              <w:bottom w:val="single" w:color="C0C0C0" w:sz="1"/>
              <w:right w:val="single" w:color="C0C0C0" w:sz="1"/>
            </w:tcBorders>
            <w:tcMar>
              <w:top w:type="dxa" w:w="80"/>
              <w:left w:type="dxa" w:w="140"/>
              <w:bottom w:type="dxa" w:w="80"/>
              <w:right w:type="dxa" w:w="140"/>
            </w:tcMar>
            <w:vAlign w:val="center"/>
          </w:tcPr>
          <w:p>
            <w:r>
              <w:rPr>
                <w:rFonts w:ascii="Arial" w:cs="Arial" w:eastAsia="Arial" w:hAnsi="Arial"/>
                <w:b w:val="false"/>
                <w:bCs w:val="false"/>
                <w:i w:val="false"/>
                <w:iCs w:val="false"/>
                <w:color w:val="D4860A"/>
                <w:sz w:val="20"/>
                <w:szCs w:val="20"/>
              </w:rPr>
              <w:t xml:space="preserve">Questionável — ver análise</w:t>
            </w:r>
          </w:p>
        </w:tc>
      </w:tr>
      <w:tr>
        <w:tc>
          <w:tcPr>
            <w:tcW w:type="dxa" w:w="34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r>
              <w:rPr>
                <w:rFonts w:ascii="Arial" w:cs="Arial" w:eastAsia="Arial" w:hAnsi="Arial"/>
                <w:b w:val="false"/>
                <w:bCs w:val="false"/>
                <w:i w:val="false"/>
                <w:iCs w:val="false"/>
                <w:color w:val="1A1A2E"/>
                <w:sz w:val="20"/>
                <w:szCs w:val="20"/>
              </w:rPr>
              <w:t xml:space="preserve">Perdas e danos (honorários contratuais — R$ 500,00 + 25% do proveito)</w:t>
            </w:r>
          </w:p>
        </w:tc>
        <w:tc>
          <w:tcPr>
            <w:tcW w:type="dxa" w:w="19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r>
              <w:rPr>
                <w:rFonts w:ascii="Arial" w:cs="Arial" w:eastAsia="Arial" w:hAnsi="Arial"/>
                <w:b w:val="false"/>
                <w:bCs w:val="false"/>
                <w:i w:val="false"/>
                <w:iCs w:val="false"/>
                <w:color w:val="1A1A2E"/>
                <w:sz w:val="20"/>
                <w:szCs w:val="20"/>
              </w:rPr>
              <w:t xml:space="preserve">R$ 500,00 + 25%</w:t>
            </w:r>
          </w:p>
        </w:tc>
        <w:tc>
          <w:tcPr>
            <w:tcW w:type="dxa" w:w="24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r>
              <w:rPr>
                <w:rFonts w:ascii="Arial" w:cs="Arial" w:eastAsia="Arial" w:hAnsi="Arial"/>
                <w:b/>
                <w:bCs/>
                <w:i w:val="false"/>
                <w:iCs w:val="false"/>
                <w:color w:val="C0392B"/>
                <w:sz w:val="20"/>
                <w:szCs w:val="20"/>
              </w:rPr>
              <w:t xml:space="preserve">INDEFERIDO</w:t>
            </w:r>
          </w:p>
        </w:tc>
        <w:tc>
          <w:tcPr>
            <w:tcW w:type="dxa" w:w="1806"/>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r>
              <w:rPr>
                <w:rFonts w:ascii="Arial" w:cs="Arial" w:eastAsia="Arial" w:hAnsi="Arial"/>
                <w:b w:val="false"/>
                <w:bCs w:val="false"/>
                <w:i w:val="false"/>
                <w:iCs w:val="false"/>
                <w:color w:val="1A1A2E"/>
                <w:sz w:val="20"/>
                <w:szCs w:val="20"/>
              </w:rPr>
              <w:t xml:space="preserve">Posição jurisprudencial consolidada contrária</w:t>
            </w:r>
          </w:p>
        </w:tc>
      </w:tr>
      <w:tr>
        <w:tc>
          <w:tcPr>
            <w:tcW w:type="dxa" w:w="3400"/>
            <w:tcBorders>
              <w:top w:val="single" w:color="C0C0C0" w:sz="1"/>
              <w:left w:val="single" w:color="C0C0C0" w:sz="1"/>
              <w:bottom w:val="single" w:color="C0C0C0" w:sz="1"/>
              <w:right w:val="single" w:color="C0C0C0" w:sz="1"/>
            </w:tcBorders>
            <w:tcMar>
              <w:top w:type="dxa" w:w="80"/>
              <w:left w:type="dxa" w:w="140"/>
              <w:bottom w:type="dxa" w:w="80"/>
              <w:right w:type="dxa" w:w="140"/>
            </w:tcMar>
            <w:vAlign w:val="center"/>
          </w:tcPr>
          <w:p>
            <w:r>
              <w:rPr>
                <w:rFonts w:ascii="Arial" w:cs="Arial" w:eastAsia="Arial" w:hAnsi="Arial"/>
                <w:b w:val="false"/>
                <w:bCs w:val="false"/>
                <w:i w:val="false"/>
                <w:iCs w:val="false"/>
                <w:color w:val="1A1A2E"/>
                <w:sz w:val="20"/>
                <w:szCs w:val="20"/>
              </w:rPr>
              <w:t xml:space="preserve">Tutela de urgência (bloqueio SISBAJUD)</w:t>
            </w:r>
          </w:p>
        </w:tc>
        <w:tc>
          <w:tcPr>
            <w:tcW w:type="dxa" w:w="1900"/>
            <w:tcBorders>
              <w:top w:val="single" w:color="C0C0C0" w:sz="1"/>
              <w:left w:val="single" w:color="C0C0C0" w:sz="1"/>
              <w:bottom w:val="single" w:color="C0C0C0" w:sz="1"/>
              <w:right w:val="single" w:color="C0C0C0" w:sz="1"/>
            </w:tcBorders>
            <w:tcMar>
              <w:top w:type="dxa" w:w="80"/>
              <w:left w:type="dxa" w:w="140"/>
              <w:bottom w:type="dxa" w:w="80"/>
              <w:right w:type="dxa" w:w="140"/>
            </w:tcMar>
            <w:vAlign w:val="center"/>
          </w:tcPr>
          <w:p>
            <w:r>
              <w:rPr>
                <w:rFonts w:ascii="Arial" w:cs="Arial" w:eastAsia="Arial" w:hAnsi="Arial"/>
                <w:b w:val="false"/>
                <w:bCs w:val="false"/>
                <w:i w:val="false"/>
                <w:iCs w:val="false"/>
                <w:color w:val="1A1A2E"/>
                <w:sz w:val="20"/>
                <w:szCs w:val="20"/>
              </w:rPr>
              <w:t xml:space="preserve">R$ 62.515,00</w:t>
            </w:r>
          </w:p>
        </w:tc>
        <w:tc>
          <w:tcPr>
            <w:tcW w:type="dxa" w:w="2400"/>
            <w:tcBorders>
              <w:top w:val="single" w:color="C0C0C0" w:sz="1"/>
              <w:left w:val="single" w:color="C0C0C0" w:sz="1"/>
              <w:bottom w:val="single" w:color="C0C0C0" w:sz="1"/>
              <w:right w:val="single" w:color="C0C0C0" w:sz="1"/>
            </w:tcBorders>
            <w:tcMar>
              <w:top w:type="dxa" w:w="80"/>
              <w:left w:type="dxa" w:w="140"/>
              <w:bottom w:type="dxa" w:w="80"/>
              <w:right w:type="dxa" w:w="140"/>
            </w:tcMar>
            <w:vAlign w:val="center"/>
          </w:tcPr>
          <w:p>
            <w:r>
              <w:rPr>
                <w:rFonts w:ascii="Arial" w:cs="Arial" w:eastAsia="Arial" w:hAnsi="Arial"/>
                <w:b/>
                <w:bCs/>
                <w:i w:val="false"/>
                <w:iCs w:val="false"/>
                <w:color w:val="C0392B"/>
                <w:sz w:val="20"/>
                <w:szCs w:val="20"/>
              </w:rPr>
              <w:t xml:space="preserve">INDEFERIDA (2x)</w:t>
            </w:r>
          </w:p>
        </w:tc>
        <w:tc>
          <w:tcPr>
            <w:tcW w:type="dxa" w:w="1806"/>
            <w:tcBorders>
              <w:top w:val="single" w:color="C0C0C0" w:sz="1"/>
              <w:left w:val="single" w:color="C0C0C0" w:sz="1"/>
              <w:bottom w:val="single" w:color="C0C0C0" w:sz="1"/>
              <w:right w:val="single" w:color="C0C0C0" w:sz="1"/>
            </w:tcBorders>
            <w:tcMar>
              <w:top w:type="dxa" w:w="80"/>
              <w:left w:type="dxa" w:w="140"/>
              <w:bottom w:type="dxa" w:w="80"/>
              <w:right w:type="dxa" w:w="140"/>
            </w:tcMar>
            <w:vAlign w:val="center"/>
          </w:tcPr>
          <w:p>
            <w:r>
              <w:rPr>
                <w:rFonts w:ascii="Arial" w:cs="Arial" w:eastAsia="Arial" w:hAnsi="Arial"/>
                <w:b w:val="false"/>
                <w:bCs w:val="false"/>
                <w:i w:val="false"/>
                <w:iCs w:val="false"/>
                <w:color w:val="1A1A2E"/>
                <w:sz w:val="20"/>
                <w:szCs w:val="20"/>
              </w:rPr>
              <w:t xml:space="preserve">Razoável — culpa discutida inicialmente</w:t>
            </w:r>
          </w:p>
        </w:tc>
      </w:tr>
    </w:tbl>
    <w:p>
      <w:pPr>
        <w:spacing w:before="160"/>
      </w:pPr>
    </w:p>
    <w:p>
      <w:pPr>
        <w:pStyle w:val="Heading1"/>
        <w:shd w:fill="1B3A6B" w:val="clear"/>
        <w:spacing w:after="160" w:before="400"/>
        <w:ind w:left="200" w:right="200"/>
      </w:pPr>
      <w:r>
        <w:rPr>
          <w:rFonts w:ascii="Arial" w:cs="Arial" w:eastAsia="Arial" w:hAnsi="Arial"/>
          <w:b/>
          <w:bCs/>
          <w:color w:val="FFFFFF"/>
          <w:sz w:val="30"/>
          <w:szCs w:val="30"/>
        </w:rPr>
        <w:t xml:space="preserve">5. ANÁLISE DE MÉRITO — RESPONSABILIDADE CIVIL</w:t>
      </w:r>
    </w:p>
    <w:p>
      <w:pPr>
        <w:pBdr>
          <w:bottom w:val="single" w:color="2E6DA4" w:sz="4"/>
        </w:pBdr>
        <w:spacing w:after="60" w:before="60"/>
      </w:pPr>
    </w:p>
    <w:p>
      <w:pPr>
        <w:pStyle w:val="Heading2"/>
        <w:pBdr>
          <w:left w:val="single" w:color="2E6DA4" w:sz="12"/>
        </w:pBdr>
        <w:spacing w:after="100" w:before="280"/>
        <w:ind w:left="200"/>
      </w:pPr>
      <w:r>
        <w:rPr>
          <w:rFonts w:ascii="Arial" w:cs="Arial" w:eastAsia="Arial" w:hAnsi="Arial"/>
          <w:b/>
          <w:bCs/>
          <w:color w:val="1B3A6B"/>
          <w:sz w:val="26"/>
          <w:szCs w:val="26"/>
        </w:rPr>
        <w:t xml:space="preserve">5.1 Culpa e Nexo Causal</w:t>
      </w:r>
    </w:p>
    <w:p>
      <w:pPr>
        <w:spacing w:after="80" w:before="80"/>
        <w:ind w:left="0"/>
      </w:pPr>
      <w:r>
        <w:rPr>
          <w:rFonts w:ascii="Arial" w:cs="Arial" w:eastAsia="Arial" w:hAnsi="Arial"/>
          <w:color w:val="1A1A2E"/>
          <w:sz w:val="22"/>
          <w:szCs w:val="22"/>
        </w:rPr>
        <w:t xml:space="preserve">A questão central do processo era a atribuição de responsabilidade pelo acidente. As rés, de início, negaram a culpa exclusiva do condutor Biaggi, apontando o boletim de ocorrência como inconclusivo (o croqui não identificava com precisão a área de impacto).</w:t>
      </w:r>
    </w:p>
    <w:p>
      <w:pPr>
        <w:spacing w:after="80" w:before="80"/>
      </w:pPr>
    </w:p>
    <w:p>
      <w:pPr>
        <w:spacing w:after="80" w:before="80"/>
        <w:ind w:left="0"/>
      </w:pPr>
      <w:r>
        <w:rPr>
          <w:rFonts w:ascii="Arial" w:cs="Arial" w:eastAsia="Arial" w:hAnsi="Arial"/>
          <w:color w:val="1A1A2E"/>
          <w:sz w:val="22"/>
          <w:szCs w:val="22"/>
        </w:rPr>
        <w:t xml:space="preserve">Contudo, a instrução probatória foi avassaladora em desfavor das rés:</w:t>
      </w:r>
    </w:p>
    <w:p>
      <w:pPr>
        <w:pStyle w:val="ListParagraph"/>
        <w:numPr>
          <w:ilvl w:val="0"/>
          <w:numId w:val="2"/>
        </w:numPr>
        <w:spacing w:after="60" w:before="60"/>
      </w:pPr>
      <w:r>
        <w:rPr>
          <w:rFonts w:ascii="Arial" w:cs="Arial" w:eastAsia="Arial" w:hAnsi="Arial"/>
          <w:color w:val="1A1A2E"/>
          <w:sz w:val="22"/>
          <w:szCs w:val="22"/>
        </w:rPr>
        <w:t xml:space="preserve">Laudo Pericial do IML nº 18.997/2021 (Exame de Local de Acidente de Trânsito e Morte): confirmou proibição de ultrapassagem no trecho; identificou o posicionamento dos veículos; concluiu pela dinâmica do sinistro tal qual narrada pelo autor</w:t>
      </w:r>
    </w:p>
    <w:p>
      <w:pPr>
        <w:pStyle w:val="ListParagraph"/>
        <w:numPr>
          <w:ilvl w:val="0"/>
          <w:numId w:val="2"/>
        </w:numPr>
        <w:spacing w:after="60" w:before="60"/>
      </w:pPr>
      <w:r>
        <w:rPr>
          <w:rFonts w:ascii="Arial" w:cs="Arial" w:eastAsia="Arial" w:hAnsi="Arial"/>
          <w:color w:val="1A1A2E"/>
          <w:sz w:val="22"/>
          <w:szCs w:val="22"/>
        </w:rPr>
        <w:t xml:space="preserve">Depoimento de Jackson Simioni Backes (passageiro sobrevivente do Strada): confirmou ultrapassagem em faixa contínua a aprox. 130–140 km/h; afirmou que a culpa foi do condutor Biaggi</w:t>
      </w:r>
    </w:p>
    <w:p>
      <w:pPr>
        <w:pStyle w:val="ListParagraph"/>
        <w:numPr>
          <w:ilvl w:val="0"/>
          <w:numId w:val="2"/>
        </w:numPr>
        <w:spacing w:after="60" w:before="60"/>
      </w:pPr>
      <w:r>
        <w:rPr>
          <w:rFonts w:ascii="Arial" w:cs="Arial" w:eastAsia="Arial" w:hAnsi="Arial"/>
          <w:color w:val="1A1A2E"/>
          <w:sz w:val="22"/>
          <w:szCs w:val="22"/>
        </w:rPr>
        <w:t xml:space="preserve">Depoimento de Marcos Aurelio P. de Medeiros (condutor do Ford Cargo — 3º envolvido): confirmou ultrapassagem proibida, velocidade de aprox. 150 km/h; seu veículo também foi atingido e reparado pela própria seguradora HDI</w:t>
      </w:r>
    </w:p>
    <w:p>
      <w:pPr>
        <w:pStyle w:val="ListParagraph"/>
        <w:numPr>
          <w:ilvl w:val="0"/>
          <w:numId w:val="2"/>
        </w:numPr>
        <w:spacing w:after="60" w:before="60"/>
      </w:pPr>
      <w:r>
        <w:rPr>
          <w:rFonts w:ascii="Arial" w:cs="Arial" w:eastAsia="Arial" w:hAnsi="Arial"/>
          <w:color w:val="1A1A2E"/>
          <w:sz w:val="22"/>
          <w:szCs w:val="22"/>
        </w:rPr>
        <w:t xml:space="preserve">Depoimento de Ricardo A. Mesquita (sócio da Ré): confessou que Biaggi era funcionário da empresa; reconheceu culpa — 'o culpado foi o rapaz que estava dirigindo a Strada'</w:t>
      </w:r>
    </w:p>
    <w:p>
      <w:pPr>
        <w:pStyle w:val="ListParagraph"/>
        <w:numPr>
          <w:ilvl w:val="0"/>
          <w:numId w:val="2"/>
        </w:numPr>
        <w:spacing w:after="60" w:before="60"/>
      </w:pPr>
      <w:r>
        <w:rPr>
          <w:rFonts w:ascii="Arial" w:cs="Arial" w:eastAsia="Arial" w:hAnsi="Arial"/>
          <w:color w:val="1A1A2E"/>
          <w:sz w:val="22"/>
          <w:szCs w:val="22"/>
        </w:rPr>
        <w:t xml:space="preserve">Condutor Biaggi: infringiu o art. 28 do CTB (domínio do veículo), o art. 210 do CTB (ultrapassagem proibida) e transitou em velocidade quase o dobro do permitido</w:t>
      </w:r>
    </w:p>
    <w:p>
      <w:pPr>
        <w:pBdr>
          <w:left w:val="single" w:color="D4860A" w:sz="12"/>
        </w:pBdr>
        <w:shd w:fill="FFF9EC" w:val="clear"/>
        <w:spacing w:after="120" w:before="120"/>
        <w:ind w:left="360"/>
      </w:pPr>
      <w:r>
        <w:rPr>
          <w:rFonts w:ascii="Arial" w:cs="Arial" w:eastAsia="Arial" w:hAnsi="Arial"/>
          <w:i/>
          <w:iCs/>
          <w:color w:val="1A1A2E"/>
          <w:sz w:val="21"/>
          <w:szCs w:val="21"/>
        </w:rPr>
        <w:t xml:space="preserve">Conclusão jurídica: A culpa exclusiva do condutor da Fiat Strada está configurada com solidez probatória ímpar, sustentada por laudo pericial, testemunhas oculares e confissão do próprio representante da empresa proprietária do veículo causador.</w:t>
      </w:r>
    </w:p>
    <w:p>
      <w:pPr>
        <w:pStyle w:val="Heading2"/>
        <w:pBdr>
          <w:left w:val="single" w:color="2E6DA4" w:sz="12"/>
        </w:pBdr>
        <w:spacing w:after="100" w:before="280"/>
        <w:ind w:left="200"/>
      </w:pPr>
      <w:r>
        <w:rPr>
          <w:rFonts w:ascii="Arial" w:cs="Arial" w:eastAsia="Arial" w:hAnsi="Arial"/>
          <w:b/>
          <w:bCs/>
          <w:color w:val="1B3A6B"/>
          <w:sz w:val="26"/>
          <w:szCs w:val="26"/>
        </w:rPr>
        <w:t xml:space="preserve">5.2 Responsabilidade da Ré Mesquita (Empregadora)</w:t>
      </w:r>
    </w:p>
    <w:p>
      <w:pPr>
        <w:spacing w:after="80" w:before="80"/>
        <w:ind w:left="0"/>
      </w:pPr>
      <w:r>
        <w:rPr>
          <w:rFonts w:ascii="Arial" w:cs="Arial" w:eastAsia="Arial" w:hAnsi="Arial"/>
          <w:color w:val="1A1A2E"/>
          <w:sz w:val="22"/>
          <w:szCs w:val="22"/>
        </w:rPr>
        <w:t xml:space="preserve">O art. 932, III, do Código Civil impõe responsabilidade objetiva ao empregador pelos atos de seus prepostos no exercício das atividades laborais. Biaggi conduzia o veículo da empresa em motivo de serviço (BATEU registra 'deslocamento: serviço'). A responsabilidade da Ré Mesquita é inafastável.</w:t>
      </w:r>
    </w:p>
    <w:p>
      <w:pPr>
        <w:pBdr>
          <w:left w:val="single" w:color="D4860A" w:sz="12"/>
        </w:pBdr>
        <w:shd w:fill="FFF9EC" w:val="clear"/>
        <w:spacing w:after="120" w:before="120"/>
        <w:ind w:left="360"/>
      </w:pPr>
      <w:r>
        <w:rPr>
          <w:rFonts w:ascii="Arial" w:cs="Arial" w:eastAsia="Arial" w:hAnsi="Arial"/>
          <w:i/>
          <w:iCs/>
          <w:color w:val="1A1A2E"/>
          <w:sz w:val="21"/>
          <w:szCs w:val="21"/>
        </w:rPr>
        <w:t xml:space="preserve">Ponto crítico: A defesa tentou negar o vínculo empregatício de Biaggi, mas o próprio sócio Ricardo Mesquita confirmou em audiência que 'era funcionário da empresa'. Este depoimento é prova direta e suficiente do liame empregatício.</w:t>
      </w:r>
    </w:p>
    <w:p>
      <w:pPr>
        <w:pStyle w:val="Heading2"/>
        <w:pBdr>
          <w:left w:val="single" w:color="2E6DA4" w:sz="12"/>
        </w:pBdr>
        <w:spacing w:after="100" w:before="280"/>
        <w:ind w:left="200"/>
      </w:pPr>
      <w:r>
        <w:rPr>
          <w:rFonts w:ascii="Arial" w:cs="Arial" w:eastAsia="Arial" w:hAnsi="Arial"/>
          <w:b/>
          <w:bCs/>
          <w:color w:val="1B3A6B"/>
          <w:sz w:val="26"/>
          <w:szCs w:val="26"/>
        </w:rPr>
        <w:t xml:space="preserve">5.3 Responsabilidade da HDI Seguros</w:t>
      </w:r>
    </w:p>
    <w:p>
      <w:pPr>
        <w:spacing w:after="80" w:before="80"/>
        <w:ind w:left="0"/>
      </w:pPr>
      <w:r>
        <w:rPr>
          <w:rFonts w:ascii="Arial" w:cs="Arial" w:eastAsia="Arial" w:hAnsi="Arial"/>
          <w:color w:val="1A1A2E"/>
          <w:sz w:val="22"/>
          <w:szCs w:val="22"/>
        </w:rPr>
        <w:t xml:space="preserve">A seguradora integrou o polo passivo por força do contrato de RC facultativa (art. 757 do CC). Sua responsabilidade é solidária com a segurada, até o limite da apólice para cada rubrica.</w:t>
      </w:r>
    </w:p>
    <w:p>
      <w:pPr>
        <w:pStyle w:val="ListParagraph"/>
        <w:numPr>
          <w:ilvl w:val="0"/>
          <w:numId w:val="2"/>
        </w:numPr>
        <w:spacing w:after="60" w:before="60"/>
      </w:pPr>
      <w:r>
        <w:rPr>
          <w:rFonts w:ascii="Arial" w:cs="Arial" w:eastAsia="Arial" w:hAnsi="Arial"/>
          <w:color w:val="1A1A2E"/>
          <w:sz w:val="22"/>
          <w:szCs w:val="22"/>
        </w:rPr>
        <w:t xml:space="preserve">A própria seguradora reconheceu o sinistro ao enviar guincho, indicar mecânica credenciada e formular propostas de acordo (R$ 43.739,15 → R$ 55.000,00 → R$ 66.727,50)</w:t>
      </w:r>
    </w:p>
    <w:p>
      <w:pPr>
        <w:pStyle w:val="ListParagraph"/>
        <w:numPr>
          <w:ilvl w:val="0"/>
          <w:numId w:val="2"/>
        </w:numPr>
        <w:spacing w:after="60" w:before="60"/>
      </w:pPr>
      <w:r>
        <w:rPr>
          <w:rFonts w:ascii="Arial" w:cs="Arial" w:eastAsia="Arial" w:hAnsi="Arial"/>
          <w:color w:val="1A1A2E"/>
          <w:sz w:val="22"/>
          <w:szCs w:val="22"/>
        </w:rPr>
        <w:t xml:space="preserve">Danos materiais: limitada ao valor previsto na apólice para danos materiais</w:t>
      </w:r>
    </w:p>
    <w:p>
      <w:pPr>
        <w:pStyle w:val="ListParagraph"/>
        <w:numPr>
          <w:ilvl w:val="0"/>
          <w:numId w:val="2"/>
        </w:numPr>
        <w:spacing w:after="60" w:before="60"/>
      </w:pPr>
      <w:r>
        <w:rPr>
          <w:rFonts w:ascii="Arial" w:cs="Arial" w:eastAsia="Arial" w:hAnsi="Arial"/>
          <w:color w:val="1A1A2E"/>
          <w:sz w:val="22"/>
          <w:szCs w:val="22"/>
        </w:rPr>
        <w:t xml:space="preserve">Danos morais: a apólice previa cobertura de R$ 70.000,00 para 'danos morais' — portanto, eventual condenação em danos morais estaria coberta</w:t>
      </w:r>
    </w:p>
    <w:p>
      <w:pPr>
        <w:pStyle w:val="ListParagraph"/>
        <w:numPr>
          <w:ilvl w:val="0"/>
          <w:numId w:val="2"/>
        </w:numPr>
        <w:spacing w:after="60" w:before="60"/>
      </w:pPr>
      <w:r>
        <w:rPr>
          <w:rFonts w:ascii="Arial" w:cs="Arial" w:eastAsia="Arial" w:hAnsi="Arial"/>
          <w:color w:val="1A1A2E"/>
          <w:sz w:val="22"/>
          <w:szCs w:val="22"/>
        </w:rPr>
        <w:t xml:space="preserve">Depreciação: a HDI informou cláusula expressa de exclusão de cobertura para depreciação — vedação legítima e de fácil compreensão (conf. sentença)</w:t>
      </w:r>
    </w:p>
    <w:p>
      <w:pPr>
        <w:spacing w:before="160"/>
      </w:pPr>
    </w:p>
    <w:p>
      <w:pPr>
        <w:pStyle w:val="Heading1"/>
        <w:shd w:fill="1B3A6B" w:val="clear"/>
        <w:spacing w:after="160" w:before="400"/>
        <w:ind w:left="200" w:right="200"/>
      </w:pPr>
      <w:r>
        <w:rPr>
          <w:rFonts w:ascii="Arial" w:cs="Arial" w:eastAsia="Arial" w:hAnsi="Arial"/>
          <w:b/>
          <w:bCs/>
          <w:color w:val="FFFFFF"/>
          <w:sz w:val="30"/>
          <w:szCs w:val="30"/>
        </w:rPr>
        <w:t xml:space="preserve">6. ANÁLISE DETALHADA DOS DANOS</w:t>
      </w:r>
    </w:p>
    <w:p>
      <w:pPr>
        <w:pBdr>
          <w:bottom w:val="single" w:color="2E6DA4" w:sz="4"/>
        </w:pBdr>
        <w:spacing w:after="60" w:before="60"/>
      </w:pPr>
    </w:p>
    <w:p>
      <w:pPr>
        <w:pStyle w:val="Heading2"/>
        <w:pBdr>
          <w:left w:val="single" w:color="2E6DA4" w:sz="12"/>
        </w:pBdr>
        <w:spacing w:after="100" w:before="280"/>
        <w:ind w:left="200"/>
      </w:pPr>
      <w:r>
        <w:rPr>
          <w:rFonts w:ascii="Arial" w:cs="Arial" w:eastAsia="Arial" w:hAnsi="Arial"/>
          <w:b/>
          <w:bCs/>
          <w:color w:val="1B3A6B"/>
          <w:sz w:val="26"/>
          <w:szCs w:val="26"/>
        </w:rPr>
        <w:t xml:space="preserve">6.1 Danos Emergentes — Conserto do Caminhão</w:t>
      </w:r>
    </w:p>
    <w:p>
      <w:pPr>
        <w:spacing w:after="80" w:before="200"/>
      </w:pPr>
      <w:r>
        <w:rPr>
          <w:rFonts w:ascii="Arial" w:cs="Arial" w:eastAsia="Arial" w:hAnsi="Arial"/>
          <w:b/>
          <w:bCs/>
          <w:color w:val="2E6DA4"/>
          <w:sz w:val="22"/>
          <w:szCs w:val="22"/>
          <w:u w:val="single"/>
        </w:rPr>
        <w:t xml:space="preserve">Posição do Autor</w:t>
      </w:r>
    </w:p>
    <w:p>
      <w:pPr>
        <w:pStyle w:val="ListParagraph"/>
        <w:numPr>
          <w:ilvl w:val="0"/>
          <w:numId w:val="2"/>
        </w:numPr>
        <w:spacing w:after="60" w:before="60"/>
      </w:pPr>
      <w:r>
        <w:rPr>
          <w:rFonts w:ascii="Arial" w:cs="Arial" w:eastAsia="Arial" w:hAnsi="Arial"/>
          <w:color w:val="1A1A2E"/>
          <w:sz w:val="22"/>
          <w:szCs w:val="22"/>
        </w:rPr>
        <w:t xml:space="preserve">Caminhão Mercedes Benz L1113 (1971), com melhorias substanciais realizadas em jan/2021 no valor de R$ 33.970,00: cabine 'cara preta', chassi alongado, tanques duplos, motor turbinado, intercooler, diferencial longo, LDA</w:t>
      </w:r>
    </w:p>
    <w:p>
      <w:pPr>
        <w:pStyle w:val="ListParagraph"/>
        <w:numPr>
          <w:ilvl w:val="0"/>
          <w:numId w:val="2"/>
        </w:numPr>
        <w:spacing w:after="60" w:before="60"/>
      </w:pPr>
      <w:r>
        <w:rPr>
          <w:rFonts w:ascii="Arial" w:cs="Arial" w:eastAsia="Arial" w:hAnsi="Arial"/>
          <w:color w:val="1A1A2E"/>
          <w:sz w:val="22"/>
          <w:szCs w:val="22"/>
        </w:rPr>
        <w:t xml:space="preserve">Valor de mercado antes do acidente: mínimo R$ 80.000,00 — confirmado por três declarações de empresas do ramo e anúncios de veículos similares</w:t>
      </w:r>
    </w:p>
    <w:p>
      <w:pPr>
        <w:pStyle w:val="ListParagraph"/>
        <w:numPr>
          <w:ilvl w:val="0"/>
          <w:numId w:val="2"/>
        </w:numPr>
        <w:spacing w:after="60" w:before="60"/>
      </w:pPr>
      <w:r>
        <w:rPr>
          <w:rFonts w:ascii="Arial" w:cs="Arial" w:eastAsia="Arial" w:hAnsi="Arial"/>
          <w:color w:val="1A1A2E"/>
          <w:sz w:val="22"/>
          <w:szCs w:val="22"/>
        </w:rPr>
        <w:t xml:space="preserve">Orçamento de conserto preliminar (mecânica credenciada pela própria HDI — Auto Peças Truck Center Goioere): R$ 62.515,00 em 31/05/2021, podendo ser maior após abertura do motor</w:t>
      </w:r>
    </w:p>
    <w:p>
      <w:pPr>
        <w:pStyle w:val="ListParagraph"/>
        <w:numPr>
          <w:ilvl w:val="0"/>
          <w:numId w:val="2"/>
        </w:numPr>
        <w:spacing w:after="60" w:before="60"/>
      </w:pPr>
      <w:r>
        <w:rPr>
          <w:rFonts w:ascii="Arial" w:cs="Arial" w:eastAsia="Arial" w:hAnsi="Arial"/>
          <w:color w:val="1A1A2E"/>
          <w:sz w:val="22"/>
          <w:szCs w:val="22"/>
        </w:rPr>
        <w:t xml:space="preserve">Impossibilidade de obter outros orçamentos: veículo retido na mecânica credenciada da HDI; autor sem recursos para guincho</w:t>
      </w:r>
    </w:p>
    <w:p>
      <w:pPr>
        <w:spacing w:after="80" w:before="200"/>
      </w:pPr>
      <w:r>
        <w:rPr>
          <w:rFonts w:ascii="Arial" w:cs="Arial" w:eastAsia="Arial" w:hAnsi="Arial"/>
          <w:b/>
          <w:bCs/>
          <w:color w:val="2E6DA4"/>
          <w:sz w:val="22"/>
          <w:szCs w:val="22"/>
          <w:u w:val="single"/>
        </w:rPr>
        <w:t xml:space="preserve">Posição das Rés</w:t>
      </w:r>
    </w:p>
    <w:p>
      <w:pPr>
        <w:pStyle w:val="ListParagraph"/>
        <w:numPr>
          <w:ilvl w:val="0"/>
          <w:numId w:val="2"/>
        </w:numPr>
        <w:spacing w:after="60" w:before="60"/>
      </w:pPr>
      <w:r>
        <w:rPr>
          <w:rFonts w:ascii="Arial" w:cs="Arial" w:eastAsia="Arial" w:hAnsi="Arial"/>
          <w:color w:val="1A1A2E"/>
          <w:sz w:val="22"/>
          <w:szCs w:val="22"/>
        </w:rPr>
        <w:t xml:space="preserve">Ré Mesquita: negou culpa, logo, negou o dever de indenizar</w:t>
      </w:r>
    </w:p>
    <w:p>
      <w:pPr>
        <w:pStyle w:val="ListParagraph"/>
        <w:numPr>
          <w:ilvl w:val="0"/>
          <w:numId w:val="2"/>
        </w:numPr>
        <w:spacing w:after="60" w:before="60"/>
      </w:pPr>
      <w:r>
        <w:rPr>
          <w:rFonts w:ascii="Arial" w:cs="Arial" w:eastAsia="Arial" w:hAnsi="Arial"/>
          <w:color w:val="1A1A2E"/>
          <w:sz w:val="22"/>
          <w:szCs w:val="22"/>
        </w:rPr>
        <w:t xml:space="preserve">HDI: o B.O. indicava 'avaria de média monta' no V2, contestando a extensão dos danos; propôs 'indenização integral' de R$ 43.739,15 (sem autorizar abertura do motor para orçamento); alegou que os danos pleiteados não foram comprovados</w:t>
      </w:r>
    </w:p>
    <w:p>
      <w:pPr>
        <w:spacing w:after="80" w:before="200"/>
      </w:pPr>
      <w:r>
        <w:rPr>
          <w:rFonts w:ascii="Arial" w:cs="Arial" w:eastAsia="Arial" w:hAnsi="Arial"/>
          <w:b/>
          <w:bCs/>
          <w:color w:val="2E6DA4"/>
          <w:sz w:val="22"/>
          <w:szCs w:val="22"/>
          <w:u w:val="single"/>
        </w:rPr>
        <w:t xml:space="preserve">Decisão e Análise Crítica</w:t>
      </w:r>
    </w:p>
    <w:p>
      <w:pPr>
        <w:spacing w:after="80" w:before="80"/>
        <w:ind w:left="0"/>
      </w:pPr>
      <w:r>
        <w:rPr>
          <w:rFonts w:ascii="Arial" w:cs="Arial" w:eastAsia="Arial" w:hAnsi="Arial"/>
          <w:color w:val="1A1A2E"/>
          <w:sz w:val="22"/>
          <w:szCs w:val="22"/>
        </w:rPr>
        <w:t xml:space="preserve">A sentença deferiu o conserto integral, observando o orçamento preliminar mínimo de R$ 62.515,00, com prazo de 30 dias para início e 60 para conclusão, sob pena de autorizar o conserto diretamente pelo autor.</w:t>
      </w:r>
    </w:p>
    <w:p>
      <w:pPr>
        <w:pBdr>
          <w:left w:val="single" w:color="D4860A" w:sz="12"/>
        </w:pBdr>
        <w:shd w:fill="FFF9EC" w:val="clear"/>
        <w:spacing w:after="120" w:before="120"/>
        <w:ind w:left="360"/>
      </w:pPr>
      <w:r>
        <w:rPr>
          <w:rFonts w:ascii="Arial" w:cs="Arial" w:eastAsia="Arial" w:hAnsi="Arial"/>
          <w:i/>
          <w:iCs/>
          <w:color w:val="1A1A2E"/>
          <w:sz w:val="21"/>
          <w:szCs w:val="21"/>
        </w:rPr>
        <w:t xml:space="preserve">PONTO FORTE: A decisão de condenar ao 'conserto integral' e não a um valor fixo é tecnicamente superior, pois vincula as rés ao resultado (restitutio in integrum), absorvendo os valores adicionais que surgirão após abertura do motor. A ressalva 'orçamento preliminar mínimo' é correta.</w:t>
      </w:r>
    </w:p>
    <w:p>
      <w:pPr>
        <w:pBdr>
          <w:left w:val="single" w:color="D4860A" w:sz="12"/>
        </w:pBdr>
        <w:shd w:fill="FFF9EC" w:val="clear"/>
        <w:spacing w:after="120" w:before="120"/>
        <w:ind w:left="360"/>
      </w:pPr>
      <w:r>
        <w:rPr>
          <w:rFonts w:ascii="Arial" w:cs="Arial" w:eastAsia="Arial" w:hAnsi="Arial"/>
          <w:i/>
          <w:iCs/>
          <w:color w:val="1A1A2E"/>
          <w:sz w:val="21"/>
          <w:szCs w:val="21"/>
        </w:rPr>
        <w:t xml:space="preserve">PONTO DE ATENÇÃO: A sentença não fixou mecanismo de fiscalização ou perícia caso as rés se recusem a executar o conserto ou o façam de forma inadequada. Recomenda-se acompanhar rigorosamente o cumprimento, pois o veículo já estava com elevado grau de deterioração adicional pelo tempo de exposição no pátio desde fev/2021.</w:t>
      </w:r>
    </w:p>
    <w:p>
      <w:pPr>
        <w:pStyle w:val="Heading2"/>
        <w:pBdr>
          <w:left w:val="single" w:color="2E6DA4" w:sz="12"/>
        </w:pBdr>
        <w:spacing w:after="100" w:before="280"/>
        <w:ind w:left="200"/>
      </w:pPr>
      <w:r>
        <w:rPr>
          <w:rFonts w:ascii="Arial" w:cs="Arial" w:eastAsia="Arial" w:hAnsi="Arial"/>
          <w:b/>
          <w:bCs/>
          <w:color w:val="1B3A6B"/>
          <w:sz w:val="26"/>
          <w:szCs w:val="26"/>
        </w:rPr>
        <w:t xml:space="preserve">6.2 Lucros Cessantes</w:t>
      </w:r>
    </w:p>
    <w:p>
      <w:pPr>
        <w:spacing w:after="80" w:before="200"/>
      </w:pPr>
      <w:r>
        <w:rPr>
          <w:rFonts w:ascii="Arial" w:cs="Arial" w:eastAsia="Arial" w:hAnsi="Arial"/>
          <w:b/>
          <w:bCs/>
          <w:color w:val="2E6DA4"/>
          <w:sz w:val="22"/>
          <w:szCs w:val="22"/>
          <w:u w:val="single"/>
        </w:rPr>
        <w:t xml:space="preserve">Posição do Autor — Pleito de R$ 16.698,70/mês</w:t>
      </w:r>
    </w:p>
    <w:p>
      <w:pPr>
        <w:spacing w:after="80" w:before="80"/>
        <w:ind w:left="0"/>
      </w:pPr>
      <w:r>
        <w:rPr>
          <w:rFonts w:ascii="Arial" w:cs="Arial" w:eastAsia="Arial" w:hAnsi="Arial"/>
          <w:color w:val="1A1A2E"/>
          <w:sz w:val="22"/>
          <w:szCs w:val="22"/>
        </w:rPr>
        <w:t xml:space="preserve">O autor alegava auferir renda mensal média de R$ 16.698,70, composta por:</w:t>
      </w:r>
    </w:p>
    <w:p>
      <w:pPr>
        <w:pStyle w:val="ListParagraph"/>
        <w:numPr>
          <w:ilvl w:val="0"/>
          <w:numId w:val="2"/>
        </w:numPr>
        <w:spacing w:after="60" w:before="60"/>
      </w:pPr>
      <w:r>
        <w:rPr>
          <w:rFonts w:ascii="Arial" w:cs="Arial" w:eastAsia="Arial" w:hAnsi="Arial"/>
          <w:color w:val="1A1A2E"/>
          <w:sz w:val="22"/>
          <w:szCs w:val="22"/>
        </w:rPr>
        <w:t xml:space="preserve">R$ 4.000,00 — fretes de mudanças locais/interestaduais (informal — dinheiro vivo)</w:t>
      </w:r>
    </w:p>
    <w:p>
      <w:pPr>
        <w:pStyle w:val="ListParagraph"/>
        <w:numPr>
          <w:ilvl w:val="0"/>
          <w:numId w:val="2"/>
        </w:numPr>
        <w:spacing w:after="60" w:before="60"/>
      </w:pPr>
      <w:r>
        <w:rPr>
          <w:rFonts w:ascii="Arial" w:cs="Arial" w:eastAsia="Arial" w:hAnsi="Arial"/>
          <w:color w:val="1A1A2E"/>
          <w:sz w:val="22"/>
          <w:szCs w:val="22"/>
        </w:rPr>
        <w:t xml:space="preserve">R$ 12.698,70 — fretes para Empresa Probon Indústria de Colchões Ltda e mudanças da empresa Mudanças Holand (notas fiscais e recibos juntados)</w:t>
      </w:r>
    </w:p>
    <w:p>
      <w:pPr>
        <w:spacing w:after="80" w:before="80"/>
        <w:ind w:left="0"/>
      </w:pPr>
      <w:r>
        <w:rPr>
          <w:rFonts w:ascii="Arial" w:cs="Arial" w:eastAsia="Arial" w:hAnsi="Arial"/>
          <w:color w:val="1A1A2E"/>
          <w:sz w:val="22"/>
          <w:szCs w:val="22"/>
        </w:rPr>
        <w:t xml:space="preserve">Documentação: Recibos da Probon (nov/2020: R$ 10.432,80; jan/2021: R$ 2.355,20; fev/2021: R$ 5.936,30) e declarações de rendimentos.</w:t>
      </w:r>
    </w:p>
    <w:p>
      <w:pPr>
        <w:spacing w:after="80" w:before="200"/>
      </w:pPr>
      <w:r>
        <w:rPr>
          <w:rFonts w:ascii="Arial" w:cs="Arial" w:eastAsia="Arial" w:hAnsi="Arial"/>
          <w:b/>
          <w:bCs/>
          <w:color w:val="2E6DA4"/>
          <w:sz w:val="22"/>
          <w:szCs w:val="22"/>
          <w:u w:val="single"/>
        </w:rPr>
        <w:t xml:space="preserve">Análise dos Recibos da Probon</w:t>
      </w:r>
    </w:p>
    <w:p>
      <w:pPr>
        <w:spacing w:after="80" w:before="80"/>
        <w:ind w:left="0"/>
      </w:pPr>
      <w:r>
        <w:rPr>
          <w:rFonts w:ascii="Arial" w:cs="Arial" w:eastAsia="Arial" w:hAnsi="Arial"/>
          <w:color w:val="1A1A2E"/>
          <w:sz w:val="22"/>
          <w:szCs w:val="22"/>
        </w:rPr>
        <w:t xml:space="preserve">O juízo fez a seguinte análise aritmética:</w:t>
      </w:r>
    </w:p>
    <w:p>
      <w:pPr>
        <w:pStyle w:val="ListParagraph"/>
        <w:numPr>
          <w:ilvl w:val="0"/>
          <w:numId w:val="2"/>
        </w:numPr>
        <w:spacing w:after="60" w:before="60"/>
      </w:pPr>
      <w:r>
        <w:rPr>
          <w:rFonts w:ascii="Arial" w:cs="Arial" w:eastAsia="Arial" w:hAnsi="Arial"/>
          <w:color w:val="1A1A2E"/>
          <w:sz w:val="22"/>
          <w:szCs w:val="22"/>
        </w:rPr>
        <w:t xml:space="preserve">Novembro/2020: R$ 10.432,80 — mês atípico (fim de ano, maior volume)</w:t>
      </w:r>
    </w:p>
    <w:p>
      <w:pPr>
        <w:pStyle w:val="ListParagraph"/>
        <w:numPr>
          <w:ilvl w:val="0"/>
          <w:numId w:val="2"/>
        </w:numPr>
        <w:spacing w:after="60" w:before="60"/>
      </w:pPr>
      <w:r>
        <w:rPr>
          <w:rFonts w:ascii="Arial" w:cs="Arial" w:eastAsia="Arial" w:hAnsi="Arial"/>
          <w:color w:val="1A1A2E"/>
          <w:sz w:val="22"/>
          <w:szCs w:val="22"/>
        </w:rPr>
        <w:t xml:space="preserve">Janeiro/2021: R$ 2.355,20 — apenas uma viagem</w:t>
      </w:r>
    </w:p>
    <w:p>
      <w:pPr>
        <w:pStyle w:val="ListParagraph"/>
        <w:numPr>
          <w:ilvl w:val="0"/>
          <w:numId w:val="2"/>
        </w:numPr>
        <w:spacing w:after="60" w:before="60"/>
      </w:pPr>
      <w:r>
        <w:rPr>
          <w:rFonts w:ascii="Arial" w:cs="Arial" w:eastAsia="Arial" w:hAnsi="Arial"/>
          <w:color w:val="1A1A2E"/>
          <w:sz w:val="22"/>
          <w:szCs w:val="22"/>
        </w:rPr>
        <w:t xml:space="preserve">Fevereiro/2021: R$ 5.936,30 — referente ao período anterior ao acidente</w:t>
      </w:r>
    </w:p>
    <w:p>
      <w:pPr>
        <w:pStyle w:val="ListParagraph"/>
        <w:numPr>
          <w:ilvl w:val="0"/>
          <w:numId w:val="2"/>
        </w:numPr>
        <w:spacing w:after="60" w:before="60"/>
      </w:pPr>
      <w:r>
        <w:rPr>
          <w:rFonts w:ascii="Arial" w:cs="Arial" w:eastAsia="Arial" w:hAnsi="Arial"/>
          <w:color w:val="1A1A2E"/>
          <w:sz w:val="22"/>
          <w:szCs w:val="22"/>
        </w:rPr>
        <w:t xml:space="preserve">Média por viagem: R$ 2.608,20 (nov) a R$ 2.968,15 (fev)</w:t>
      </w:r>
    </w:p>
    <w:p>
      <w:pPr>
        <w:spacing w:after="80" w:before="200"/>
      </w:pPr>
      <w:r>
        <w:rPr>
          <w:rFonts w:ascii="Arial" w:cs="Arial" w:eastAsia="Arial" w:hAnsi="Arial"/>
          <w:b/>
          <w:bCs/>
          <w:color w:val="2E6DA4"/>
          <w:sz w:val="22"/>
          <w:szCs w:val="22"/>
          <w:u w:val="single"/>
        </w:rPr>
        <w:t xml:space="preserve">Decisão do Juízo</w:t>
      </w:r>
    </w:p>
    <w:p>
      <w:pPr>
        <w:spacing w:after="80" w:before="80"/>
        <w:ind w:left="0"/>
      </w:pPr>
      <w:r>
        <w:rPr>
          <w:rFonts w:ascii="Arial" w:cs="Arial" w:eastAsia="Arial" w:hAnsi="Arial"/>
          <w:color w:val="1A1A2E"/>
          <w:sz w:val="22"/>
          <w:szCs w:val="22"/>
        </w:rPr>
        <w:t xml:space="preserve">O juízo fixou os lucros cessantes em R$ 3.000,00 mensais, desde o acidente até o efetivo conserto, corrigido pelo IGP-M e juros de mora de 1% ao mês desde a data do acidente.</w:t>
      </w:r>
    </w:p>
    <w:p>
      <w:pPr>
        <w:spacing w:after="80" w:before="80"/>
        <w:ind w:left="0"/>
      </w:pPr>
      <w:r>
        <w:rPr>
          <w:rFonts w:ascii="Arial" w:cs="Arial" w:eastAsia="Arial" w:hAnsi="Arial"/>
          <w:color w:val="1A1A2E"/>
          <w:sz w:val="22"/>
          <w:szCs w:val="22"/>
        </w:rPr>
        <w:t xml:space="preserve">Fundamentação: o juízo considerou apenas uma viagem mensal mínima à Probon e ignorou os R$ 4.000,00 de mudanças autônomas (empresa Holand — declaração de empresa familiar, pai do autor). Os documentos apresentaram valores brutos sem dedução de custos.</w:t>
      </w:r>
    </w:p>
    <w:p>
      <w:pPr>
        <w:pBdr>
          <w:left w:val="single" w:color="D4860A" w:sz="12"/>
        </w:pBdr>
        <w:shd w:fill="FFF9EC" w:val="clear"/>
        <w:spacing w:after="120" w:before="120"/>
        <w:ind w:left="360"/>
      </w:pPr>
      <w:r>
        <w:rPr>
          <w:rFonts w:ascii="Arial" w:cs="Arial" w:eastAsia="Arial" w:hAnsi="Arial"/>
          <w:i/>
          <w:iCs/>
          <w:color w:val="1A1A2E"/>
          <w:sz w:val="21"/>
          <w:szCs w:val="21"/>
        </w:rPr>
        <w:t xml:space="preserve">ANÁLISE CRÍTICA NEGATIVA — Subdimensionamento injusto: O valor de R$ 3.000,00/mês está muito aquém do real. Eis os problemas da fundamentação do juízo:</w:t>
      </w:r>
    </w:p>
    <w:p>
      <w:pPr>
        <w:pStyle w:val="ListParagraph"/>
        <w:numPr>
          <w:ilvl w:val="0"/>
          <w:numId w:val="2"/>
        </w:numPr>
        <w:spacing w:after="60" w:before="60"/>
      </w:pPr>
      <w:r>
        <w:rPr>
          <w:rFonts w:ascii="Arial" w:cs="Arial" w:eastAsia="Arial" w:hAnsi="Arial"/>
          <w:color w:val="1A1A2E"/>
          <w:sz w:val="22"/>
          <w:szCs w:val="22"/>
        </w:rPr>
        <w:t xml:space="preserve">1) Desconsideração ilegítima da declaração Holand: embora seja empresa do pai, a declaração não é afastável apenas por parentesco — exigiria contraprova da falsidade. O fato de o pai ter repassado fretes ao filho (confessado em audiência) é fato incontroverso</w:t>
      </w:r>
    </w:p>
    <w:p>
      <w:pPr>
        <w:pStyle w:val="ListParagraph"/>
        <w:numPr>
          <w:ilvl w:val="0"/>
          <w:numId w:val="2"/>
        </w:numPr>
        <w:spacing w:after="60" w:before="60"/>
      </w:pPr>
      <w:r>
        <w:rPr>
          <w:rFonts w:ascii="Arial" w:cs="Arial" w:eastAsia="Arial" w:hAnsi="Arial"/>
          <w:color w:val="1A1A2E"/>
          <w:sz w:val="22"/>
          <w:szCs w:val="22"/>
        </w:rPr>
        <w:t xml:space="preserve">2) Prova testemunhal ignorada: as testemunhas Cleomar Favin e Marcelo Piovesan (ambos vinculados à Probon) confirmaram 7–8 fretes/mês a aprox. R$ 2,35–2,45/km, e Daniel Matter e Fabiano Brum confirmaram mudanças locais de R$ 600,00 por poucas horas</w:t>
      </w:r>
    </w:p>
    <w:p>
      <w:pPr>
        <w:pStyle w:val="ListParagraph"/>
        <w:numPr>
          <w:ilvl w:val="0"/>
          <w:numId w:val="2"/>
        </w:numPr>
        <w:spacing w:after="60" w:before="60"/>
      </w:pPr>
      <w:r>
        <w:rPr>
          <w:rFonts w:ascii="Arial" w:cs="Arial" w:eastAsia="Arial" w:hAnsi="Arial"/>
          <w:color w:val="1A1A2E"/>
          <w:sz w:val="22"/>
          <w:szCs w:val="22"/>
        </w:rPr>
        <w:t xml:space="preserve">3) Depoimento do próprio autor: informou faturamento líquido de R$ 15.000–20.000/mês. Mesmo com 50% de custos operacionais, o líquido seria de R$ 7.500–10.000/mês</w:t>
      </w:r>
    </w:p>
    <w:p>
      <w:pPr>
        <w:pStyle w:val="ListParagraph"/>
        <w:numPr>
          <w:ilvl w:val="0"/>
          <w:numId w:val="2"/>
        </w:numPr>
        <w:spacing w:after="60" w:before="60"/>
      </w:pPr>
      <w:r>
        <w:rPr>
          <w:rFonts w:ascii="Arial" w:cs="Arial" w:eastAsia="Arial" w:hAnsi="Arial"/>
          <w:color w:val="1A1A2E"/>
          <w:sz w:val="22"/>
          <w:szCs w:val="22"/>
        </w:rPr>
        <w:t xml:space="preserve">4) IGP-M inadequado: índice correto seria o INPC ou IPCA (índice voltado ao trabalhador/consumidor), mais vantajoso para o autor em certos períodos</w:t>
      </w:r>
    </w:p>
    <w:p>
      <w:pPr>
        <w:pBdr>
          <w:left w:val="single" w:color="D4860A" w:sz="12"/>
        </w:pBdr>
        <w:shd w:fill="FFF9EC" w:val="clear"/>
        <w:spacing w:after="120" w:before="120"/>
        <w:ind w:left="360"/>
      </w:pPr>
      <w:r>
        <w:rPr>
          <w:rFonts w:ascii="Arial" w:cs="Arial" w:eastAsia="Arial" w:hAnsi="Arial"/>
          <w:i/>
          <w:iCs/>
          <w:color w:val="1A1A2E"/>
          <w:sz w:val="21"/>
          <w:szCs w:val="21"/>
        </w:rPr>
        <w:t xml:space="preserve">Sugestão recursal: O valor deveria ter sido fixado entre R$ 8.000,00 e R$ 10.000,00/mês, com dedução de 40–50% de custos, conforme prova testemunhal e documentos dos autos. Há margem robusta para recurso de apelação neste ponto.</w:t>
      </w:r>
    </w:p>
    <w:p>
      <w:pPr>
        <w:pStyle w:val="Heading2"/>
        <w:pBdr>
          <w:left w:val="single" w:color="2E6DA4" w:sz="12"/>
        </w:pBdr>
        <w:spacing w:after="100" w:before="280"/>
        <w:ind w:left="200"/>
      </w:pPr>
      <w:r>
        <w:rPr>
          <w:rFonts w:ascii="Arial" w:cs="Arial" w:eastAsia="Arial" w:hAnsi="Arial"/>
          <w:b/>
          <w:bCs/>
          <w:color w:val="1B3A6B"/>
          <w:sz w:val="26"/>
          <w:szCs w:val="26"/>
        </w:rPr>
        <w:t xml:space="preserve">6.3 Depreciação do Veículo — R$ 24.000,00</w:t>
      </w:r>
    </w:p>
    <w:p>
      <w:pPr>
        <w:spacing w:after="80" w:before="200"/>
      </w:pPr>
      <w:r>
        <w:rPr>
          <w:rFonts w:ascii="Arial" w:cs="Arial" w:eastAsia="Arial" w:hAnsi="Arial"/>
          <w:b/>
          <w:bCs/>
          <w:color w:val="2E6DA4"/>
          <w:sz w:val="22"/>
          <w:szCs w:val="22"/>
          <w:u w:val="single"/>
        </w:rPr>
        <w:t xml:space="preserve">Posição do Autor</w:t>
      </w:r>
    </w:p>
    <w:p>
      <w:pPr>
        <w:spacing w:after="80" w:before="80"/>
        <w:ind w:left="0"/>
      </w:pPr>
      <w:r>
        <w:rPr>
          <w:rFonts w:ascii="Arial" w:cs="Arial" w:eastAsia="Arial" w:hAnsi="Arial"/>
          <w:color w:val="1A1A2E"/>
          <w:sz w:val="22"/>
          <w:szCs w:val="22"/>
        </w:rPr>
        <w:t xml:space="preserve">Sustentou que veículos sinistrados sofrem depreciação de 20% a 50% do valor de mercado, e que a anotação de 'veículo recuperado' no CRLV causa desvalorização mínima de 30% (R$ 24.000,00 sobre o valor de R$ 80.000,00).</w:t>
      </w:r>
    </w:p>
    <w:p>
      <w:pPr>
        <w:spacing w:after="80" w:before="200"/>
      </w:pPr>
      <w:r>
        <w:rPr>
          <w:rFonts w:ascii="Arial" w:cs="Arial" w:eastAsia="Arial" w:hAnsi="Arial"/>
          <w:b/>
          <w:bCs/>
          <w:color w:val="2E6DA4"/>
          <w:sz w:val="22"/>
          <w:szCs w:val="22"/>
          <w:u w:val="single"/>
        </w:rPr>
        <w:t xml:space="preserve">Posição da HDI</w:t>
      </w:r>
    </w:p>
    <w:p>
      <w:pPr>
        <w:spacing w:after="80" w:before="80"/>
        <w:ind w:left="0"/>
      </w:pPr>
      <w:r>
        <w:rPr>
          <w:rFonts w:ascii="Arial" w:cs="Arial" w:eastAsia="Arial" w:hAnsi="Arial"/>
          <w:color w:val="1A1A2E"/>
          <w:sz w:val="22"/>
          <w:szCs w:val="22"/>
        </w:rPr>
        <w:t xml:space="preserve">A apólice continha cláusula expressa excluindo cobertura para depreciação. A sentença aceitou esse argumento e indeferiu o pedido por ausência de prova da efetiva desvalorização pós-conserto.</w:t>
      </w:r>
    </w:p>
    <w:p>
      <w:pPr>
        <w:spacing w:after="80" w:before="200"/>
      </w:pPr>
      <w:r>
        <w:rPr>
          <w:rFonts w:ascii="Arial" w:cs="Arial" w:eastAsia="Arial" w:hAnsi="Arial"/>
          <w:b/>
          <w:bCs/>
          <w:color w:val="2E6DA4"/>
          <w:sz w:val="22"/>
          <w:szCs w:val="22"/>
          <w:u w:val="single"/>
        </w:rPr>
        <w:t xml:space="preserve">Análise Crítica</w:t>
      </w:r>
    </w:p>
    <w:p>
      <w:pPr>
        <w:spacing w:after="80" w:before="80"/>
        <w:ind w:left="0"/>
      </w:pPr>
      <w:r>
        <w:rPr>
          <w:rFonts w:ascii="Arial" w:cs="Arial" w:eastAsia="Arial" w:hAnsi="Arial"/>
          <w:color w:val="1A1A2E"/>
          <w:sz w:val="22"/>
          <w:szCs w:val="22"/>
        </w:rPr>
        <w:t xml:space="preserve">A decisão é juridicamente fundamentada e segue jurisprudência sólida. Contudo, dois pontos merecem reflexão:</w:t>
      </w:r>
    </w:p>
    <w:p>
      <w:pPr>
        <w:pStyle w:val="ListParagraph"/>
        <w:numPr>
          <w:ilvl w:val="0"/>
          <w:numId w:val="2"/>
        </w:numPr>
        <w:spacing w:after="60" w:before="60"/>
      </w:pPr>
      <w:r>
        <w:rPr>
          <w:rFonts w:ascii="Arial" w:cs="Arial" w:eastAsia="Arial" w:hAnsi="Arial"/>
          <w:color w:val="1A1A2E"/>
          <w:sz w:val="22"/>
          <w:szCs w:val="22"/>
        </w:rPr>
        <w:t xml:space="preserve">A exclusão da apólice é oponível à seguradora, mas não, em tese, à Ré Mesquita (empregadora). A responsabilidade civil dela é integral — o limite da apólice não vincula o empregador da vítima (art. 942, CC)</w:t>
      </w:r>
    </w:p>
    <w:p>
      <w:pPr>
        <w:pStyle w:val="ListParagraph"/>
        <w:numPr>
          <w:ilvl w:val="0"/>
          <w:numId w:val="2"/>
        </w:numPr>
        <w:spacing w:after="60" w:before="60"/>
      </w:pPr>
      <w:r>
        <w:rPr>
          <w:rFonts w:ascii="Arial" w:cs="Arial" w:eastAsia="Arial" w:hAnsi="Arial"/>
          <w:color w:val="1A1A2E"/>
          <w:sz w:val="22"/>
          <w:szCs w:val="22"/>
        </w:rPr>
        <w:t xml:space="preserve">A ausência de prova pericial é o ponto fraco. Seria necessária avaliação de expert do mercado de veículos usados que confirmasse a desvalorização pós-sinistro. Declarações de revendedoras (Anexo 10) foram insuficientes para o juízo</w:t>
      </w:r>
    </w:p>
    <w:p>
      <w:pPr>
        <w:pBdr>
          <w:left w:val="single" w:color="D4860A" w:sz="12"/>
        </w:pBdr>
        <w:shd w:fill="FFF9EC" w:val="clear"/>
        <w:spacing w:after="120" w:before="120"/>
        <w:ind w:left="360"/>
      </w:pPr>
      <w:r>
        <w:rPr>
          <w:rFonts w:ascii="Arial" w:cs="Arial" w:eastAsia="Arial" w:hAnsi="Arial"/>
          <w:i/>
          <w:iCs/>
          <w:color w:val="1A1A2E"/>
          <w:sz w:val="21"/>
          <w:szCs w:val="21"/>
        </w:rPr>
        <w:t xml:space="preserve">Oportunidade recursal: insistir na responsabilidade direta da Ré Mesquita (sem limitação da apólice) pela depreciação, e requerer produção de prova pericial em eventual recurso ou liquidação de sentença.</w:t>
      </w:r>
    </w:p>
    <w:p>
      <w:pPr>
        <w:pStyle w:val="Heading2"/>
        <w:pBdr>
          <w:left w:val="single" w:color="2E6DA4" w:sz="12"/>
        </w:pBdr>
        <w:spacing w:after="100" w:before="280"/>
        <w:ind w:left="200"/>
      </w:pPr>
      <w:r>
        <w:rPr>
          <w:rFonts w:ascii="Arial" w:cs="Arial" w:eastAsia="Arial" w:hAnsi="Arial"/>
          <w:b/>
          <w:bCs/>
          <w:color w:val="1B3A6B"/>
          <w:sz w:val="26"/>
          <w:szCs w:val="26"/>
        </w:rPr>
        <w:t xml:space="preserve">6.4 Danos Morais — R$ 30.000,00</w:t>
      </w:r>
    </w:p>
    <w:p>
      <w:pPr>
        <w:spacing w:after="80" w:before="200"/>
      </w:pPr>
      <w:r>
        <w:rPr>
          <w:rFonts w:ascii="Arial" w:cs="Arial" w:eastAsia="Arial" w:hAnsi="Arial"/>
          <w:b/>
          <w:bCs/>
          <w:color w:val="2E6DA4"/>
          <w:sz w:val="22"/>
          <w:szCs w:val="22"/>
          <w:u w:val="single"/>
        </w:rPr>
        <w:t xml:space="preserve">Posição do Autor</w:t>
      </w:r>
    </w:p>
    <w:p>
      <w:pPr>
        <w:spacing w:after="80" w:before="80"/>
        <w:ind w:left="0"/>
      </w:pPr>
      <w:r>
        <w:rPr>
          <w:rFonts w:ascii="Arial" w:cs="Arial" w:eastAsia="Arial" w:hAnsi="Arial"/>
          <w:color w:val="1A1A2E"/>
          <w:sz w:val="22"/>
          <w:szCs w:val="22"/>
        </w:rPr>
        <w:t xml:space="preserve">Alegou: trauma psicológico pós-acidente (crises de estresse, ansiedade, insônia, medo de dirigir); privação do convívio com os filhos nas viagens; perda de clientes e insegurança financeira familiar.</w:t>
      </w:r>
    </w:p>
    <w:p>
      <w:pPr>
        <w:spacing w:after="80" w:before="200"/>
      </w:pPr>
      <w:r>
        <w:rPr>
          <w:rFonts w:ascii="Arial" w:cs="Arial" w:eastAsia="Arial" w:hAnsi="Arial"/>
          <w:b/>
          <w:bCs/>
          <w:color w:val="2E6DA4"/>
          <w:sz w:val="22"/>
          <w:szCs w:val="22"/>
          <w:u w:val="single"/>
        </w:rPr>
        <w:t xml:space="preserve">Decisão e Análise</w:t>
      </w:r>
    </w:p>
    <w:p>
      <w:pPr>
        <w:spacing w:after="80" w:before="80"/>
        <w:ind w:left="0"/>
      </w:pPr>
      <w:r>
        <w:rPr>
          <w:rFonts w:ascii="Arial" w:cs="Arial" w:eastAsia="Arial" w:hAnsi="Arial"/>
          <w:color w:val="1A1A2E"/>
          <w:sz w:val="22"/>
          <w:szCs w:val="22"/>
        </w:rPr>
        <w:t xml:space="preserve">O juízo indeferiu integralmente, fundamentando que não foi demonstrado abalo moral significativo nem nexo de causalidade entre o acidente e as consequências psicológicas alegadas.</w:t>
      </w:r>
    </w:p>
    <w:p>
      <w:pPr>
        <w:pBdr>
          <w:left w:val="single" w:color="D4860A" w:sz="12"/>
        </w:pBdr>
        <w:shd w:fill="FFF9EC" w:val="clear"/>
        <w:spacing w:after="120" w:before="120"/>
        <w:ind w:left="360"/>
      </w:pPr>
      <w:r>
        <w:rPr>
          <w:rFonts w:ascii="Arial" w:cs="Arial" w:eastAsia="Arial" w:hAnsi="Arial"/>
          <w:i/>
          <w:iCs/>
          <w:color w:val="1A1A2E"/>
          <w:sz w:val="21"/>
          <w:szCs w:val="21"/>
        </w:rPr>
        <w:t xml:space="preserve">ANÁLISE CRÍTICA — DECISÃO QUESTIONÁVEL: O entendimento não se sustenta bem diante da moderna doutrina e jurisprudência:</w:t>
      </w:r>
    </w:p>
    <w:p>
      <w:pPr>
        <w:pStyle w:val="ListParagraph"/>
        <w:numPr>
          <w:ilvl w:val="0"/>
          <w:numId w:val="2"/>
        </w:numPr>
        <w:spacing w:after="60" w:before="60"/>
      </w:pPr>
      <w:r>
        <w:rPr>
          <w:rFonts w:ascii="Arial" w:cs="Arial" w:eastAsia="Arial" w:hAnsi="Arial"/>
          <w:color w:val="1A1A2E"/>
          <w:sz w:val="22"/>
          <w:szCs w:val="22"/>
        </w:rPr>
        <w:t xml:space="preserve">O STJ pacificou que em acidentes graves, com vítima fatal (presenciada pelo autor), o dano moral é presumível — dano in re ipsa</w:t>
      </w:r>
    </w:p>
    <w:p>
      <w:pPr>
        <w:pStyle w:val="ListParagraph"/>
        <w:numPr>
          <w:ilvl w:val="0"/>
          <w:numId w:val="2"/>
        </w:numPr>
        <w:spacing w:after="60" w:before="60"/>
      </w:pPr>
      <w:r>
        <w:rPr>
          <w:rFonts w:ascii="Arial" w:cs="Arial" w:eastAsia="Arial" w:hAnsi="Arial"/>
          <w:color w:val="1A1A2E"/>
          <w:sz w:val="22"/>
          <w:szCs w:val="22"/>
        </w:rPr>
        <w:t xml:space="preserve">O autor presenciou o óbito violento de Biaggi após a colisão. O laudo do IML trazia fotografias do local que foram consideradas 'estarrecedoras' pelo próprio causídico do autor</w:t>
      </w:r>
    </w:p>
    <w:p>
      <w:pPr>
        <w:pStyle w:val="ListParagraph"/>
        <w:numPr>
          <w:ilvl w:val="0"/>
          <w:numId w:val="2"/>
        </w:numPr>
        <w:spacing w:after="60" w:before="60"/>
      </w:pPr>
      <w:r>
        <w:rPr>
          <w:rFonts w:ascii="Arial" w:cs="Arial" w:eastAsia="Arial" w:hAnsi="Arial"/>
          <w:color w:val="1A1A2E"/>
          <w:sz w:val="22"/>
          <w:szCs w:val="22"/>
        </w:rPr>
        <w:t xml:space="preserve">A paralisação completa da atividade laboral por mais de 2 anos (acidente: fev/2021; sentença: mai/2023 — veículo ainda não consertado) constitui, por si só, sofrimento moral indenizável</w:t>
      </w:r>
    </w:p>
    <w:p>
      <w:pPr>
        <w:pStyle w:val="ListParagraph"/>
        <w:numPr>
          <w:ilvl w:val="0"/>
          <w:numId w:val="2"/>
        </w:numPr>
        <w:spacing w:after="60" w:before="60"/>
      </w:pPr>
      <w:r>
        <w:rPr>
          <w:rFonts w:ascii="Arial" w:cs="Arial" w:eastAsia="Arial" w:hAnsi="Arial"/>
          <w:color w:val="1A1A2E"/>
          <w:sz w:val="22"/>
          <w:szCs w:val="22"/>
        </w:rPr>
        <w:t xml:space="preserve">O fato de o autor estar 'trabalhando de empregado e fazendo bicos' após o acidente revela desestruturação socioeconômica clara, que o juízo subestimou</w:t>
      </w:r>
    </w:p>
    <w:p>
      <w:pPr>
        <w:pBdr>
          <w:left w:val="single" w:color="D4860A" w:sz="12"/>
        </w:pBdr>
        <w:shd w:fill="FFF9EC" w:val="clear"/>
        <w:spacing w:after="120" w:before="120"/>
        <w:ind w:left="360"/>
      </w:pPr>
      <w:r>
        <w:rPr>
          <w:rFonts w:ascii="Arial" w:cs="Arial" w:eastAsia="Arial" w:hAnsi="Arial"/>
          <w:i/>
          <w:iCs/>
          <w:color w:val="1A1A2E"/>
          <w:sz w:val="21"/>
          <w:szCs w:val="21"/>
        </w:rPr>
        <w:t xml:space="preserve">Forte base recursal: apelação neste ponto tem boas chances, com fundamento no dano in re ipsa decorrente do testemunho de acidente com vítima fatal, somado à paralisação laboral por mais de 24 meses.</w:t>
      </w:r>
    </w:p>
    <w:p>
      <w:pPr>
        <w:pStyle w:val="Heading2"/>
        <w:pBdr>
          <w:left w:val="single" w:color="2E6DA4" w:sz="12"/>
        </w:pBdr>
        <w:spacing w:after="100" w:before="280"/>
        <w:ind w:left="200"/>
      </w:pPr>
      <w:r>
        <w:rPr>
          <w:rFonts w:ascii="Arial" w:cs="Arial" w:eastAsia="Arial" w:hAnsi="Arial"/>
          <w:b/>
          <w:bCs/>
          <w:color w:val="1B3A6B"/>
          <w:sz w:val="26"/>
          <w:szCs w:val="26"/>
        </w:rPr>
        <w:t xml:space="preserve">6.5 Honorários Contratuais — R$ 500,00 + 25%</w:t>
      </w:r>
    </w:p>
    <w:p>
      <w:pPr>
        <w:spacing w:after="80" w:before="80"/>
        <w:ind w:left="0"/>
      </w:pPr>
      <w:r>
        <w:rPr>
          <w:rFonts w:ascii="Arial" w:cs="Arial" w:eastAsia="Arial" w:hAnsi="Arial"/>
          <w:color w:val="1A1A2E"/>
          <w:sz w:val="22"/>
          <w:szCs w:val="22"/>
        </w:rPr>
        <w:t xml:space="preserve">Indeferido com base na jurisprudência dominante do STJ (EREsp 1.507.864/RS) e do TJRS: os honorários contratuais são ônus de quem contratou, não constituindo dano indenizável a ser imputado ao réu. Entendimento correto e difícil de ser revertido em recurso.</w:t>
      </w:r>
    </w:p>
    <w:p>
      <w:pPr>
        <w:spacing w:before="160"/>
      </w:pPr>
    </w:p>
    <w:p>
      <w:pPr>
        <w:pStyle w:val="Heading1"/>
        <w:shd w:fill="1B3A6B" w:val="clear"/>
        <w:spacing w:after="160" w:before="400"/>
        <w:ind w:left="200" w:right="200"/>
      </w:pPr>
      <w:r>
        <w:rPr>
          <w:rFonts w:ascii="Arial" w:cs="Arial" w:eastAsia="Arial" w:hAnsi="Arial"/>
          <w:b/>
          <w:bCs/>
          <w:color w:val="FFFFFF"/>
          <w:sz w:val="30"/>
          <w:szCs w:val="30"/>
        </w:rPr>
        <w:t xml:space="preserve">7. QUESTÕES SECURITÁRIAS RELEVANTES</w:t>
      </w:r>
    </w:p>
    <w:p>
      <w:pPr>
        <w:pBdr>
          <w:bottom w:val="single" w:color="2E6DA4" w:sz="4"/>
        </w:pBdr>
        <w:spacing w:after="60" w:before="60"/>
      </w:pPr>
    </w:p>
    <w:p>
      <w:pPr>
        <w:pStyle w:val="Heading2"/>
        <w:pBdr>
          <w:left w:val="single" w:color="2E6DA4" w:sz="12"/>
        </w:pBdr>
        <w:spacing w:after="100" w:before="280"/>
        <w:ind w:left="200"/>
      </w:pPr>
      <w:r>
        <w:rPr>
          <w:rFonts w:ascii="Arial" w:cs="Arial" w:eastAsia="Arial" w:hAnsi="Arial"/>
          <w:b/>
          <w:bCs/>
          <w:color w:val="1B3A6B"/>
          <w:sz w:val="26"/>
          <w:szCs w:val="26"/>
        </w:rPr>
        <w:t xml:space="preserve">7.1 Limites da Apólice HDI</w:t>
      </w:r>
    </w:p>
    <w:p>
      <w:pPr>
        <w:spacing w:after="80" w:before="80"/>
        <w:ind w:left="0"/>
      </w:pPr>
      <w:r>
        <w:rPr>
          <w:rFonts w:ascii="Arial" w:cs="Arial" w:eastAsia="Arial" w:hAnsi="Arial"/>
          <w:color w:val="1A1A2E"/>
          <w:sz w:val="22"/>
          <w:szCs w:val="22"/>
        </w:rPr>
        <w:t xml:space="preserve">A sentença registrou que a responsabilidade da HDI está limitada ao montante da cobertura prevista na apólice para danos materiais, sem especificar o valor exato. Em alegações finais, a HDI mencionou cobertura de R$ 70.000,00 para danos morais, o que sugere que a apólice possuía coberturas segmentadas.</w:t>
      </w:r>
    </w:p>
    <w:p>
      <w:pPr>
        <w:pStyle w:val="Heading2"/>
        <w:pBdr>
          <w:left w:val="single" w:color="2E6DA4" w:sz="12"/>
        </w:pBdr>
        <w:spacing w:after="100" w:before="280"/>
        <w:ind w:left="200"/>
      </w:pPr>
      <w:r>
        <w:rPr>
          <w:rFonts w:ascii="Arial" w:cs="Arial" w:eastAsia="Arial" w:hAnsi="Arial"/>
          <w:b/>
          <w:bCs/>
          <w:color w:val="1B3A6B"/>
          <w:sz w:val="26"/>
          <w:szCs w:val="26"/>
        </w:rPr>
        <w:t xml:space="preserve">7.2 Conduta da Seguradora no Sinistro — Má-fé Administrativa</w:t>
      </w:r>
    </w:p>
    <w:p>
      <w:pPr>
        <w:spacing w:after="80" w:before="80"/>
        <w:ind w:left="0"/>
      </w:pPr>
      <w:r>
        <w:rPr>
          <w:rFonts w:ascii="Arial" w:cs="Arial" w:eastAsia="Arial" w:hAnsi="Arial"/>
          <w:color w:val="1A1A2E"/>
          <w:sz w:val="22"/>
          <w:szCs w:val="22"/>
        </w:rPr>
        <w:t xml:space="preserve">A sequência de atos da HDI merece escrutínio crítico:</w:t>
      </w:r>
    </w:p>
    <w:p>
      <w:pPr>
        <w:pStyle w:val="ListParagraph"/>
        <w:numPr>
          <w:ilvl w:val="0"/>
          <w:numId w:val="2"/>
        </w:numPr>
        <w:spacing w:after="60" w:before="60"/>
      </w:pPr>
      <w:r>
        <w:rPr>
          <w:rFonts w:ascii="Arial" w:cs="Arial" w:eastAsia="Arial" w:hAnsi="Arial"/>
          <w:color w:val="1A1A2E"/>
          <w:sz w:val="22"/>
          <w:szCs w:val="22"/>
        </w:rPr>
        <w:t xml:space="preserve">Enviou guincho e indicou a mecânica credenciada (assumindo o comando da regulação)</w:t>
      </w:r>
    </w:p>
    <w:p>
      <w:pPr>
        <w:pStyle w:val="ListParagraph"/>
        <w:numPr>
          <w:ilvl w:val="0"/>
          <w:numId w:val="2"/>
        </w:numPr>
        <w:spacing w:after="60" w:before="60"/>
      </w:pPr>
      <w:r>
        <w:rPr>
          <w:rFonts w:ascii="Arial" w:cs="Arial" w:eastAsia="Arial" w:hAnsi="Arial"/>
          <w:color w:val="1A1A2E"/>
          <w:sz w:val="22"/>
          <w:szCs w:val="22"/>
        </w:rPr>
        <w:t xml:space="preserve">Reconheceu o sinistro como 'procedente' com status 'indenização integral'</w:t>
      </w:r>
    </w:p>
    <w:p>
      <w:pPr>
        <w:pStyle w:val="ListParagraph"/>
        <w:numPr>
          <w:ilvl w:val="0"/>
          <w:numId w:val="2"/>
        </w:numPr>
        <w:spacing w:after="60" w:before="60"/>
      </w:pPr>
      <w:r>
        <w:rPr>
          <w:rFonts w:ascii="Arial" w:cs="Arial" w:eastAsia="Arial" w:hAnsi="Arial"/>
          <w:color w:val="1A1A2E"/>
          <w:sz w:val="22"/>
          <w:szCs w:val="22"/>
        </w:rPr>
        <w:t xml:space="preserve">Fixou unilateralmente o valor de R$ 43.739,15 sem autorizar abertura do motor para orçamento real</w:t>
      </w:r>
    </w:p>
    <w:p>
      <w:pPr>
        <w:pStyle w:val="ListParagraph"/>
        <w:numPr>
          <w:ilvl w:val="0"/>
          <w:numId w:val="2"/>
        </w:numPr>
        <w:spacing w:after="60" w:before="60"/>
      </w:pPr>
      <w:r>
        <w:rPr>
          <w:rFonts w:ascii="Arial" w:cs="Arial" w:eastAsia="Arial" w:hAnsi="Arial"/>
          <w:color w:val="1A1A2E"/>
          <w:sz w:val="22"/>
          <w:szCs w:val="22"/>
        </w:rPr>
        <w:t xml:space="preserve">Formulou proposta de R$ 30.000,00 (para o autor consertar por conta própria) — valor 50% menor que o orçamento da sua própria mecânica</w:t>
      </w:r>
    </w:p>
    <w:p>
      <w:pPr>
        <w:pStyle w:val="ListParagraph"/>
        <w:numPr>
          <w:ilvl w:val="0"/>
          <w:numId w:val="2"/>
        </w:numPr>
        <w:spacing w:after="60" w:before="60"/>
      </w:pPr>
      <w:r>
        <w:rPr>
          <w:rFonts w:ascii="Arial" w:cs="Arial" w:eastAsia="Arial" w:hAnsi="Arial"/>
          <w:color w:val="1A1A2E"/>
          <w:sz w:val="22"/>
          <w:szCs w:val="22"/>
        </w:rPr>
        <w:t xml:space="preserve">Formulou proposta de R$ 55.000,00 com entrega do veículo para leilão de peças — transferindo o prejuízo da depreciação ao lesado</w:t>
      </w:r>
    </w:p>
    <w:p>
      <w:pPr>
        <w:pStyle w:val="ListParagraph"/>
        <w:numPr>
          <w:ilvl w:val="0"/>
          <w:numId w:val="2"/>
        </w:numPr>
        <w:spacing w:after="60" w:before="60"/>
      </w:pPr>
      <w:r>
        <w:rPr>
          <w:rFonts w:ascii="Arial" w:cs="Arial" w:eastAsia="Arial" w:hAnsi="Arial"/>
          <w:color w:val="1A1A2E"/>
          <w:sz w:val="22"/>
          <w:szCs w:val="22"/>
        </w:rPr>
        <w:t xml:space="preserve">Colheu orçamentos em outras mecânicas que superaram R$ 80.000,00, mas não forneceu cópias ao autor</w:t>
      </w:r>
    </w:p>
    <w:p>
      <w:pPr>
        <w:pStyle w:val="ListParagraph"/>
        <w:numPr>
          <w:ilvl w:val="0"/>
          <w:numId w:val="2"/>
        </w:numPr>
        <w:spacing w:after="60" w:before="60"/>
      </w:pPr>
      <w:r>
        <w:rPr>
          <w:rFonts w:ascii="Arial" w:cs="Arial" w:eastAsia="Arial" w:hAnsi="Arial"/>
          <w:color w:val="1A1A2E"/>
          <w:sz w:val="22"/>
          <w:szCs w:val="22"/>
        </w:rPr>
        <w:t xml:space="preserve">Última proposta administrativa: R$ 66.727,50 — ainda inferior ao custo de conserto documentado</w:t>
      </w:r>
    </w:p>
    <w:p>
      <w:pPr>
        <w:pBdr>
          <w:left w:val="single" w:color="D4860A" w:sz="12"/>
        </w:pBdr>
        <w:shd w:fill="FFF9EC" w:val="clear"/>
        <w:spacing w:after="120" w:before="120"/>
        <w:ind w:left="360"/>
      </w:pPr>
      <w:r>
        <w:rPr>
          <w:rFonts w:ascii="Arial" w:cs="Arial" w:eastAsia="Arial" w:hAnsi="Arial"/>
          <w:i/>
          <w:iCs/>
          <w:color w:val="1A1A2E"/>
          <w:sz w:val="21"/>
          <w:szCs w:val="21"/>
        </w:rPr>
        <w:t xml:space="preserve">A conduta da HDI configura, no mínimo, oferta de proposta sabidamente insuficiente e retenção de documentos (orçamentos acima de R$ 80.000,00). Dependendo da instrução, poderia ensejar pleito de danos morais por conduta abusiva da seguradora (art. 51, IV do CDC + boa-fé objetiva, art. 422 CC).</w:t>
      </w:r>
    </w:p>
    <w:p>
      <w:pPr>
        <w:pStyle w:val="Heading2"/>
        <w:pBdr>
          <w:left w:val="single" w:color="2E6DA4" w:sz="12"/>
        </w:pBdr>
        <w:spacing w:after="100" w:before="280"/>
        <w:ind w:left="200"/>
      </w:pPr>
      <w:r>
        <w:rPr>
          <w:rFonts w:ascii="Arial" w:cs="Arial" w:eastAsia="Arial" w:hAnsi="Arial"/>
          <w:b/>
          <w:bCs/>
          <w:color w:val="1B3A6B"/>
          <w:sz w:val="26"/>
          <w:szCs w:val="26"/>
        </w:rPr>
        <w:t xml:space="preserve">7.3 Denunciação à Lide</w:t>
      </w:r>
    </w:p>
    <w:p>
      <w:pPr>
        <w:spacing w:after="80" w:before="80"/>
        <w:ind w:left="0"/>
      </w:pPr>
      <w:r>
        <w:rPr>
          <w:rFonts w:ascii="Arial" w:cs="Arial" w:eastAsia="Arial" w:hAnsi="Arial"/>
          <w:color w:val="1A1A2E"/>
          <w:sz w:val="22"/>
          <w:szCs w:val="22"/>
        </w:rPr>
        <w:t xml:space="preserve">A Ré Mesquita formulou pedido de denunciação à lide da HDI (art. 125, II, CPC). O juízo processou a denunciação e a HDI foi parte passiva principal desde o início (já havia sido citada como ré direta). A denunciação acabou redundante, mas preservou os direitos da Mesquita em caso de eventual ilegitimidade da HDI como ré principal.</w:t>
      </w:r>
    </w:p>
    <w:p>
      <w:pPr>
        <w:pStyle w:val="Heading2"/>
        <w:pBdr>
          <w:left w:val="single" w:color="2E6DA4" w:sz="12"/>
        </w:pBdr>
        <w:spacing w:after="100" w:before="280"/>
        <w:ind w:left="200"/>
      </w:pPr>
      <w:r>
        <w:rPr>
          <w:rFonts w:ascii="Arial" w:cs="Arial" w:eastAsia="Arial" w:hAnsi="Arial"/>
          <w:b/>
          <w:bCs/>
          <w:color w:val="1B3A6B"/>
          <w:sz w:val="26"/>
          <w:szCs w:val="26"/>
        </w:rPr>
        <w:t xml:space="preserve">7.4 Súmula 632/STJ — Correção Monetária da Apólice</w:t>
      </w:r>
    </w:p>
    <w:p>
      <w:pPr>
        <w:spacing w:after="80" w:before="80"/>
        <w:ind w:left="0"/>
      </w:pPr>
      <w:r>
        <w:rPr>
          <w:rFonts w:ascii="Arial" w:cs="Arial" w:eastAsia="Arial" w:hAnsi="Arial"/>
          <w:color w:val="1A1A2E"/>
          <w:sz w:val="22"/>
          <w:szCs w:val="22"/>
        </w:rPr>
        <w:t xml:space="preserve">A HDI suscitou a Súmula 632/STJ (correção monetária incide desde a contratação do seguro até o efetivo pagamento). A sentença não abordou explicitamente este ponto, mas a condenação ao conserto integral atende o objeto do seguro — a questão da correção da cobertura fica em aberto para eventual fase de cumprimento de sentença.</w:t>
      </w:r>
    </w:p>
    <w:p>
      <w:pPr>
        <w:spacing w:before="160"/>
      </w:pPr>
    </w:p>
    <w:p>
      <w:pPr>
        <w:pStyle w:val="Heading1"/>
        <w:shd w:fill="1B3A6B" w:val="clear"/>
        <w:spacing w:after="160" w:before="400"/>
        <w:ind w:left="200" w:right="200"/>
      </w:pPr>
      <w:r>
        <w:rPr>
          <w:rFonts w:ascii="Arial" w:cs="Arial" w:eastAsia="Arial" w:hAnsi="Arial"/>
          <w:b/>
          <w:bCs/>
          <w:color w:val="FFFFFF"/>
          <w:sz w:val="30"/>
          <w:szCs w:val="30"/>
        </w:rPr>
        <w:t xml:space="preserve">8. ANÁLISE TÉCNICA DA SENTENÇA</w:t>
      </w:r>
    </w:p>
    <w:p>
      <w:pPr>
        <w:pBdr>
          <w:bottom w:val="single" w:color="2E6DA4" w:sz="4"/>
        </w:pBdr>
        <w:spacing w:after="60" w:before="60"/>
      </w:pPr>
    </w:p>
    <w:p>
      <w:pPr>
        <w:pStyle w:val="Heading2"/>
        <w:pBdr>
          <w:left w:val="single" w:color="2E6DA4" w:sz="12"/>
        </w:pBdr>
        <w:spacing w:after="100" w:before="280"/>
        <w:ind w:left="200"/>
      </w:pPr>
      <w:r>
        <w:rPr>
          <w:rFonts w:ascii="Arial" w:cs="Arial" w:eastAsia="Arial" w:hAnsi="Arial"/>
          <w:b/>
          <w:bCs/>
          <w:color w:val="1B3A6B"/>
          <w:sz w:val="26"/>
          <w:szCs w:val="26"/>
        </w:rPr>
        <w:t xml:space="preserve">8.1 Acertos da Sentença</w:t>
      </w:r>
    </w:p>
    <w:p>
      <w:pPr>
        <w:pStyle w:val="ListParagraph"/>
        <w:numPr>
          <w:ilvl w:val="0"/>
          <w:numId w:val="2"/>
        </w:numPr>
        <w:spacing w:after="60" w:before="60"/>
      </w:pPr>
      <w:r>
        <w:rPr>
          <w:rFonts w:ascii="Arial" w:cs="Arial" w:eastAsia="Arial" w:hAnsi="Arial"/>
          <w:color w:val="1A1A2E"/>
          <w:sz w:val="22"/>
          <w:szCs w:val="22"/>
        </w:rPr>
        <w:t xml:space="preserve">Reconhecimento da culpa exclusiva do condutor Biaggi, fundamentado em laudo pericial e prova testemunhal robusta — decisão tecnicamente irretocável</w:t>
      </w:r>
    </w:p>
    <w:p>
      <w:pPr>
        <w:pStyle w:val="ListParagraph"/>
        <w:numPr>
          <w:ilvl w:val="0"/>
          <w:numId w:val="2"/>
        </w:numPr>
        <w:spacing w:after="60" w:before="60"/>
      </w:pPr>
      <w:r>
        <w:rPr>
          <w:rFonts w:ascii="Arial" w:cs="Arial" w:eastAsia="Arial" w:hAnsi="Arial"/>
          <w:color w:val="1A1A2E"/>
          <w:sz w:val="22"/>
          <w:szCs w:val="22"/>
        </w:rPr>
        <w:t xml:space="preserve">Condenação ao conserto integral (não a valor fixo), com prazo peremptório e cominação adequada</w:t>
      </w:r>
    </w:p>
    <w:p>
      <w:pPr>
        <w:pStyle w:val="ListParagraph"/>
        <w:numPr>
          <w:ilvl w:val="0"/>
          <w:numId w:val="2"/>
        </w:numPr>
        <w:spacing w:after="60" w:before="60"/>
      </w:pPr>
      <w:r>
        <w:rPr>
          <w:rFonts w:ascii="Arial" w:cs="Arial" w:eastAsia="Arial" w:hAnsi="Arial"/>
          <w:color w:val="1A1A2E"/>
          <w:sz w:val="22"/>
          <w:szCs w:val="22"/>
        </w:rPr>
        <w:t xml:space="preserve">Limitação da responsabilidade da HDI aos limites da apólice — correto, conforme art. 787, CC</w:t>
      </w:r>
    </w:p>
    <w:p>
      <w:pPr>
        <w:pStyle w:val="ListParagraph"/>
        <w:numPr>
          <w:ilvl w:val="0"/>
          <w:numId w:val="2"/>
        </w:numPr>
        <w:spacing w:after="60" w:before="60"/>
      </w:pPr>
      <w:r>
        <w:rPr>
          <w:rFonts w:ascii="Arial" w:cs="Arial" w:eastAsia="Arial" w:hAnsi="Arial"/>
          <w:color w:val="1A1A2E"/>
          <w:sz w:val="22"/>
          <w:szCs w:val="22"/>
        </w:rPr>
        <w:t xml:space="preserve">Indeferimento dos honorários contratuais — alinhado à jurisprudência do STJ</w:t>
      </w:r>
    </w:p>
    <w:p>
      <w:pPr>
        <w:pStyle w:val="ListParagraph"/>
        <w:numPr>
          <w:ilvl w:val="0"/>
          <w:numId w:val="2"/>
        </w:numPr>
        <w:spacing w:after="60" w:before="60"/>
      </w:pPr>
      <w:r>
        <w:rPr>
          <w:rFonts w:ascii="Arial" w:cs="Arial" w:eastAsia="Arial" w:hAnsi="Arial"/>
          <w:color w:val="1A1A2E"/>
          <w:sz w:val="22"/>
          <w:szCs w:val="22"/>
        </w:rPr>
        <w:t xml:space="preserve">Indeferimento do SISBAJUD após a condenação (veículo já na oficina credenciada) — coerente com o dispositivo condenatório</w:t>
      </w:r>
    </w:p>
    <w:p>
      <w:pPr>
        <w:pStyle w:val="Heading2"/>
        <w:pBdr>
          <w:left w:val="single" w:color="2E6DA4" w:sz="12"/>
        </w:pBdr>
        <w:spacing w:after="100" w:before="280"/>
        <w:ind w:left="200"/>
      </w:pPr>
      <w:r>
        <w:rPr>
          <w:rFonts w:ascii="Arial" w:cs="Arial" w:eastAsia="Arial" w:hAnsi="Arial"/>
          <w:b/>
          <w:bCs/>
          <w:color w:val="1B3A6B"/>
          <w:sz w:val="26"/>
          <w:szCs w:val="26"/>
        </w:rPr>
        <w:t xml:space="preserve">8.2 Pontos Criticáveis da Sentença</w:t>
      </w:r>
    </w:p>
    <w:p>
      <w:pPr>
        <w:pStyle w:val="ListParagraph"/>
        <w:numPr>
          <w:ilvl w:val="0"/>
          <w:numId w:val="2"/>
        </w:numPr>
        <w:spacing w:after="60" w:before="60"/>
      </w:pPr>
      <w:r>
        <w:rPr>
          <w:rFonts w:ascii="Arial" w:cs="Arial" w:eastAsia="Arial" w:hAnsi="Arial"/>
          <w:color w:val="1A1A2E"/>
          <w:sz w:val="22"/>
          <w:szCs w:val="22"/>
        </w:rPr>
        <w:t xml:space="preserve">Lucros cessantes fixados em R$ 3.000,00/mês: subdimensionado diante da prova produzida — desconsiderou renda de mudanças (mínimo 2 clientes confirmados a R$ 600,00 por poucas horas); desconsiderou 7–8 fretes/mês à Probon</w:t>
      </w:r>
    </w:p>
    <w:p>
      <w:pPr>
        <w:pStyle w:val="ListParagraph"/>
        <w:numPr>
          <w:ilvl w:val="0"/>
          <w:numId w:val="2"/>
        </w:numPr>
        <w:spacing w:after="60" w:before="60"/>
      </w:pPr>
      <w:r>
        <w:rPr>
          <w:rFonts w:ascii="Arial" w:cs="Arial" w:eastAsia="Arial" w:hAnsi="Arial"/>
          <w:color w:val="1A1A2E"/>
          <w:sz w:val="22"/>
          <w:szCs w:val="22"/>
        </w:rPr>
        <w:t xml:space="preserve">Danos morais indeferidos: a presença de acidente com vítima fatal, a paralisação laboral por mais de 2 anos e o trauma psicológico narrado (com base in re ipsa) justificariam condenação — valor moderado seria razoável (R$ 15.000,00 a R$ 25.000,00)</w:t>
      </w:r>
    </w:p>
    <w:p>
      <w:pPr>
        <w:pStyle w:val="ListParagraph"/>
        <w:numPr>
          <w:ilvl w:val="0"/>
          <w:numId w:val="2"/>
        </w:numPr>
        <w:spacing w:after="60" w:before="60"/>
      </w:pPr>
      <w:r>
        <w:rPr>
          <w:rFonts w:ascii="Arial" w:cs="Arial" w:eastAsia="Arial" w:hAnsi="Arial"/>
          <w:color w:val="1A1A2E"/>
          <w:sz w:val="22"/>
          <w:szCs w:val="22"/>
        </w:rPr>
        <w:t xml:space="preserve">Ausência de determinação sobre custos adicionais: a sentença não previu mecanismo para lidar com valores superiores ao orçamento preliminar de R$ 62.515,00 — o próprio orçamento ressalvava custo maior após abertura do motor</w:t>
      </w:r>
    </w:p>
    <w:p>
      <w:pPr>
        <w:pStyle w:val="ListParagraph"/>
        <w:numPr>
          <w:ilvl w:val="0"/>
          <w:numId w:val="2"/>
        </w:numPr>
        <w:spacing w:after="60" w:before="60"/>
      </w:pPr>
      <w:r>
        <w:rPr>
          <w:rFonts w:ascii="Arial" w:cs="Arial" w:eastAsia="Arial" w:hAnsi="Arial"/>
          <w:color w:val="1A1A2E"/>
          <w:sz w:val="22"/>
          <w:szCs w:val="22"/>
        </w:rPr>
        <w:t xml:space="preserve">Sem previsão de fiscalização do conserto: falta cominação mais específica sobre qualidade e prazo, considerando que as rés já demonstraram descaso durante mais de 2 anos</w:t>
      </w:r>
    </w:p>
    <w:p>
      <w:pPr>
        <w:pStyle w:val="ListParagraph"/>
        <w:numPr>
          <w:ilvl w:val="0"/>
          <w:numId w:val="2"/>
        </w:numPr>
        <w:spacing w:after="60" w:before="60"/>
      </w:pPr>
      <w:r>
        <w:rPr>
          <w:rFonts w:ascii="Arial" w:cs="Arial" w:eastAsia="Arial" w:hAnsi="Arial"/>
          <w:color w:val="1A1A2E"/>
          <w:sz w:val="22"/>
          <w:szCs w:val="22"/>
        </w:rPr>
        <w:t xml:space="preserve">Sucumbência recíproca 50/50: discutível, pois o autor obteve o principal objeto (conserto integral) e os lucros cessantes — conquanto reduzidos. Uma divisão 70/30 (a favor do autor) seria mais equânime</w:t>
      </w:r>
    </w:p>
    <w:p>
      <w:pPr>
        <w:pStyle w:val="ListParagraph"/>
        <w:numPr>
          <w:ilvl w:val="0"/>
          <w:numId w:val="2"/>
        </w:numPr>
        <w:spacing w:after="60" w:before="60"/>
      </w:pPr>
      <w:r>
        <w:rPr>
          <w:rFonts w:ascii="Arial" w:cs="Arial" w:eastAsia="Arial" w:hAnsi="Arial"/>
          <w:color w:val="1A1A2E"/>
          <w:sz w:val="22"/>
          <w:szCs w:val="22"/>
        </w:rPr>
        <w:t xml:space="preserve">Correção pelo IGP-M nos lucros cessantes: o IPCA seria mais adequado para lucros cessantes de trabalhador autônomo</w:t>
      </w:r>
    </w:p>
    <w:p>
      <w:pPr>
        <w:spacing w:before="160"/>
      </w:pPr>
    </w:p>
    <w:p>
      <w:pPr>
        <w:pStyle w:val="Heading1"/>
        <w:shd w:fill="1B3A6B" w:val="clear"/>
        <w:spacing w:after="160" w:before="400"/>
        <w:ind w:left="200" w:right="200"/>
      </w:pPr>
      <w:r>
        <w:rPr>
          <w:rFonts w:ascii="Arial" w:cs="Arial" w:eastAsia="Arial" w:hAnsi="Arial"/>
          <w:b/>
          <w:bCs/>
          <w:color w:val="FFFFFF"/>
          <w:sz w:val="30"/>
          <w:szCs w:val="30"/>
        </w:rPr>
        <w:t xml:space="preserve">9. ESTRATÉGIA RECURSAL — RECOMENDAÇÕES</w:t>
      </w:r>
    </w:p>
    <w:p>
      <w:pPr>
        <w:pBdr>
          <w:bottom w:val="single" w:color="2E6DA4" w:sz="4"/>
        </w:pBdr>
        <w:spacing w:after="60" w:before="60"/>
      </w:pPr>
    </w:p>
    <w:p>
      <w:pPr>
        <w:pStyle w:val="Heading2"/>
        <w:pBdr>
          <w:left w:val="single" w:color="2E6DA4" w:sz="12"/>
        </w:pBdr>
        <w:spacing w:after="100" w:before="280"/>
        <w:ind w:left="200"/>
      </w:pPr>
      <w:r>
        <w:rPr>
          <w:rFonts w:ascii="Arial" w:cs="Arial" w:eastAsia="Arial" w:hAnsi="Arial"/>
          <w:b/>
          <w:bCs/>
          <w:color w:val="1B3A6B"/>
          <w:sz w:val="26"/>
          <w:szCs w:val="26"/>
        </w:rPr>
        <w:t xml:space="preserve">9.1 Fundamentos para Recurso de Apelação pelo Autor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3706"/>
        <w:gridCol w:w="2600"/>
      </w:tblGrid>
      <w:tr>
        <w:trPr>
          <w:tblHeader/>
        </w:trPr>
        <w:tc>
          <w:tcPr>
            <w:tcW w:type="dxa" w:w="3200"/>
            <w:tcBorders>
              <w:top w:val="single" w:color="ffffff" w:sz="1"/>
              <w:left w:val="single" w:color="ffffff" w:sz="1"/>
              <w:bottom w:val="single" w:color="ffffff" w:sz="1"/>
              <w:right w:val="single" w:color="ffffff"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Matéria</w:t>
            </w:r>
          </w:p>
        </w:tc>
        <w:tc>
          <w:tcPr>
            <w:tcW w:type="dxa" w:w="3706"/>
            <w:tcBorders>
              <w:top w:val="single" w:color="ffffff" w:sz="1"/>
              <w:left w:val="single" w:color="ffffff" w:sz="1"/>
              <w:bottom w:val="single" w:color="ffffff" w:sz="1"/>
              <w:right w:val="single" w:color="ffffff"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Argumentação Recomendada</w:t>
            </w:r>
          </w:p>
        </w:tc>
        <w:tc>
          <w:tcPr>
            <w:tcW w:type="dxa" w:w="2600"/>
            <w:tcBorders>
              <w:top w:val="single" w:color="ffffff" w:sz="1"/>
              <w:left w:val="single" w:color="ffffff" w:sz="1"/>
              <w:bottom w:val="single" w:color="ffffff" w:sz="1"/>
              <w:right w:val="single" w:color="ffffff"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Expectativa</w:t>
            </w:r>
          </w:p>
        </w:tc>
      </w:tr>
      <w:tr>
        <w:tc>
          <w:tcPr>
            <w:tcW w:type="dxa" w:w="32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r>
              <w:rPr>
                <w:rFonts w:ascii="Arial" w:cs="Arial" w:eastAsia="Arial" w:hAnsi="Arial"/>
                <w:b w:val="false"/>
                <w:bCs w:val="false"/>
                <w:i w:val="false"/>
                <w:iCs w:val="false"/>
                <w:color w:val="1A1A2E"/>
                <w:sz w:val="20"/>
                <w:szCs w:val="20"/>
              </w:rPr>
              <w:t xml:space="preserve">Lucros Cessantes — majoração</w:t>
            </w:r>
          </w:p>
        </w:tc>
        <w:tc>
          <w:tcPr>
            <w:tcW w:type="dxa" w:w="3706"/>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r>
              <w:rPr>
                <w:rFonts w:ascii="Arial" w:cs="Arial" w:eastAsia="Arial" w:hAnsi="Arial"/>
                <w:b w:val="false"/>
                <w:bCs w:val="false"/>
                <w:i w:val="false"/>
                <w:iCs w:val="false"/>
                <w:color w:val="1A1A2E"/>
                <w:sz w:val="20"/>
                <w:szCs w:val="20"/>
              </w:rPr>
              <w:t xml:space="preserve">Provas testemunhais confirmando 7–8 fretes/mês à Probon + mudanças R$ 600/3h. Depoimento do autor (R$ 15–20k líquido/mês). Declaração Holand não foi contraditada.</w:t>
            </w:r>
          </w:p>
        </w:tc>
        <w:tc>
          <w:tcPr>
            <w:tcW w:type="dxa" w:w="26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r>
              <w:rPr>
                <w:rFonts w:ascii="Arial" w:cs="Arial" w:eastAsia="Arial" w:hAnsi="Arial"/>
                <w:b/>
                <w:bCs/>
                <w:i w:val="false"/>
                <w:iCs w:val="false"/>
                <w:color w:val="1A7A4A"/>
                <w:sz w:val="20"/>
                <w:szCs w:val="20"/>
              </w:rPr>
              <w:t xml:space="preserve">ALTA — base probatória sólida</w:t>
            </w:r>
          </w:p>
        </w:tc>
      </w:tr>
      <w:tr>
        <w:tc>
          <w:tcPr>
            <w:tcW w:type="dxa" w:w="3200"/>
            <w:tcBorders>
              <w:top w:val="single" w:color="C0C0C0" w:sz="1"/>
              <w:left w:val="single" w:color="C0C0C0" w:sz="1"/>
              <w:bottom w:val="single" w:color="C0C0C0" w:sz="1"/>
              <w:right w:val="single" w:color="C0C0C0" w:sz="1"/>
            </w:tcBorders>
            <w:tcMar>
              <w:top w:type="dxa" w:w="80"/>
              <w:left w:type="dxa" w:w="140"/>
              <w:bottom w:type="dxa" w:w="80"/>
              <w:right w:type="dxa" w:w="140"/>
            </w:tcMar>
            <w:vAlign w:val="center"/>
          </w:tcPr>
          <w:p>
            <w:r>
              <w:rPr>
                <w:rFonts w:ascii="Arial" w:cs="Arial" w:eastAsia="Arial" w:hAnsi="Arial"/>
                <w:b w:val="false"/>
                <w:bCs w:val="false"/>
                <w:i w:val="false"/>
                <w:iCs w:val="false"/>
                <w:color w:val="1A1A2E"/>
                <w:sz w:val="20"/>
                <w:szCs w:val="20"/>
              </w:rPr>
              <w:t xml:space="preserve">Danos Morais — fixação</w:t>
            </w:r>
          </w:p>
        </w:tc>
        <w:tc>
          <w:tcPr>
            <w:tcW w:type="dxa" w:w="3706"/>
            <w:tcBorders>
              <w:top w:val="single" w:color="C0C0C0" w:sz="1"/>
              <w:left w:val="single" w:color="C0C0C0" w:sz="1"/>
              <w:bottom w:val="single" w:color="C0C0C0" w:sz="1"/>
              <w:right w:val="single" w:color="C0C0C0" w:sz="1"/>
            </w:tcBorders>
            <w:tcMar>
              <w:top w:type="dxa" w:w="80"/>
              <w:left w:type="dxa" w:w="140"/>
              <w:bottom w:type="dxa" w:w="80"/>
              <w:right w:type="dxa" w:w="140"/>
            </w:tcMar>
            <w:vAlign w:val="center"/>
          </w:tcPr>
          <w:p>
            <w:r>
              <w:rPr>
                <w:rFonts w:ascii="Arial" w:cs="Arial" w:eastAsia="Arial" w:hAnsi="Arial"/>
                <w:b w:val="false"/>
                <w:bCs w:val="false"/>
                <w:i w:val="false"/>
                <w:iCs w:val="false"/>
                <w:color w:val="1A1A2E"/>
                <w:sz w:val="20"/>
                <w:szCs w:val="20"/>
              </w:rPr>
              <w:t xml:space="preserve">Dano in re ipsa: presenciou acidente com vítima fatal; 2+ anos sem trabalhar; laudo IML com imagens chocantes; STJ: Resp 1.772.730 e correlatos.</w:t>
            </w:r>
          </w:p>
        </w:tc>
        <w:tc>
          <w:tcPr>
            <w:tcW w:type="dxa" w:w="2600"/>
            <w:tcBorders>
              <w:top w:val="single" w:color="C0C0C0" w:sz="1"/>
              <w:left w:val="single" w:color="C0C0C0" w:sz="1"/>
              <w:bottom w:val="single" w:color="C0C0C0" w:sz="1"/>
              <w:right w:val="single" w:color="C0C0C0" w:sz="1"/>
            </w:tcBorders>
            <w:tcMar>
              <w:top w:type="dxa" w:w="80"/>
              <w:left w:type="dxa" w:w="140"/>
              <w:bottom w:type="dxa" w:w="80"/>
              <w:right w:type="dxa" w:w="140"/>
            </w:tcMar>
            <w:vAlign w:val="center"/>
          </w:tcPr>
          <w:p>
            <w:r>
              <w:rPr>
                <w:rFonts w:ascii="Arial" w:cs="Arial" w:eastAsia="Arial" w:hAnsi="Arial"/>
                <w:b/>
                <w:bCs/>
                <w:i w:val="false"/>
                <w:iCs w:val="false"/>
                <w:color w:val="D4860A"/>
                <w:sz w:val="20"/>
                <w:szCs w:val="20"/>
              </w:rPr>
              <w:t xml:space="preserve">MÉDIA-ALTA — jurisprud. favorável</w:t>
            </w:r>
          </w:p>
        </w:tc>
      </w:tr>
      <w:tr>
        <w:tc>
          <w:tcPr>
            <w:tcW w:type="dxa" w:w="32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r>
              <w:rPr>
                <w:rFonts w:ascii="Arial" w:cs="Arial" w:eastAsia="Arial" w:hAnsi="Arial"/>
                <w:b w:val="false"/>
                <w:bCs w:val="false"/>
                <w:i w:val="false"/>
                <w:iCs w:val="false"/>
                <w:color w:val="1A1A2E"/>
                <w:sz w:val="20"/>
                <w:szCs w:val="20"/>
              </w:rPr>
              <w:t xml:space="preserve">Depreciação — Ré Mesquita diretamente</w:t>
            </w:r>
          </w:p>
        </w:tc>
        <w:tc>
          <w:tcPr>
            <w:tcW w:type="dxa" w:w="3706"/>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r>
              <w:rPr>
                <w:rFonts w:ascii="Arial" w:cs="Arial" w:eastAsia="Arial" w:hAnsi="Arial"/>
                <w:b w:val="false"/>
                <w:bCs w:val="false"/>
                <w:i w:val="false"/>
                <w:iCs w:val="false"/>
                <w:color w:val="1A1A2E"/>
                <w:sz w:val="20"/>
                <w:szCs w:val="20"/>
              </w:rPr>
              <w:t xml:space="preserve">A exclusão da apólice não vincula a empregadora (responsável civil principal). Requerer produção de prova pericial específica.</w:t>
            </w:r>
          </w:p>
        </w:tc>
        <w:tc>
          <w:tcPr>
            <w:tcW w:type="dxa" w:w="26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r>
              <w:rPr>
                <w:rFonts w:ascii="Arial" w:cs="Arial" w:eastAsia="Arial" w:hAnsi="Arial"/>
                <w:b/>
                <w:bCs/>
                <w:i w:val="false"/>
                <w:iCs w:val="false"/>
                <w:color w:val="D4860A"/>
                <w:sz w:val="20"/>
                <w:szCs w:val="20"/>
              </w:rPr>
              <w:t xml:space="preserve">MÉDIA — requer prova pericial</w:t>
            </w:r>
          </w:p>
        </w:tc>
      </w:tr>
      <w:tr>
        <w:tc>
          <w:tcPr>
            <w:tcW w:type="dxa" w:w="3200"/>
            <w:tcBorders>
              <w:top w:val="single" w:color="C0C0C0" w:sz="1"/>
              <w:left w:val="single" w:color="C0C0C0" w:sz="1"/>
              <w:bottom w:val="single" w:color="C0C0C0" w:sz="1"/>
              <w:right w:val="single" w:color="C0C0C0" w:sz="1"/>
            </w:tcBorders>
            <w:tcMar>
              <w:top w:type="dxa" w:w="80"/>
              <w:left w:type="dxa" w:w="140"/>
              <w:bottom w:type="dxa" w:w="80"/>
              <w:right w:type="dxa" w:w="140"/>
            </w:tcMar>
            <w:vAlign w:val="center"/>
          </w:tcPr>
          <w:p>
            <w:r>
              <w:rPr>
                <w:rFonts w:ascii="Arial" w:cs="Arial" w:eastAsia="Arial" w:hAnsi="Arial"/>
                <w:b w:val="false"/>
                <w:bCs w:val="false"/>
                <w:i w:val="false"/>
                <w:iCs w:val="false"/>
                <w:color w:val="1A1A2E"/>
                <w:sz w:val="20"/>
                <w:szCs w:val="20"/>
              </w:rPr>
              <w:t xml:space="preserve">Sucumbência — redistribuição</w:t>
            </w:r>
          </w:p>
        </w:tc>
        <w:tc>
          <w:tcPr>
            <w:tcW w:type="dxa" w:w="3706"/>
            <w:tcBorders>
              <w:top w:val="single" w:color="C0C0C0" w:sz="1"/>
              <w:left w:val="single" w:color="C0C0C0" w:sz="1"/>
              <w:bottom w:val="single" w:color="C0C0C0" w:sz="1"/>
              <w:right w:val="single" w:color="C0C0C0" w:sz="1"/>
            </w:tcBorders>
            <w:tcMar>
              <w:top w:type="dxa" w:w="80"/>
              <w:left w:type="dxa" w:w="140"/>
              <w:bottom w:type="dxa" w:w="80"/>
              <w:right w:type="dxa" w:w="140"/>
            </w:tcMar>
            <w:vAlign w:val="center"/>
          </w:tcPr>
          <w:p>
            <w:r>
              <w:rPr>
                <w:rFonts w:ascii="Arial" w:cs="Arial" w:eastAsia="Arial" w:hAnsi="Arial"/>
                <w:b w:val="false"/>
                <w:bCs w:val="false"/>
                <w:i w:val="false"/>
                <w:iCs w:val="false"/>
                <w:color w:val="1A1A2E"/>
                <w:sz w:val="20"/>
                <w:szCs w:val="20"/>
              </w:rPr>
              <w:t xml:space="preserve">Autor obteve o principal objeto (conserto integral + lucros cessantes). Divisão 50/50 desproporcionalmente onerosa para a parte hipossuficiente.</w:t>
            </w:r>
          </w:p>
        </w:tc>
        <w:tc>
          <w:tcPr>
            <w:tcW w:type="dxa" w:w="2600"/>
            <w:tcBorders>
              <w:top w:val="single" w:color="C0C0C0" w:sz="1"/>
              <w:left w:val="single" w:color="C0C0C0" w:sz="1"/>
              <w:bottom w:val="single" w:color="C0C0C0" w:sz="1"/>
              <w:right w:val="single" w:color="C0C0C0" w:sz="1"/>
            </w:tcBorders>
            <w:tcMar>
              <w:top w:type="dxa" w:w="80"/>
              <w:left w:type="dxa" w:w="140"/>
              <w:bottom w:type="dxa" w:w="80"/>
              <w:right w:type="dxa" w:w="140"/>
            </w:tcMar>
            <w:vAlign w:val="center"/>
          </w:tcPr>
          <w:p>
            <w:r>
              <w:rPr>
                <w:rFonts w:ascii="Arial" w:cs="Arial" w:eastAsia="Arial" w:hAnsi="Arial"/>
                <w:b/>
                <w:bCs/>
                <w:i w:val="false"/>
                <w:iCs w:val="false"/>
                <w:color w:val="D4860A"/>
                <w:sz w:val="20"/>
                <w:szCs w:val="20"/>
              </w:rPr>
              <w:t xml:space="preserve">MÉDIA — critério discricionário</w:t>
            </w:r>
          </w:p>
        </w:tc>
      </w:tr>
      <w:tr>
        <w:tc>
          <w:tcPr>
            <w:tcW w:type="dxa" w:w="32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r>
              <w:rPr>
                <w:rFonts w:ascii="Arial" w:cs="Arial" w:eastAsia="Arial" w:hAnsi="Arial"/>
                <w:b w:val="false"/>
                <w:bCs w:val="false"/>
                <w:i w:val="false"/>
                <w:iCs w:val="false"/>
                <w:color w:val="1A1A2E"/>
                <w:sz w:val="20"/>
                <w:szCs w:val="20"/>
              </w:rPr>
              <w:t xml:space="preserve">Índice de correção dos lucros cessantes</w:t>
            </w:r>
          </w:p>
        </w:tc>
        <w:tc>
          <w:tcPr>
            <w:tcW w:type="dxa" w:w="3706"/>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r>
              <w:rPr>
                <w:rFonts w:ascii="Arial" w:cs="Arial" w:eastAsia="Arial" w:hAnsi="Arial"/>
                <w:b w:val="false"/>
                <w:bCs w:val="false"/>
                <w:i w:val="false"/>
                <w:iCs w:val="false"/>
                <w:color w:val="1A1A2E"/>
                <w:sz w:val="20"/>
                <w:szCs w:val="20"/>
              </w:rPr>
              <w:t xml:space="preserve">Substituição do IGP-M por INPC ou IPCA para verbas de caráter salarial.</w:t>
            </w:r>
          </w:p>
        </w:tc>
        <w:tc>
          <w:tcPr>
            <w:tcW w:type="dxa" w:w="26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r>
              <w:rPr>
                <w:rFonts w:ascii="Arial" w:cs="Arial" w:eastAsia="Arial" w:hAnsi="Arial"/>
                <w:b w:val="false"/>
                <w:bCs w:val="false"/>
                <w:i w:val="false"/>
                <w:iCs w:val="false"/>
                <w:color w:val="D4860A"/>
                <w:sz w:val="20"/>
                <w:szCs w:val="20"/>
              </w:rPr>
              <w:t xml:space="preserve">MÉDIA — dependente do período</w:t>
            </w:r>
          </w:p>
        </w:tc>
      </w:tr>
    </w:tbl>
    <w:p>
      <w:pPr>
        <w:spacing w:before="160"/>
      </w:pPr>
    </w:p>
    <w:p>
      <w:pPr>
        <w:pStyle w:val="Heading2"/>
        <w:pBdr>
          <w:left w:val="single" w:color="2E6DA4" w:sz="12"/>
        </w:pBdr>
        <w:spacing w:after="100" w:before="280"/>
        <w:ind w:left="200"/>
      </w:pPr>
      <w:r>
        <w:rPr>
          <w:rFonts w:ascii="Arial" w:cs="Arial" w:eastAsia="Arial" w:hAnsi="Arial"/>
          <w:b/>
          <w:bCs/>
          <w:color w:val="1B3A6B"/>
          <w:sz w:val="26"/>
          <w:szCs w:val="26"/>
        </w:rPr>
        <w:t xml:space="preserve">9.2 Atenção ao Cumprimento de Sentença</w:t>
      </w:r>
    </w:p>
    <w:p>
      <w:pPr>
        <w:pStyle w:val="ListParagraph"/>
        <w:numPr>
          <w:ilvl w:val="0"/>
          <w:numId w:val="2"/>
        </w:numPr>
        <w:spacing w:after="60" w:before="60"/>
      </w:pPr>
      <w:r>
        <w:rPr>
          <w:rFonts w:ascii="Arial" w:cs="Arial" w:eastAsia="Arial" w:hAnsi="Arial"/>
          <w:color w:val="1A1A2E"/>
          <w:sz w:val="22"/>
          <w:szCs w:val="22"/>
        </w:rPr>
        <w:t xml:space="preserve">Monitorar rigorosamente o início do conserto (prazo de 30 dias da sentença transitada em julgado)</w:t>
      </w:r>
    </w:p>
    <w:p>
      <w:pPr>
        <w:pStyle w:val="ListParagraph"/>
        <w:numPr>
          <w:ilvl w:val="0"/>
          <w:numId w:val="2"/>
        </w:numPr>
        <w:spacing w:after="60" w:before="60"/>
      </w:pPr>
      <w:r>
        <w:rPr>
          <w:rFonts w:ascii="Arial" w:cs="Arial" w:eastAsia="Arial" w:hAnsi="Arial"/>
          <w:color w:val="1A1A2E"/>
          <w:sz w:val="22"/>
          <w:szCs w:val="22"/>
        </w:rPr>
        <w:t xml:space="preserve">Contratar profissional técnico independente para acompanhar o conserto e elaborar laudo comparativo (estado pré vs. pós)</w:t>
      </w:r>
    </w:p>
    <w:p>
      <w:pPr>
        <w:pStyle w:val="ListParagraph"/>
        <w:numPr>
          <w:ilvl w:val="0"/>
          <w:numId w:val="2"/>
        </w:numPr>
        <w:spacing w:after="60" w:before="60"/>
      </w:pPr>
      <w:r>
        <w:rPr>
          <w:rFonts w:ascii="Arial" w:cs="Arial" w:eastAsia="Arial" w:hAnsi="Arial"/>
          <w:color w:val="1A1A2E"/>
          <w:sz w:val="22"/>
          <w:szCs w:val="22"/>
        </w:rPr>
        <w:t xml:space="preserve">Ao abrir o motor e caixas, documentar todos os danos adicionais para justificar valor superior ao orçamento preliminar</w:t>
      </w:r>
    </w:p>
    <w:p>
      <w:pPr>
        <w:pStyle w:val="ListParagraph"/>
        <w:numPr>
          <w:ilvl w:val="0"/>
          <w:numId w:val="2"/>
        </w:numPr>
        <w:spacing w:after="60" w:before="60"/>
      </w:pPr>
      <w:r>
        <w:rPr>
          <w:rFonts w:ascii="Arial" w:cs="Arial" w:eastAsia="Arial" w:hAnsi="Arial"/>
          <w:color w:val="1A1A2E"/>
          <w:sz w:val="22"/>
          <w:szCs w:val="22"/>
        </w:rPr>
        <w:t xml:space="preserve">Se as rés não iniciarem o conserto no prazo, requerer imediatamente autorização para contratação direta + SISBAJUD para o custo atualizado (considerar a inflação desde mai/2021)</w:t>
      </w:r>
    </w:p>
    <w:p>
      <w:pPr>
        <w:pStyle w:val="ListParagraph"/>
        <w:numPr>
          <w:ilvl w:val="0"/>
          <w:numId w:val="2"/>
        </w:numPr>
        <w:spacing w:after="60" w:before="60"/>
      </w:pPr>
      <w:r>
        <w:rPr>
          <w:rFonts w:ascii="Arial" w:cs="Arial" w:eastAsia="Arial" w:hAnsi="Arial"/>
          <w:color w:val="1A1A2E"/>
          <w:sz w:val="22"/>
          <w:szCs w:val="22"/>
        </w:rPr>
        <w:t xml:space="preserve">Avaliar se os lucros cessantes continuarão fluindo mensalmente durante toda a fase de conserto — requerer atualização mensal dos valores</w:t>
      </w:r>
    </w:p>
    <w:p>
      <w:pPr>
        <w:spacing w:before="160"/>
      </w:pPr>
    </w:p>
    <w:p>
      <w:pPr>
        <w:pStyle w:val="Heading1"/>
        <w:shd w:fill="1B3A6B" w:val="clear"/>
        <w:spacing w:after="160" w:before="400"/>
        <w:ind w:left="200" w:right="200"/>
      </w:pPr>
      <w:r>
        <w:rPr>
          <w:rFonts w:ascii="Arial" w:cs="Arial" w:eastAsia="Arial" w:hAnsi="Arial"/>
          <w:b/>
          <w:bCs/>
          <w:color w:val="FFFFFF"/>
          <w:sz w:val="30"/>
          <w:szCs w:val="30"/>
        </w:rPr>
        <w:t xml:space="preserve">10. QUADRO COMPARATIVO DE VALORES</w:t>
      </w:r>
    </w:p>
    <w:p>
      <w:pPr>
        <w:pBdr>
          <w:bottom w:val="single" w:color="2E6DA4" w:sz="4"/>
        </w:pBdr>
        <w:spacing w:after="60" w:before="6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300"/>
        <w:gridCol w:w="1906"/>
        <w:gridCol w:w="2200"/>
        <w:gridCol w:w="2100"/>
      </w:tblGrid>
      <w:tr>
        <w:trPr>
          <w:tblHeader/>
        </w:trPr>
        <w:tc>
          <w:tcPr>
            <w:tcW w:type="dxa" w:w="3300"/>
            <w:tcBorders>
              <w:top w:val="single" w:color="ffffff" w:sz="1"/>
              <w:left w:val="single" w:color="ffffff" w:sz="1"/>
              <w:bottom w:val="single" w:color="ffffff" w:sz="1"/>
              <w:right w:val="single" w:color="ffffff"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Verba</w:t>
            </w:r>
          </w:p>
        </w:tc>
        <w:tc>
          <w:tcPr>
            <w:tcW w:type="dxa" w:w="1906"/>
            <w:tcBorders>
              <w:top w:val="single" w:color="ffffff" w:sz="1"/>
              <w:left w:val="single" w:color="ffffff" w:sz="1"/>
              <w:bottom w:val="single" w:color="ffffff" w:sz="1"/>
              <w:right w:val="single" w:color="ffffff"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Pleiteado</w:t>
            </w:r>
          </w:p>
        </w:tc>
        <w:tc>
          <w:tcPr>
            <w:tcW w:type="dxa" w:w="2200"/>
            <w:tcBorders>
              <w:top w:val="single" w:color="ffffff" w:sz="1"/>
              <w:left w:val="single" w:color="ffffff" w:sz="1"/>
              <w:bottom w:val="single" w:color="ffffff" w:sz="1"/>
              <w:right w:val="single" w:color="ffffff"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Sentenciado</w:t>
            </w:r>
          </w:p>
        </w:tc>
        <w:tc>
          <w:tcPr>
            <w:tcW w:type="dxa" w:w="2100"/>
            <w:tcBorders>
              <w:top w:val="single" w:color="ffffff" w:sz="1"/>
              <w:left w:val="single" w:color="ffffff" w:sz="1"/>
              <w:bottom w:val="single" w:color="ffffff" w:sz="1"/>
              <w:right w:val="single" w:color="ffffff"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Diferença</w:t>
            </w:r>
          </w:p>
        </w:tc>
      </w:tr>
      <w:tr>
        <w:tc>
          <w:tcPr>
            <w:tcW w:type="dxa" w:w="33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r>
              <w:rPr>
                <w:rFonts w:ascii="Arial" w:cs="Arial" w:eastAsia="Arial" w:hAnsi="Arial"/>
                <w:b w:val="false"/>
                <w:bCs w:val="false"/>
                <w:i w:val="false"/>
                <w:iCs w:val="false"/>
                <w:color w:val="1A1A2E"/>
                <w:sz w:val="20"/>
                <w:szCs w:val="20"/>
              </w:rPr>
              <w:t xml:space="preserve">Danos emergentes (conserto)</w:t>
            </w:r>
          </w:p>
        </w:tc>
        <w:tc>
          <w:tcPr>
            <w:tcW w:type="dxa" w:w="19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r>
              <w:rPr>
                <w:rFonts w:ascii="Arial" w:cs="Arial" w:eastAsia="Arial" w:hAnsi="Arial"/>
                <w:b w:val="false"/>
                <w:bCs w:val="false"/>
                <w:i w:val="false"/>
                <w:iCs w:val="false"/>
                <w:color w:val="1A1A2E"/>
                <w:sz w:val="20"/>
                <w:szCs w:val="20"/>
              </w:rPr>
              <w:t xml:space="preserve">R$ 62.515,00+</w:t>
            </w:r>
          </w:p>
        </w:tc>
        <w:tc>
          <w:tcPr>
            <w:tcW w:type="dxa" w:w="22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r>
              <w:rPr>
                <w:rFonts w:ascii="Arial" w:cs="Arial" w:eastAsia="Arial" w:hAnsi="Arial"/>
                <w:b w:val="false"/>
                <w:bCs w:val="false"/>
                <w:i w:val="false"/>
                <w:iCs w:val="false"/>
                <w:color w:val="1A7A4A"/>
                <w:sz w:val="20"/>
                <w:szCs w:val="20"/>
              </w:rPr>
              <w:t xml:space="preserve">Conserto integral (mín. R$ 62.515,00)</w:t>
            </w:r>
          </w:p>
        </w:tc>
        <w:tc>
          <w:tcPr>
            <w:tcW w:type="dxa" w:w="21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r>
              <w:rPr>
                <w:rFonts w:ascii="Arial" w:cs="Arial" w:eastAsia="Arial" w:hAnsi="Arial"/>
                <w:b w:val="false"/>
                <w:bCs w:val="false"/>
                <w:i w:val="false"/>
                <w:iCs w:val="false"/>
                <w:color w:val="1A1A2E"/>
                <w:sz w:val="20"/>
                <w:szCs w:val="20"/>
              </w:rPr>
              <w:t xml:space="preserve">Equivalente / potencial +</w:t>
            </w:r>
          </w:p>
        </w:tc>
      </w:tr>
      <w:tr>
        <w:tc>
          <w:tcPr>
            <w:tcW w:type="dxa" w:w="3300"/>
            <w:tcBorders>
              <w:top w:val="single" w:color="C0C0C0" w:sz="1"/>
              <w:left w:val="single" w:color="C0C0C0" w:sz="1"/>
              <w:bottom w:val="single" w:color="C0C0C0" w:sz="1"/>
              <w:right w:val="single" w:color="C0C0C0" w:sz="1"/>
            </w:tcBorders>
            <w:tcMar>
              <w:top w:type="dxa" w:w="80"/>
              <w:left w:type="dxa" w:w="140"/>
              <w:bottom w:type="dxa" w:w="80"/>
              <w:right w:type="dxa" w:w="140"/>
            </w:tcMar>
            <w:vAlign w:val="center"/>
          </w:tcPr>
          <w:p>
            <w:r>
              <w:rPr>
                <w:rFonts w:ascii="Arial" w:cs="Arial" w:eastAsia="Arial" w:hAnsi="Arial"/>
                <w:b w:val="false"/>
                <w:bCs w:val="false"/>
                <w:i w:val="false"/>
                <w:iCs w:val="false"/>
                <w:color w:val="1A1A2E"/>
                <w:sz w:val="20"/>
                <w:szCs w:val="20"/>
              </w:rPr>
              <w:t xml:space="preserve">Lucros cessantes (até o conserto — est. 24+ meses)</w:t>
            </w:r>
          </w:p>
        </w:tc>
        <w:tc>
          <w:tcPr>
            <w:tcW w:type="dxa" w:w="1906"/>
            <w:tcBorders>
              <w:top w:val="single" w:color="C0C0C0" w:sz="1"/>
              <w:left w:val="single" w:color="C0C0C0" w:sz="1"/>
              <w:bottom w:val="single" w:color="C0C0C0" w:sz="1"/>
              <w:right w:val="single" w:color="C0C0C0" w:sz="1"/>
            </w:tcBorders>
            <w:tcMar>
              <w:top w:type="dxa" w:w="80"/>
              <w:left w:type="dxa" w:w="140"/>
              <w:bottom w:type="dxa" w:w="80"/>
              <w:right w:type="dxa" w:w="140"/>
            </w:tcMar>
            <w:vAlign w:val="center"/>
          </w:tcPr>
          <w:p>
            <w:r>
              <w:rPr>
                <w:rFonts w:ascii="Arial" w:cs="Arial" w:eastAsia="Arial" w:hAnsi="Arial"/>
                <w:b w:val="false"/>
                <w:bCs w:val="false"/>
                <w:i w:val="false"/>
                <w:iCs w:val="false"/>
                <w:color w:val="1A1A2E"/>
                <w:sz w:val="20"/>
                <w:szCs w:val="20"/>
              </w:rPr>
              <w:t xml:space="preserve">R$ 16.698,70/mês</w:t>
            </w:r>
          </w:p>
        </w:tc>
        <w:tc>
          <w:tcPr>
            <w:tcW w:type="dxa" w:w="2200"/>
            <w:tcBorders>
              <w:top w:val="single" w:color="C0C0C0" w:sz="1"/>
              <w:left w:val="single" w:color="C0C0C0" w:sz="1"/>
              <w:bottom w:val="single" w:color="C0C0C0" w:sz="1"/>
              <w:right w:val="single" w:color="C0C0C0" w:sz="1"/>
            </w:tcBorders>
            <w:tcMar>
              <w:top w:type="dxa" w:w="80"/>
              <w:left w:type="dxa" w:w="140"/>
              <w:bottom w:type="dxa" w:w="80"/>
              <w:right w:type="dxa" w:w="140"/>
            </w:tcMar>
            <w:vAlign w:val="center"/>
          </w:tcPr>
          <w:p>
            <w:r>
              <w:rPr>
                <w:rFonts w:ascii="Arial" w:cs="Arial" w:eastAsia="Arial" w:hAnsi="Arial"/>
                <w:b w:val="false"/>
                <w:bCs w:val="false"/>
                <w:i w:val="false"/>
                <w:iCs w:val="false"/>
                <w:color w:val="D4860A"/>
                <w:sz w:val="20"/>
                <w:szCs w:val="20"/>
              </w:rPr>
              <w:t xml:space="preserve">R$ 3.000,00/mês</w:t>
            </w:r>
          </w:p>
        </w:tc>
        <w:tc>
          <w:tcPr>
            <w:tcW w:type="dxa" w:w="2100"/>
            <w:tcBorders>
              <w:top w:val="single" w:color="C0C0C0" w:sz="1"/>
              <w:left w:val="single" w:color="C0C0C0" w:sz="1"/>
              <w:bottom w:val="single" w:color="C0C0C0" w:sz="1"/>
              <w:right w:val="single" w:color="C0C0C0" w:sz="1"/>
            </w:tcBorders>
            <w:tcMar>
              <w:top w:type="dxa" w:w="80"/>
              <w:left w:type="dxa" w:w="140"/>
              <w:bottom w:type="dxa" w:w="80"/>
              <w:right w:type="dxa" w:w="140"/>
            </w:tcMar>
            <w:vAlign w:val="center"/>
          </w:tcPr>
          <w:p>
            <w:r>
              <w:rPr>
                <w:rFonts w:ascii="Arial" w:cs="Arial" w:eastAsia="Arial" w:hAnsi="Arial"/>
                <w:b w:val="false"/>
                <w:bCs w:val="false"/>
                <w:i w:val="false"/>
                <w:iCs w:val="false"/>
                <w:color w:val="C0392B"/>
                <w:sz w:val="20"/>
                <w:szCs w:val="20"/>
              </w:rPr>
              <w:t xml:space="preserve">Déficit: ~R$ 13.698,70/mês</w:t>
            </w:r>
          </w:p>
        </w:tc>
      </w:tr>
      <w:tr>
        <w:tc>
          <w:tcPr>
            <w:tcW w:type="dxa" w:w="33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r>
              <w:rPr>
                <w:rFonts w:ascii="Arial" w:cs="Arial" w:eastAsia="Arial" w:hAnsi="Arial"/>
                <w:b w:val="false"/>
                <w:bCs w:val="false"/>
                <w:i w:val="false"/>
                <w:iCs w:val="false"/>
                <w:color w:val="1A1A2E"/>
                <w:sz w:val="20"/>
                <w:szCs w:val="20"/>
              </w:rPr>
              <w:t xml:space="preserve">Depreciação do veículo</w:t>
            </w:r>
          </w:p>
        </w:tc>
        <w:tc>
          <w:tcPr>
            <w:tcW w:type="dxa" w:w="1906"/>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r>
              <w:rPr>
                <w:rFonts w:ascii="Arial" w:cs="Arial" w:eastAsia="Arial" w:hAnsi="Arial"/>
                <w:b w:val="false"/>
                <w:bCs w:val="false"/>
                <w:i w:val="false"/>
                <w:iCs w:val="false"/>
                <w:color w:val="1A1A2E"/>
                <w:sz w:val="20"/>
                <w:szCs w:val="20"/>
              </w:rPr>
              <w:t xml:space="preserve">R$ 24.000,00</w:t>
            </w:r>
          </w:p>
        </w:tc>
        <w:tc>
          <w:tcPr>
            <w:tcW w:type="dxa" w:w="22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r>
              <w:rPr>
                <w:rFonts w:ascii="Arial" w:cs="Arial" w:eastAsia="Arial" w:hAnsi="Arial"/>
                <w:b w:val="false"/>
                <w:bCs w:val="false"/>
                <w:i w:val="false"/>
                <w:iCs w:val="false"/>
                <w:color w:val="C0392B"/>
                <w:sz w:val="20"/>
                <w:szCs w:val="20"/>
              </w:rPr>
              <w:t xml:space="preserve">R$ 0,00</w:t>
            </w:r>
          </w:p>
        </w:tc>
        <w:tc>
          <w:tcPr>
            <w:tcW w:type="dxa" w:w="21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r>
              <w:rPr>
                <w:rFonts w:ascii="Arial" w:cs="Arial" w:eastAsia="Arial" w:hAnsi="Arial"/>
                <w:b w:val="false"/>
                <w:bCs w:val="false"/>
                <w:i w:val="false"/>
                <w:iCs w:val="false"/>
                <w:color w:val="C0392B"/>
                <w:sz w:val="20"/>
                <w:szCs w:val="20"/>
              </w:rPr>
              <w:t xml:space="preserve">Déficit: R$ 24.000,00</w:t>
            </w:r>
          </w:p>
        </w:tc>
      </w:tr>
      <w:tr>
        <w:tc>
          <w:tcPr>
            <w:tcW w:type="dxa" w:w="3300"/>
            <w:tcBorders>
              <w:top w:val="single" w:color="C0C0C0" w:sz="1"/>
              <w:left w:val="single" w:color="C0C0C0" w:sz="1"/>
              <w:bottom w:val="single" w:color="C0C0C0" w:sz="1"/>
              <w:right w:val="single" w:color="C0C0C0" w:sz="1"/>
            </w:tcBorders>
            <w:tcMar>
              <w:top w:type="dxa" w:w="80"/>
              <w:left w:type="dxa" w:w="140"/>
              <w:bottom w:type="dxa" w:w="80"/>
              <w:right w:type="dxa" w:w="140"/>
            </w:tcMar>
            <w:vAlign w:val="center"/>
          </w:tcPr>
          <w:p>
            <w:r>
              <w:rPr>
                <w:rFonts w:ascii="Arial" w:cs="Arial" w:eastAsia="Arial" w:hAnsi="Arial"/>
                <w:b w:val="false"/>
                <w:bCs w:val="false"/>
                <w:i w:val="false"/>
                <w:iCs w:val="false"/>
                <w:color w:val="1A1A2E"/>
                <w:sz w:val="20"/>
                <w:szCs w:val="20"/>
              </w:rPr>
              <w:t xml:space="preserve">Danos morais</w:t>
            </w:r>
          </w:p>
        </w:tc>
        <w:tc>
          <w:tcPr>
            <w:tcW w:type="dxa" w:w="1906"/>
            <w:tcBorders>
              <w:top w:val="single" w:color="C0C0C0" w:sz="1"/>
              <w:left w:val="single" w:color="C0C0C0" w:sz="1"/>
              <w:bottom w:val="single" w:color="C0C0C0" w:sz="1"/>
              <w:right w:val="single" w:color="C0C0C0" w:sz="1"/>
            </w:tcBorders>
            <w:tcMar>
              <w:top w:type="dxa" w:w="80"/>
              <w:left w:type="dxa" w:w="140"/>
              <w:bottom w:type="dxa" w:w="80"/>
              <w:right w:type="dxa" w:w="140"/>
            </w:tcMar>
            <w:vAlign w:val="center"/>
          </w:tcPr>
          <w:p>
            <w:r>
              <w:rPr>
                <w:rFonts w:ascii="Arial" w:cs="Arial" w:eastAsia="Arial" w:hAnsi="Arial"/>
                <w:b w:val="false"/>
                <w:bCs w:val="false"/>
                <w:i w:val="false"/>
                <w:iCs w:val="false"/>
                <w:color w:val="1A1A2E"/>
                <w:sz w:val="20"/>
                <w:szCs w:val="20"/>
              </w:rPr>
              <w:t xml:space="preserve">R$ 30.000,00</w:t>
            </w:r>
          </w:p>
        </w:tc>
        <w:tc>
          <w:tcPr>
            <w:tcW w:type="dxa" w:w="2200"/>
            <w:tcBorders>
              <w:top w:val="single" w:color="C0C0C0" w:sz="1"/>
              <w:left w:val="single" w:color="C0C0C0" w:sz="1"/>
              <w:bottom w:val="single" w:color="C0C0C0" w:sz="1"/>
              <w:right w:val="single" w:color="C0C0C0" w:sz="1"/>
            </w:tcBorders>
            <w:tcMar>
              <w:top w:type="dxa" w:w="80"/>
              <w:left w:type="dxa" w:w="140"/>
              <w:bottom w:type="dxa" w:w="80"/>
              <w:right w:type="dxa" w:w="140"/>
            </w:tcMar>
            <w:vAlign w:val="center"/>
          </w:tcPr>
          <w:p>
            <w:r>
              <w:rPr>
                <w:rFonts w:ascii="Arial" w:cs="Arial" w:eastAsia="Arial" w:hAnsi="Arial"/>
                <w:b w:val="false"/>
                <w:bCs w:val="false"/>
                <w:i w:val="false"/>
                <w:iCs w:val="false"/>
                <w:color w:val="C0392B"/>
                <w:sz w:val="20"/>
                <w:szCs w:val="20"/>
              </w:rPr>
              <w:t xml:space="preserve">R$ 0,00</w:t>
            </w:r>
          </w:p>
        </w:tc>
        <w:tc>
          <w:tcPr>
            <w:tcW w:type="dxa" w:w="2100"/>
            <w:tcBorders>
              <w:top w:val="single" w:color="C0C0C0" w:sz="1"/>
              <w:left w:val="single" w:color="C0C0C0" w:sz="1"/>
              <w:bottom w:val="single" w:color="C0C0C0" w:sz="1"/>
              <w:right w:val="single" w:color="C0C0C0" w:sz="1"/>
            </w:tcBorders>
            <w:tcMar>
              <w:top w:type="dxa" w:w="80"/>
              <w:left w:type="dxa" w:w="140"/>
              <w:bottom w:type="dxa" w:w="80"/>
              <w:right w:type="dxa" w:w="140"/>
            </w:tcMar>
            <w:vAlign w:val="center"/>
          </w:tcPr>
          <w:p>
            <w:r>
              <w:rPr>
                <w:rFonts w:ascii="Arial" w:cs="Arial" w:eastAsia="Arial" w:hAnsi="Arial"/>
                <w:b w:val="false"/>
                <w:bCs w:val="false"/>
                <w:i w:val="false"/>
                <w:iCs w:val="false"/>
                <w:color w:val="C0392B"/>
                <w:sz w:val="20"/>
                <w:szCs w:val="20"/>
              </w:rPr>
              <w:t xml:space="preserve">Déficit: R$ 30.000,00</w:t>
            </w:r>
          </w:p>
        </w:tc>
      </w:tr>
      <w:tr>
        <w:tc>
          <w:tcPr>
            <w:tcW w:type="dxa" w:w="33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r>
              <w:rPr>
                <w:rFonts w:ascii="Arial" w:cs="Arial" w:eastAsia="Arial" w:hAnsi="Arial"/>
                <w:b w:val="false"/>
                <w:bCs w:val="false"/>
                <w:i w:val="false"/>
                <w:iCs w:val="false"/>
                <w:color w:val="1A1A2E"/>
                <w:sz w:val="20"/>
                <w:szCs w:val="20"/>
              </w:rPr>
              <w:t xml:space="preserve">Honorários contratuais</w:t>
            </w:r>
          </w:p>
        </w:tc>
        <w:tc>
          <w:tcPr>
            <w:tcW w:type="dxa" w:w="1906"/>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r>
              <w:rPr>
                <w:rFonts w:ascii="Arial" w:cs="Arial" w:eastAsia="Arial" w:hAnsi="Arial"/>
                <w:b w:val="false"/>
                <w:bCs w:val="false"/>
                <w:i w:val="false"/>
                <w:iCs w:val="false"/>
                <w:color w:val="1A1A2E"/>
                <w:sz w:val="20"/>
                <w:szCs w:val="20"/>
              </w:rPr>
              <w:t xml:space="preserve">R$ 500,00 + 25%</w:t>
            </w:r>
          </w:p>
        </w:tc>
        <w:tc>
          <w:tcPr>
            <w:tcW w:type="dxa" w:w="22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r>
              <w:rPr>
                <w:rFonts w:ascii="Arial" w:cs="Arial" w:eastAsia="Arial" w:hAnsi="Arial"/>
                <w:b w:val="false"/>
                <w:bCs w:val="false"/>
                <w:i w:val="false"/>
                <w:iCs w:val="false"/>
                <w:color w:val="C0392B"/>
                <w:sz w:val="20"/>
                <w:szCs w:val="20"/>
              </w:rPr>
              <w:t xml:space="preserve">R$ 0,00</w:t>
            </w:r>
          </w:p>
        </w:tc>
        <w:tc>
          <w:tcPr>
            <w:tcW w:type="dxa" w:w="2100"/>
            <w:tcBorders>
              <w:top w:val="single" w:color="C0C0C0" w:sz="1"/>
              <w:left w:val="single" w:color="C0C0C0" w:sz="1"/>
              <w:bottom w:val="single" w:color="C0C0C0" w:sz="1"/>
              <w:right w:val="single" w:color="C0C0C0" w:sz="1"/>
            </w:tcBorders>
            <w:shd w:fill="EBF3FB" w:val="clear"/>
            <w:tcMar>
              <w:top w:type="dxa" w:w="80"/>
              <w:left w:type="dxa" w:w="140"/>
              <w:bottom w:type="dxa" w:w="80"/>
              <w:right w:type="dxa" w:w="140"/>
            </w:tcMar>
            <w:vAlign w:val="center"/>
          </w:tcPr>
          <w:p>
            <w:r>
              <w:rPr>
                <w:rFonts w:ascii="Arial" w:cs="Arial" w:eastAsia="Arial" w:hAnsi="Arial"/>
                <w:b w:val="false"/>
                <w:bCs w:val="false"/>
                <w:i w:val="false"/>
                <w:iCs w:val="false"/>
                <w:color w:val="1A1A2E"/>
                <w:sz w:val="20"/>
                <w:szCs w:val="20"/>
              </w:rPr>
              <w:t xml:space="preserve">Indeferido (STJ)</w:t>
            </w:r>
          </w:p>
        </w:tc>
      </w:tr>
      <w:tr>
        <w:tc>
          <w:tcPr>
            <w:tcW w:type="dxa" w:w="3300"/>
            <w:tcBorders>
              <w:top w:val="single" w:color="C0C0C0" w:sz="1"/>
              <w:left w:val="single" w:color="C0C0C0" w:sz="1"/>
              <w:bottom w:val="single" w:color="C0C0C0" w:sz="1"/>
              <w:right w:val="single" w:color="C0C0C0" w:sz="1"/>
            </w:tcBorders>
            <w:shd w:fill="1B3A6B" w:val="clear"/>
            <w:tcMar>
              <w:top w:type="dxa" w:w="80"/>
              <w:left w:type="dxa" w:w="140"/>
              <w:bottom w:type="dxa" w:w="80"/>
              <w:right w:type="dxa" w:w="140"/>
            </w:tcMar>
            <w:vAlign w:val="center"/>
          </w:tcPr>
          <w:p>
            <w:r>
              <w:rPr>
                <w:rFonts w:ascii="Arial" w:cs="Arial" w:eastAsia="Arial" w:hAnsi="Arial"/>
                <w:b/>
                <w:bCs/>
                <w:i w:val="false"/>
                <w:iCs w:val="false"/>
                <w:color w:val="FFFFFF"/>
                <w:sz w:val="20"/>
                <w:szCs w:val="20"/>
              </w:rPr>
              <w:t xml:space="preserve">TOTAIS ESTIMADOS (24 meses de L.C.)</w:t>
            </w:r>
          </w:p>
        </w:tc>
        <w:tc>
          <w:tcPr>
            <w:tcW w:type="dxa" w:w="1906"/>
            <w:tcBorders>
              <w:top w:val="single" w:color="C0C0C0" w:sz="1"/>
              <w:left w:val="single" w:color="C0C0C0" w:sz="1"/>
              <w:bottom w:val="single" w:color="C0C0C0" w:sz="1"/>
              <w:right w:val="single" w:color="C0C0C0" w:sz="1"/>
            </w:tcBorders>
            <w:shd w:fill="1B3A6B" w:val="clear"/>
            <w:tcMar>
              <w:top w:type="dxa" w:w="80"/>
              <w:left w:type="dxa" w:w="140"/>
              <w:bottom w:type="dxa" w:w="80"/>
              <w:right w:type="dxa" w:w="140"/>
            </w:tcMar>
            <w:vAlign w:val="center"/>
          </w:tcPr>
          <w:p>
            <w:r>
              <w:rPr>
                <w:rFonts w:ascii="Arial" w:cs="Arial" w:eastAsia="Arial" w:hAnsi="Arial"/>
                <w:b/>
                <w:bCs/>
                <w:i w:val="false"/>
                <w:iCs w:val="false"/>
                <w:color w:val="FFFFFF"/>
                <w:sz w:val="20"/>
                <w:szCs w:val="20"/>
              </w:rPr>
              <w:t xml:space="preserve">R$ 317.399,40+</w:t>
            </w:r>
          </w:p>
        </w:tc>
        <w:tc>
          <w:tcPr>
            <w:tcW w:type="dxa" w:w="2200"/>
            <w:tcBorders>
              <w:top w:val="single" w:color="C0C0C0" w:sz="1"/>
              <w:left w:val="single" w:color="C0C0C0" w:sz="1"/>
              <w:bottom w:val="single" w:color="C0C0C0" w:sz="1"/>
              <w:right w:val="single" w:color="C0C0C0" w:sz="1"/>
            </w:tcBorders>
            <w:shd w:fill="1B3A6B" w:val="clear"/>
            <w:tcMar>
              <w:top w:type="dxa" w:w="80"/>
              <w:left w:type="dxa" w:w="140"/>
              <w:bottom w:type="dxa" w:w="80"/>
              <w:right w:type="dxa" w:w="140"/>
            </w:tcMar>
            <w:vAlign w:val="center"/>
          </w:tcPr>
          <w:p>
            <w:r>
              <w:rPr>
                <w:rFonts w:ascii="Arial" w:cs="Arial" w:eastAsia="Arial" w:hAnsi="Arial"/>
                <w:b/>
                <w:bCs/>
                <w:i w:val="false"/>
                <w:iCs w:val="false"/>
                <w:color w:val="FFFFFF"/>
                <w:sz w:val="20"/>
                <w:szCs w:val="20"/>
              </w:rPr>
              <w:t xml:space="preserve">Conserto + R$ 72.000,00 (L.C. 24 meses)</w:t>
            </w:r>
          </w:p>
        </w:tc>
        <w:tc>
          <w:tcPr>
            <w:tcW w:type="dxa" w:w="2100"/>
            <w:tcBorders>
              <w:top w:val="single" w:color="C0C0C0" w:sz="1"/>
              <w:left w:val="single" w:color="C0C0C0" w:sz="1"/>
              <w:bottom w:val="single" w:color="C0C0C0" w:sz="1"/>
              <w:right w:val="single" w:color="C0C0C0" w:sz="1"/>
            </w:tcBorders>
            <w:shd w:fill="1B3A6B" w:val="clear"/>
            <w:tcMar>
              <w:top w:type="dxa" w:w="80"/>
              <w:left w:type="dxa" w:w="140"/>
              <w:bottom w:type="dxa" w:w="80"/>
              <w:right w:type="dxa" w:w="140"/>
            </w:tcMar>
            <w:vAlign w:val="center"/>
          </w:tcPr>
          <w:p>
            <w:r>
              <w:rPr>
                <w:rFonts w:ascii="Arial" w:cs="Arial" w:eastAsia="Arial" w:hAnsi="Arial"/>
                <w:b/>
                <w:bCs/>
                <w:i w:val="false"/>
                <w:iCs w:val="false"/>
                <w:color w:val="FFAAAA"/>
                <w:sz w:val="20"/>
                <w:szCs w:val="20"/>
              </w:rPr>
              <w:t xml:space="preserve">Déficit estimado &gt; R$ 170.000,00</w:t>
            </w:r>
          </w:p>
        </w:tc>
      </w:tr>
    </w:tbl>
    <w:p>
      <w:pPr>
        <w:spacing w:before="160"/>
      </w:pPr>
    </w:p>
    <w:p>
      <w:pPr>
        <w:pStyle w:val="Heading1"/>
        <w:shd w:fill="1B3A6B" w:val="clear"/>
        <w:spacing w:after="160" w:before="400"/>
        <w:ind w:left="200" w:right="200"/>
      </w:pPr>
      <w:r>
        <w:rPr>
          <w:rFonts w:ascii="Arial" w:cs="Arial" w:eastAsia="Arial" w:hAnsi="Arial"/>
          <w:b/>
          <w:bCs/>
          <w:color w:val="FFFFFF"/>
          <w:sz w:val="30"/>
          <w:szCs w:val="30"/>
        </w:rPr>
        <w:t xml:space="preserve">11. CONSIDERAÇÕES FINAIS</w:t>
      </w:r>
    </w:p>
    <w:p>
      <w:pPr>
        <w:pBdr>
          <w:bottom w:val="single" w:color="2E6DA4" w:sz="4"/>
        </w:pBdr>
        <w:spacing w:after="60" w:before="60"/>
      </w:pPr>
    </w:p>
    <w:p>
      <w:pPr>
        <w:spacing w:after="80" w:before="80"/>
        <w:ind w:left="0"/>
      </w:pPr>
      <w:r>
        <w:rPr>
          <w:rFonts w:ascii="Arial" w:cs="Arial" w:eastAsia="Arial" w:hAnsi="Arial"/>
          <w:color w:val="1A1A2E"/>
          <w:sz w:val="22"/>
          <w:szCs w:val="22"/>
        </w:rPr>
        <w:t xml:space="preserve">O processo apresenta um cenário de culpa inequivocamente estabelecida, com amparo probatório documental, pericial e testemunhal. A sentença acertou no reconhecimento da responsabilidade das rés e na determinação do conserto integral, mas pecou significativamente no dimensionamento dos lucros cessantes e no indeferimento dos danos morais.</w:t>
      </w:r>
    </w:p>
    <w:p>
      <w:pPr>
        <w:spacing w:after="80" w:before="80"/>
      </w:pPr>
    </w:p>
    <w:p>
      <w:pPr>
        <w:spacing w:after="80" w:before="80"/>
        <w:ind w:left="0"/>
      </w:pPr>
      <w:r>
        <w:rPr>
          <w:rFonts w:ascii="Arial" w:cs="Arial" w:eastAsia="Arial" w:hAnsi="Arial"/>
          <w:color w:val="1A1A2E"/>
          <w:sz w:val="22"/>
          <w:szCs w:val="22"/>
        </w:rPr>
        <w:t xml:space="preserve">Sob o prisma securitário, a conduta da HDI Seguros durante a regulação administrativa merece destaque negativo: a negativa de autorização para abertura do motor, a formulação de propostas sabidamente insuficientes e a retenção de orçamentos desfavoráveis à empresa configuram práticas que se distanciam da boa-fé objetiva e dos princípios de proteção ao consumidor de seguros (CDC e SUSEP).</w:t>
      </w:r>
    </w:p>
    <w:p>
      <w:pPr>
        <w:spacing w:after="80" w:before="80"/>
      </w:pPr>
    </w:p>
    <w:p>
      <w:pPr>
        <w:spacing w:after="80" w:before="200"/>
      </w:pPr>
      <w:r>
        <w:rPr>
          <w:rFonts w:ascii="Arial" w:cs="Arial" w:eastAsia="Arial" w:hAnsi="Arial"/>
          <w:b/>
          <w:bCs/>
          <w:color w:val="C0392B"/>
          <w:sz w:val="22"/>
          <w:szCs w:val="22"/>
          <w:u w:val="single"/>
        </w:rPr>
        <w:t xml:space="preserve">Principais Vulnerabilidades para Recurso (Autor)</w:t>
      </w:r>
    </w:p>
    <w:p>
      <w:pPr>
        <w:pStyle w:val="ListParagraph"/>
        <w:numPr>
          <w:ilvl w:val="0"/>
          <w:numId w:val="2"/>
        </w:numPr>
        <w:spacing w:after="60" w:before="60"/>
      </w:pPr>
      <w:r>
        <w:rPr>
          <w:rFonts w:ascii="Arial" w:cs="Arial" w:eastAsia="Arial" w:hAnsi="Arial"/>
          <w:color w:val="1A1A2E"/>
          <w:sz w:val="22"/>
          <w:szCs w:val="22"/>
        </w:rPr>
        <w:t xml:space="preserve">Lucros cessantes subdimensionados: R$ 3.000,00/mês vs. R$ 8.000–12.000,00/mês comprovável — diferença acumulada pode superar R$ 100.000,00 em 24 meses</w:t>
      </w:r>
    </w:p>
    <w:p>
      <w:pPr>
        <w:pStyle w:val="ListParagraph"/>
        <w:numPr>
          <w:ilvl w:val="0"/>
          <w:numId w:val="2"/>
        </w:numPr>
        <w:spacing w:after="60" w:before="60"/>
      </w:pPr>
      <w:r>
        <w:rPr>
          <w:rFonts w:ascii="Arial" w:cs="Arial" w:eastAsia="Arial" w:hAnsi="Arial"/>
          <w:color w:val="1A1A2E"/>
          <w:sz w:val="22"/>
          <w:szCs w:val="22"/>
        </w:rPr>
        <w:t xml:space="preserve">Danos morais integralmente negados apesar de sinistro com vítima fatal presenciada pelo autor</w:t>
      </w:r>
    </w:p>
    <w:p>
      <w:pPr>
        <w:pStyle w:val="ListParagraph"/>
        <w:numPr>
          <w:ilvl w:val="0"/>
          <w:numId w:val="2"/>
        </w:numPr>
        <w:spacing w:after="60" w:before="60"/>
      </w:pPr>
      <w:r>
        <w:rPr>
          <w:rFonts w:ascii="Arial" w:cs="Arial" w:eastAsia="Arial" w:hAnsi="Arial"/>
          <w:color w:val="1A1A2E"/>
          <w:sz w:val="22"/>
          <w:szCs w:val="22"/>
        </w:rPr>
        <w:t xml:space="preserve">Risco de discussão quanto ao valor definitivo do conserto: o orçamento de R$ 62.515,00 é de mai/2021 — a inflação de peças e mão de obra (2021–2023) pode elevar o custo substancialmente</w:t>
      </w:r>
    </w:p>
    <w:p>
      <w:pPr>
        <w:spacing w:after="80" w:before="200"/>
      </w:pPr>
      <w:r>
        <w:rPr>
          <w:rFonts w:ascii="Arial" w:cs="Arial" w:eastAsia="Arial" w:hAnsi="Arial"/>
          <w:b/>
          <w:bCs/>
          <w:color w:val="1A7A4A"/>
          <w:sz w:val="22"/>
          <w:szCs w:val="22"/>
          <w:u w:val="single"/>
        </w:rPr>
        <w:t xml:space="preserve">Recomendações Imediatas</w:t>
      </w:r>
    </w:p>
    <w:p>
      <w:pPr>
        <w:pStyle w:val="ListParagraph"/>
        <w:numPr>
          <w:ilvl w:val="0"/>
          <w:numId w:val="2"/>
        </w:numPr>
        <w:spacing w:after="60" w:before="60"/>
      </w:pPr>
      <w:r>
        <w:rPr>
          <w:rFonts w:ascii="Arial" w:cs="Arial" w:eastAsia="Arial" w:hAnsi="Arial"/>
          <w:color w:val="1A1A2E"/>
          <w:sz w:val="22"/>
          <w:szCs w:val="22"/>
        </w:rPr>
        <w:t xml:space="preserve">Interpor recurso de apelação visando majoração dos lucros cessantes e condenação em danos morais</w:t>
      </w:r>
    </w:p>
    <w:p>
      <w:pPr>
        <w:pStyle w:val="ListParagraph"/>
        <w:numPr>
          <w:ilvl w:val="0"/>
          <w:numId w:val="2"/>
        </w:numPr>
        <w:spacing w:after="60" w:before="60"/>
      </w:pPr>
      <w:r>
        <w:rPr>
          <w:rFonts w:ascii="Arial" w:cs="Arial" w:eastAsia="Arial" w:hAnsi="Arial"/>
          <w:color w:val="1A1A2E"/>
          <w:sz w:val="22"/>
          <w:szCs w:val="22"/>
        </w:rPr>
        <w:t xml:space="preserve">No cumprimento de sentença, documentar tecnicamente o estado atual do veículo para embasar eventual valor adicional</w:t>
      </w:r>
    </w:p>
    <w:p>
      <w:pPr>
        <w:pStyle w:val="ListParagraph"/>
        <w:numPr>
          <w:ilvl w:val="0"/>
          <w:numId w:val="2"/>
        </w:numPr>
        <w:spacing w:after="60" w:before="60"/>
      </w:pPr>
      <w:r>
        <w:rPr>
          <w:rFonts w:ascii="Arial" w:cs="Arial" w:eastAsia="Arial" w:hAnsi="Arial"/>
          <w:color w:val="1A1A2E"/>
          <w:sz w:val="22"/>
          <w:szCs w:val="22"/>
        </w:rPr>
        <w:t xml:space="preserve">Verificar se houve danos adicionais ao caminhão durante os mais de 2 anos de exposição no pátio da mecânica — possível pleito autônomo ou ampliação do objeto do conserto</w:t>
      </w:r>
    </w:p>
    <w:p>
      <w:pPr>
        <w:pStyle w:val="ListParagraph"/>
        <w:numPr>
          <w:ilvl w:val="0"/>
          <w:numId w:val="2"/>
        </w:numPr>
        <w:spacing w:after="60" w:before="60"/>
      </w:pPr>
      <w:r>
        <w:rPr>
          <w:rFonts w:ascii="Arial" w:cs="Arial" w:eastAsia="Arial" w:hAnsi="Arial"/>
          <w:color w:val="1A1A2E"/>
          <w:sz w:val="22"/>
          <w:szCs w:val="22"/>
        </w:rPr>
        <w:t xml:space="preserve">Notificar extrajudicialmente as rés sobre o prazo de 30 dias para início do conserto imediatamente após o trânsito em julgado</w:t>
      </w:r>
    </w:p>
    <w:p>
      <w:pPr>
        <w:spacing w:after="120" w:before="120"/>
      </w:pPr>
    </w:p>
    <w:p>
      <w:pPr>
        <w:pBdr>
          <w:bottom w:val="single" w:color="1B3A6B" w:sz="6"/>
        </w:pBdr>
        <w:spacing w:after="60" w:before="60"/>
      </w:pPr>
    </w:p>
    <w:p>
      <w:pPr>
        <w:spacing w:before="120"/>
        <w:jc w:val="center"/>
      </w:pPr>
      <w:r>
        <w:rPr>
          <w:rFonts w:ascii="Arial" w:cs="Arial" w:eastAsia="Arial" w:hAnsi="Arial"/>
          <w:i/>
          <w:iCs/>
          <w:color w:val="888888"/>
          <w:sz w:val="18"/>
          <w:szCs w:val="18"/>
        </w:rPr>
        <w:t xml:space="preserve">Resumo elaborado com base integral nos documentos constantes do processo — Fase de Conhecimento</w:t>
      </w:r>
    </w:p>
    <w:sectPr>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pBdr>
      <w:spacing w:before="100"/>
      <w:jc w:val="center"/>
    </w:pPr>
    <w:r>
      <w:rPr>
        <w:rFonts w:ascii="Arial" w:cs="Arial" w:eastAsia="Arial" w:hAnsi="Arial"/>
        <w:color w:val="777777"/>
        <w:sz w:val="18"/>
        <w:szCs w:val="18"/>
      </w:rPr>
      <w:t xml:space="preserve">Resumo Analítico  |  Processo n.º 5001804-71.2021.8.21.0049  |  Página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de </w:t>
    </w:r>
    <w:r>
      <w:rPr>
        <w:rFonts w:ascii="Arial" w:cs="Arial" w:eastAsia="Arial" w:hAnsi="Arial"/>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4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FFFFFF"/>
      <w:sz w:val="30"/>
      <w:szCs w:val="30"/>
    </w:rPr>
  </w:style>
  <w:style w:type="paragraph" w:styleId="Heading2">
    <w:name w:val="Heading 2"/>
    <w:basedOn w:val="Normal"/>
    <w:next w:val="Normal"/>
    <w:qFormat/>
    <w:pPr>
      <w:spacing w:after="100" w:before="280"/>
      <w:outlineLvl w:val="1"/>
    </w:pPr>
    <w:rPr>
      <w:rFonts w:ascii="Arial" w:cs="Arial" w:eastAsia="Arial" w:hAnsi="Arial"/>
      <w:b/>
      <w:bCs/>
      <w:color w:val="1B3A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2026-04-24T12:33:43.910Z</dcterms:created>
  <dcterms:modified xsi:type="dcterms:W3CDTF">2026-04-24T12:33:43.911Z</dcterms:modified>
</cp:coreProperties>
</file>

<file path=docProps/custom.xml><?xml version="1.0" encoding="utf-8"?>
<Properties xmlns="http://schemas.openxmlformats.org/officeDocument/2006/custom-properties" xmlns:vt="http://schemas.openxmlformats.org/officeDocument/2006/docPropsVTypes"/>
</file>