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242B578">
      <w:pPr>
        <w:pBdr/>
        <w:spacing w:after="200" w:before="240" w:line="360" w:lineRule="auto"/>
        <w:ind w:right="0" w:firstLine="0" w:left="567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b/>
          <w:bCs/>
          <w:sz w:val="20"/>
          <w:szCs w:val="20"/>
        </w:rPr>
        <w:t xml:space="preserve">EXCELENTÍSSIMO(A) SENHOR(A) DESEMBARGADOR(A) RELATOR(A)</w:t>
      </w:r>
      <w:r>
        <w:rPr>
          <w:rFonts w:ascii="Gadugi" w:hAnsi="Gadugi" w:eastAsia="Gadugi" w:cs="Gadugi"/>
          <w:b/>
          <w:bCs/>
          <w:sz w:val="20"/>
          <w:szCs w:val="20"/>
        </w:rPr>
        <w:t xml:space="preserve"> </w:t>
      </w:r>
      <w:r>
        <w:rPr>
          <w:rFonts w:ascii="Gadugi" w:hAnsi="Gadugi" w:eastAsia="Gadugi" w:cs="Gadugi"/>
          <w:b/>
          <w:bCs/>
          <w:sz w:val="20"/>
          <w:szCs w:val="20"/>
        </w:rPr>
        <w:t xml:space="preserve">DA EGRÉGIA 11ª CÂMARA CÍVEL</w:t>
      </w:r>
      <w:r>
        <w:rPr>
          <w:rFonts w:ascii="Gadugi" w:hAnsi="Gadugi" w:eastAsia="Gadugi" w:cs="Gadugi"/>
          <w:b/>
          <w:bCs/>
          <w:sz w:val="20"/>
          <w:szCs w:val="20"/>
        </w:rPr>
        <w:t xml:space="preserve"> </w:t>
      </w:r>
      <w:r>
        <w:rPr>
          <w:rFonts w:ascii="Gadugi" w:hAnsi="Gadugi" w:eastAsia="Gadugi" w:cs="Gadugi"/>
          <w:b/>
          <w:bCs/>
          <w:sz w:val="20"/>
          <w:szCs w:val="20"/>
        </w:rPr>
        <w:t xml:space="preserve">DO TRIBUNAL DE JUSTIÇA DO ESTADO DO RIO GRANDE DO SUL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251F7C33">
      <w:pPr>
        <w:pBdr/>
        <w:spacing w:before="240" w:line="360" w:lineRule="auto"/>
        <w:ind w:right="0" w:firstLine="1134" w:left="567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1A99168D">
      <w:pPr>
        <w:pBdr/>
        <w:spacing w:after="160" w:line="240" w:lineRule="auto"/>
        <w:ind w:right="0" w:firstLine="0" w:left="567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b/>
          <w:bCs/>
          <w:sz w:val="20"/>
          <w:szCs w:val="20"/>
        </w:rPr>
        <w:t xml:space="preserve">Agravo de Instrumento nº: </w:t>
      </w:r>
      <w:r>
        <w:rPr>
          <w:rFonts w:ascii="Gadugi" w:hAnsi="Gadugi" w:eastAsia="Gadugi" w:cs="Gadugi"/>
          <w:sz w:val="20"/>
          <w:szCs w:val="20"/>
        </w:rPr>
        <w:tab/>
        <w:t xml:space="preserve">5362388-91.2025.8.21.7000/RS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0275F1C3">
      <w:pPr>
        <w:pBdr/>
        <w:spacing w:after="160" w:line="240" w:lineRule="auto"/>
        <w:ind w:right="0" w:firstLine="0" w:left="567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b/>
          <w:bCs/>
          <w:sz w:val="20"/>
          <w:szCs w:val="20"/>
        </w:rPr>
        <w:t xml:space="preserve">Processo de origem nº: </w:t>
      </w:r>
      <w:r>
        <w:rPr>
          <w:rFonts w:ascii="Gadugi" w:hAnsi="Gadugi" w:eastAsia="Gadugi" w:cs="Gadugi"/>
          <w:sz w:val="20"/>
          <w:szCs w:val="20"/>
        </w:rPr>
        <w:tab/>
        <w:tab/>
        <w:t xml:space="preserve">5001483-31.2024.8.21.0049/RS (Cumprimento de Sentença</w:t>
      </w:r>
      <w:r>
        <w:rPr>
          <w:rFonts w:ascii="Gadugi" w:hAnsi="Gadugi" w:eastAsia="Gadugi" w:cs="Gadugi"/>
          <w:sz w:val="20"/>
          <w:szCs w:val="20"/>
          <w:lang w:val="pt-BR"/>
        </w:rPr>
        <w:t xml:space="preserve">)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1AD5C104">
      <w:pPr>
        <w:pBdr/>
        <w:spacing w:after="160" w:line="240" w:lineRule="auto"/>
        <w:ind w:right="0" w:firstLine="0" w:left="567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b/>
          <w:bCs/>
          <w:sz w:val="20"/>
          <w:szCs w:val="20"/>
        </w:rPr>
        <w:t xml:space="preserve">Embargante: </w:t>
      </w:r>
      <w:r>
        <w:rPr>
          <w:rFonts w:ascii="Gadugi" w:hAnsi="Gadugi" w:eastAsia="Gadugi" w:cs="Gadugi"/>
          <w:sz w:val="20"/>
          <w:szCs w:val="20"/>
        </w:rPr>
        <w:tab/>
        <w:tab/>
        <w:tab/>
        <w:t xml:space="preserve">R.A. MESQUITA DE ARAÚJO — MÓVEIS E ESTOFADOS ME (Agravante)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52774695">
      <w:pPr>
        <w:pBdr/>
        <w:spacing w:after="160" w:line="240" w:lineRule="auto"/>
        <w:ind w:right="0" w:firstLine="0" w:left="567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b/>
          <w:bCs/>
          <w:sz w:val="20"/>
          <w:szCs w:val="20"/>
        </w:rPr>
        <w:t xml:space="preserve">Embargados: </w:t>
        <w:tab/>
        <w:tab/>
        <w:tab/>
      </w:r>
      <w:r>
        <w:rPr>
          <w:rFonts w:ascii="Gadugi" w:hAnsi="Gadugi" w:eastAsia="Gadugi" w:cs="Gadugi"/>
          <w:sz w:val="20"/>
          <w:szCs w:val="20"/>
        </w:rPr>
        <w:t xml:space="preserve">MAICON DENTI (Agravado) e HDI SEGUROS S.A. (Coexecutada)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51F3EE32">
      <w:pPr>
        <w:pBdr/>
        <w:spacing w:before="240" w:line="360" w:lineRule="auto"/>
        <w:ind w:right="0" w:firstLine="1134" w:left="567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06AF4DBD">
      <w:pPr>
        <w:pBdr/>
        <w:spacing w:after="160" w:before="240" w:line="360" w:lineRule="auto"/>
        <w:ind w:right="0" w:firstLine="1134" w:left="567"/>
        <w:jc w:val="both"/>
        <w:rPr>
          <w:rFonts w:ascii="Gadugi" w:hAnsi="Gadugi" w:eastAsia="Gadugi" w:cs="Gadugi"/>
          <w:sz w:val="20"/>
          <w:szCs w:val="20"/>
          <w:highlight w:val="none"/>
        </w:rPr>
      </w:pPr>
      <w:r>
        <w:rPr>
          <w:rFonts w:ascii="Gadugi" w:hAnsi="Gadugi" w:eastAsia="Gadugi" w:cs="Gadugi"/>
          <w:b/>
          <w:bCs/>
          <w:sz w:val="20"/>
          <w:szCs w:val="20"/>
        </w:rPr>
        <w:t xml:space="preserve">R.A. MESQUITA DE ARAÚJO — MÓVEIS E ESTOFADOS ME</w:t>
      </w:r>
      <w:r>
        <w:rPr>
          <w:rFonts w:ascii="Gadugi" w:hAnsi="Gadugi" w:eastAsia="Gadugi" w:cs="Gadugi"/>
          <w:sz w:val="20"/>
          <w:szCs w:val="20"/>
        </w:rPr>
        <w:t xml:space="preserve">, </w:t>
      </w:r>
      <w:r>
        <w:rPr>
          <w:rFonts w:ascii="Gadugi" w:hAnsi="Gadugi" w:eastAsia="Gadugi" w:cs="Gadugi"/>
          <w:sz w:val="20"/>
          <w:szCs w:val="20"/>
        </w:rPr>
        <w:t xml:space="preserve">Agravante</w:t>
      </w:r>
      <w:r>
        <w:rPr>
          <w:rFonts w:ascii="Gadugi" w:hAnsi="Gadugi" w:eastAsia="Gadugi" w:cs="Gadugi"/>
          <w:sz w:val="20"/>
          <w:szCs w:val="20"/>
        </w:rPr>
        <w:t xml:space="preserve"> já qualificada nos autos do agravo de instrumento em epígrafe, por seus procuradores que </w:t>
      </w:r>
      <w:r>
        <w:rPr>
          <w:rFonts w:ascii="Gadugi" w:hAnsi="Gadugi" w:eastAsia="Gadugi" w:cs="Gadugi"/>
          <w:sz w:val="20"/>
          <w:szCs w:val="20"/>
        </w:rPr>
        <w:t xml:space="preserve">esta subscrevem</w:t>
      </w:r>
      <w:r>
        <w:rPr>
          <w:rFonts w:ascii="Gadugi" w:hAnsi="Gadugi" w:eastAsia="Gadugi" w:cs="Gadugi"/>
          <w:sz w:val="20"/>
          <w:szCs w:val="20"/>
        </w:rPr>
        <w:t xml:space="preserve">, vem, respeitosamente, à presença de Vossa Excelência, com fundamento no art. 1.022, incisos I e II, c/c art. 1.023, ambos do Código de Processo Civil, opor os presentes</w:t>
      </w:r>
      <w:r>
        <w:rPr>
          <w:rFonts w:ascii="Gadugi" w:hAnsi="Gadugi" w:cs="Gadugi"/>
          <w:sz w:val="20"/>
          <w:szCs w:val="20"/>
        </w:rPr>
      </w:r>
      <w:r>
        <w:rPr>
          <w:rFonts w:ascii="Gadugi" w:hAnsi="Gadugi" w:eastAsia="Gadugi" w:cs="Gadugi"/>
          <w:sz w:val="20"/>
          <w:szCs w:val="20"/>
          <w:highlight w:val="none"/>
        </w:rPr>
      </w:r>
    </w:p>
    <w:p w14:paraId="5D45E1DA">
      <w:pPr>
        <w:pBdr/>
        <w:spacing w:after="160" w:before="240" w:line="360" w:lineRule="auto"/>
        <w:ind w:right="0" w:firstLine="1134" w:left="567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  <w:highlight w:val="none"/>
        </w:rPr>
      </w:r>
      <w:r>
        <w:rPr>
          <w:rFonts w:ascii="Gadugi" w:hAnsi="Gadugi" w:eastAsia="Gadugi" w:cs="Gadugi"/>
          <w:sz w:val="20"/>
          <w:szCs w:val="20"/>
          <w:highlight w:val="none"/>
        </w:rPr>
      </w:r>
      <w:r>
        <w:rPr>
          <w:rFonts w:ascii="Gadugi" w:hAnsi="Gadugi" w:cs="Gadugi"/>
          <w:sz w:val="20"/>
          <w:szCs w:val="20"/>
        </w:rPr>
      </w:r>
    </w:p>
    <w:p w14:paraId="45F713BC">
      <w:pPr>
        <w:pBdr/>
        <w:spacing w:after="200" w:before="240" w:line="360" w:lineRule="auto"/>
        <w:ind w:right="0" w:firstLine="0" w:left="567"/>
        <w:jc w:val="center"/>
        <w:rPr>
          <w:rFonts w:ascii="Gadugi" w:hAnsi="Gadugi" w:cs="Gadugi"/>
          <w:sz w:val="24"/>
          <w:szCs w:val="24"/>
        </w:rPr>
      </w:pPr>
      <w:r>
        <w:rPr>
          <w:rFonts w:ascii="Gadugi" w:hAnsi="Gadugi" w:eastAsia="Gadugi" w:cs="Gadugi"/>
          <w:b/>
          <w:bCs/>
          <w:sz w:val="24"/>
          <w:szCs w:val="24"/>
        </w:rPr>
        <w:t xml:space="preserve">EMBARGOS DE DECLARAÇÃO COM EFEITO INFRINGENTE</w:t>
      </w:r>
      <w:r>
        <w:rPr>
          <w:rFonts w:ascii="Gadugi" w:hAnsi="Gadugi" w:eastAsia="Gadugi" w:cs="Gadugi"/>
          <w:sz w:val="24"/>
          <w:szCs w:val="24"/>
        </w:rPr>
      </w:r>
      <w:r>
        <w:rPr>
          <w:rFonts w:ascii="Gadugi" w:hAnsi="Gadugi" w:cs="Gadugi"/>
          <w:sz w:val="24"/>
          <w:szCs w:val="24"/>
        </w:rPr>
      </w:r>
    </w:p>
    <w:p w14:paraId="10767677">
      <w:pPr>
        <w:pBdr/>
        <w:spacing w:after="160" w:before="240" w:line="360" w:lineRule="auto"/>
        <w:ind w:right="0" w:firstLine="1134" w:left="567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  <w:highlight w:val="none"/>
        </w:rPr>
      </w:r>
      <w:r>
        <w:rPr>
          <w:rFonts w:ascii="Gadugi" w:hAnsi="Gadugi" w:eastAsia="Gadugi" w:cs="Gadugi"/>
          <w:sz w:val="20"/>
          <w:szCs w:val="20"/>
          <w:highlight w:val="none"/>
        </w:rPr>
      </w:r>
      <w:r>
        <w:rPr>
          <w:rFonts w:ascii="Gadugi" w:hAnsi="Gadugi" w:cs="Gadugi"/>
          <w:sz w:val="20"/>
          <w:szCs w:val="20"/>
        </w:rPr>
      </w:r>
    </w:p>
    <w:p w14:paraId="3BEECD4B">
      <w:pPr>
        <w:pBdr/>
        <w:spacing w:after="160" w:before="240" w:line="360" w:lineRule="auto"/>
        <w:ind w:right="0" w:firstLine="1134" w:left="567"/>
        <w:jc w:val="both"/>
        <w:rPr>
          <w:rFonts w:ascii="Gadugi" w:hAnsi="Gadugi" w:eastAsia="Gadugi" w:cs="Gadugi"/>
          <w:sz w:val="20"/>
          <w:szCs w:val="20"/>
          <w:highlight w:val="none"/>
        </w:rPr>
      </w:pPr>
      <w:r>
        <w:rPr>
          <w:rFonts w:ascii="Gadugi" w:hAnsi="Gadugi" w:eastAsia="Gadugi" w:cs="Gadugi"/>
          <w:sz w:val="20"/>
          <w:szCs w:val="20"/>
        </w:rPr>
        <w:t xml:space="preserve">em face do v. acórdão de Evento 33 (relatório, voto e acórdão), prolatado por essa Egrégia 11ª Câmara Cível em sessão de julgamento realizada em 15</w:t>
      </w:r>
      <w:r>
        <w:rPr>
          <w:rFonts w:ascii="Gadugi" w:hAnsi="Gadugi" w:eastAsia="Gadugi" w:cs="Gadugi"/>
          <w:sz w:val="20"/>
          <w:szCs w:val="20"/>
          <w:lang w:val="pt-BR"/>
        </w:rPr>
        <w:t xml:space="preserve">/04/2026</w:t>
      </w:r>
      <w:r>
        <w:rPr>
          <w:rFonts w:ascii="Gadugi" w:hAnsi="Gadugi" w:eastAsia="Gadugi" w:cs="Gadugi"/>
          <w:sz w:val="20"/>
          <w:szCs w:val="20"/>
        </w:rPr>
        <w:t xml:space="preserve">, sob a relatoria do eminente Desembargador Luis Antonio </w:t>
      </w:r>
      <w:r>
        <w:rPr>
          <w:rFonts w:ascii="Gadugi" w:hAnsi="Gadugi" w:eastAsia="Gadugi" w:cs="Gadugi"/>
          <w:sz w:val="20"/>
          <w:szCs w:val="20"/>
        </w:rPr>
        <w:t xml:space="preserve">Behrensdorf</w:t>
      </w:r>
      <w:r>
        <w:rPr>
          <w:rFonts w:ascii="Gadugi" w:hAnsi="Gadugi" w:eastAsia="Gadugi" w:cs="Gadugi"/>
          <w:sz w:val="20"/>
          <w:szCs w:val="20"/>
        </w:rPr>
        <w:t xml:space="preserve"> Gomes da Silva, pelas razões de fato e de direito a seguir expostas.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eastAsia="Gadugi" w:cs="Gadugi"/>
          <w:sz w:val="20"/>
          <w:szCs w:val="20"/>
          <w:highlight w:val="none"/>
        </w:rPr>
      </w:r>
    </w:p>
    <w:p w14:paraId="2AFD1C95">
      <w:pPr>
        <w:pBdr/>
        <w:spacing w:after="200" w:before="240" w:line="360" w:lineRule="auto"/>
        <w:ind w:right="0" w:firstLine="0" w:left="567"/>
        <w:jc w:val="center"/>
        <w:rPr>
          <w:rFonts w:ascii="Gadugi" w:hAnsi="Gadugi" w:eastAsia="Gadugi" w:cs="Gadugi"/>
          <w:b/>
          <w:bCs/>
          <w:sz w:val="20"/>
          <w:szCs w:val="20"/>
          <w14:ligatures w14:val="none"/>
        </w:rPr>
      </w:pPr>
      <w:r>
        <w:rPr>
          <w:rFonts w:ascii="Gadugi" w:hAnsi="Gadugi" w:eastAsia="Gadugi" w:cs="Gadugi"/>
          <w:b/>
          <w:bCs/>
          <w:sz w:val="20"/>
          <w:szCs w:val="20"/>
        </w:rPr>
        <w:t xml:space="preserve">DO CABIMENTO E DA TEMPESTIVIDADE</w:t>
      </w:r>
      <w:r>
        <w:rPr>
          <w:rFonts w:ascii="Gadugi" w:hAnsi="Gadugi" w:eastAsia="Gadugi" w:cs="Gadugi"/>
          <w:b/>
          <w:bCs/>
          <w:sz w:val="20"/>
          <w:szCs w:val="20"/>
        </w:rPr>
      </w:r>
      <w:r>
        <w:rPr>
          <w:rFonts w:ascii="Gadugi" w:hAnsi="Gadugi" w:eastAsia="Gadugi" w:cs="Gadugi"/>
          <w:b/>
          <w:bCs/>
          <w:sz w:val="20"/>
          <w:szCs w:val="20"/>
          <w14:ligatures w14:val="none"/>
        </w:rPr>
      </w:r>
    </w:p>
    <w:p w14:paraId="449BD5AB">
      <w:pPr>
        <w:pBdr/>
        <w:spacing w:after="160" w:before="240" w:line="360" w:lineRule="auto"/>
        <w:ind w:right="0" w:firstLine="1134" w:left="567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Os presentes embargos de declaração têm por fundamento o art. 1.022, incisos I e II, do Código de Processo Civil, e visam ao saneamento de omissões e contradição contidas no v. acórdão embargado, conforme adiante será demonstrado.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28F6DC8D">
      <w:pPr>
        <w:pBdr/>
        <w:spacing w:after="160" w:before="240" w:line="360" w:lineRule="auto"/>
        <w:ind w:right="0" w:firstLine="1134" w:left="567"/>
        <w:jc w:val="both"/>
        <w:rPr>
          <w:rFonts w:ascii="Gadugi" w:hAnsi="Gadugi" w:eastAsia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O acórdão foi juntado aos autos eletrônicos em 16/04/2026 (Evento 33), com disponibilização no Diário de Justiça Eletrônico do Tribunal de Justiça do Rio Grande do Sul. </w:t>
      </w:r>
      <w:r>
        <w:rPr>
          <w:rFonts w:ascii="Gadugi" w:hAnsi="Gadugi" w:cs="Gadugi"/>
          <w:sz w:val="20"/>
          <w:szCs w:val="20"/>
        </w:rPr>
      </w:r>
      <w:r>
        <w:rPr>
          <w:rFonts w:ascii="Gadugi" w:hAnsi="Gadugi" w:eastAsia="Gadugi" w:cs="Gadugi"/>
          <w:sz w:val="20"/>
          <w:szCs w:val="20"/>
        </w:rPr>
      </w:r>
    </w:p>
    <w:p w14:paraId="6CD2D638">
      <w:pPr>
        <w:pBdr/>
        <w:spacing w:after="160" w:before="240" w:line="360" w:lineRule="auto"/>
        <w:ind w:right="0" w:firstLine="1134" w:left="567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O prazo de 5 (cinco) di</w:t>
      </w:r>
      <w:r>
        <w:rPr>
          <w:rFonts w:ascii="Gadugi" w:hAnsi="Gadugi" w:eastAsia="Gadugi" w:cs="Gadugi"/>
          <w:sz w:val="20"/>
          <w:szCs w:val="20"/>
        </w:rPr>
        <w:t xml:space="preserve">as úteis previsto no art. 1.023, caput, do CPC, computado na forma do art. 219 do mesmo diploma</w:t>
      </w:r>
      <w:r>
        <w:rPr>
          <w:rFonts w:ascii="Gadugi" w:hAnsi="Gadugi" w:eastAsia="Gadugi" w:cs="Gadugi"/>
          <w:sz w:val="20"/>
          <w:szCs w:val="20"/>
          <w:lang w:val="pt-BR"/>
        </w:rPr>
        <w:t xml:space="preserve">,</w:t>
      </w:r>
      <w:r>
        <w:rPr>
          <w:rFonts w:ascii="Gadugi" w:hAnsi="Gadugi" w:eastAsia="Gadugi" w:cs="Gadugi"/>
          <w:sz w:val="20"/>
          <w:szCs w:val="20"/>
        </w:rPr>
        <w:t xml:space="preserve"> observada a suspensão decorrente do feriado nacional de Tiradentes em 21/04/2026, encerra-se em 28/04/2026, razão pela qual o presente recurso é tempestivo.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4C568440">
      <w:pPr>
        <w:pBdr/>
        <w:spacing w:after="160" w:before="240" w:line="360" w:lineRule="auto"/>
        <w:ind w:right="0" w:firstLine="1134" w:left="567"/>
        <w:jc w:val="both"/>
        <w:rPr>
          <w:rFonts w:ascii="Gadugi" w:hAnsi="Gadugi" w:eastAsia="Gadugi" w:cs="Gadugi"/>
          <w:sz w:val="20"/>
          <w:szCs w:val="20"/>
          <w:highlight w:val="none"/>
        </w:rPr>
      </w:pPr>
      <w:r>
        <w:rPr>
          <w:rFonts w:ascii="Gadugi" w:hAnsi="Gadugi" w:eastAsia="Gadugi" w:cs="Gadugi"/>
          <w:sz w:val="20"/>
          <w:szCs w:val="20"/>
        </w:rPr>
        <w:t xml:space="preserve">Não há preparo, nos termos do art. 1.023, caput, do CPC.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1509F4F5">
      <w:pPr>
        <w:pBdr/>
        <w:spacing w:after="160" w:before="240" w:line="360" w:lineRule="auto"/>
        <w:ind w:right="0" w:firstLine="1134" w:left="567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2FCEF76F">
      <w:pPr>
        <w:pBdr/>
        <w:spacing w:line="360" w:lineRule="auto"/>
        <w:ind w:left="567"/>
        <w:jc w:val="center"/>
        <w:rPr>
          <w:rFonts w:ascii="Gadugi" w:hAnsi="Gadugi" w:cs="Gadugi"/>
          <w:b/>
          <w:sz w:val="20"/>
          <w:szCs w:val="20"/>
        </w:rPr>
      </w:pPr>
      <w:r>
        <w:rPr>
          <w:rFonts w:ascii="Gadugi" w:hAnsi="Gadugi" w:eastAsia="Gadugi" w:cs="Gadugi"/>
          <w:b/>
          <w:sz w:val="20"/>
          <w:szCs w:val="20"/>
        </w:rPr>
        <w:t xml:space="preserve">DO CABIMENTO DOS PRESENTES </w:t>
      </w:r>
      <w:r>
        <w:rPr>
          <w:rFonts w:ascii="Gadugi" w:hAnsi="Gadugi" w:eastAsia="Gadugi" w:cs="Gadugi"/>
          <w:b/>
          <w:sz w:val="20"/>
          <w:szCs w:val="20"/>
        </w:rPr>
        <w:t xml:space="preserve">EMBARGOS PARA FINS DE PREQUESTIONAMENTO DE MATÉRIA COM VISTAS A VIABILIZAR A INTERPOSIÇÃO DE RECURSO ESPECIAL E/OU RECURSO EXTRAORDINÁRIO</w:t>
      </w:r>
      <w:r>
        <w:rPr>
          <w:rFonts w:ascii="Gadugi" w:hAnsi="Gadugi" w:eastAsia="Gadugi" w:cs="Gadugi"/>
          <w:b/>
          <w:sz w:val="20"/>
          <w:szCs w:val="20"/>
        </w:rPr>
        <w:t xml:space="preserve"> - NÃO TEM CARÁTER PROTELATÓRIO</w:t>
      </w:r>
      <w:r>
        <w:rPr>
          <w:rFonts w:ascii="Gadugi" w:hAnsi="Gadugi" w:eastAsia="Gadugi" w:cs="Gadugi"/>
          <w:b/>
          <w:sz w:val="20"/>
          <w:szCs w:val="20"/>
        </w:rPr>
      </w:r>
      <w:r>
        <w:rPr>
          <w:rFonts w:ascii="Gadugi" w:hAnsi="Gadugi" w:eastAsia="Gadugi" w:cs="Gadugi"/>
          <w:b/>
          <w:sz w:val="20"/>
          <w:szCs w:val="20"/>
        </w:rPr>
      </w:r>
    </w:p>
    <w:p w14:paraId="26CE916F">
      <w:pPr>
        <w:pBdr/>
        <w:spacing w:line="360" w:lineRule="auto"/>
        <w:ind/>
        <w:jc w:val="center"/>
        <w:rPr>
          <w:rFonts w:ascii="Gadugi" w:hAnsi="Gadugi" w:cs="Gadugi"/>
          <w:b/>
          <w:sz w:val="20"/>
          <w:szCs w:val="20"/>
        </w:rPr>
      </w:pPr>
      <w:r>
        <w:rPr>
          <w:rFonts w:ascii="Gadugi" w:hAnsi="Gadugi" w:eastAsia="Gadugi" w:cs="Gadugi"/>
          <w:b/>
          <w:sz w:val="20"/>
          <w:szCs w:val="20"/>
        </w:rPr>
      </w:r>
      <w:r>
        <w:rPr>
          <w:rFonts w:ascii="Gadugi" w:hAnsi="Gadugi" w:eastAsia="Gadugi" w:cs="Gadugi"/>
          <w:b/>
          <w:sz w:val="20"/>
          <w:szCs w:val="20"/>
        </w:rPr>
      </w:r>
      <w:r>
        <w:rPr>
          <w:rFonts w:ascii="Gadugi" w:hAnsi="Gadugi" w:eastAsia="Gadugi" w:cs="Gadugi"/>
          <w:b/>
          <w:sz w:val="20"/>
          <w:szCs w:val="20"/>
        </w:rPr>
      </w:r>
    </w:p>
    <w:p w14:paraId="726CFBF6">
      <w:pPr>
        <w:pBdr/>
        <w:spacing w:line="360" w:lineRule="auto"/>
        <w:ind w:firstLine="1134" w:left="567"/>
        <w:jc w:val="both"/>
        <w:rPr>
          <w:rFonts w:ascii="Gadugi" w:hAnsi="Gadugi" w:cs="Gadugi"/>
          <w:bCs/>
          <w:sz w:val="20"/>
          <w:szCs w:val="20"/>
        </w:rPr>
      </w:pPr>
      <w:r>
        <w:rPr>
          <w:rFonts w:ascii="Gadugi" w:hAnsi="Gadugi" w:eastAsia="Gadugi" w:cs="Gadugi"/>
          <w:bCs/>
          <w:sz w:val="20"/>
          <w:szCs w:val="20"/>
        </w:rPr>
        <w:t xml:space="preserve">Afigura-se perfeitamente cabível a oposição dos embargos de declaração para o fim de prequestionar matéria a ser deduzida, oportunamente, perante as instâncias superiores.</w:t>
      </w:r>
      <w:r>
        <w:rPr>
          <w:rFonts w:ascii="Gadugi" w:hAnsi="Gadugi" w:eastAsia="Gadugi" w:cs="Gadugi"/>
          <w:bCs/>
          <w:sz w:val="20"/>
          <w:szCs w:val="20"/>
        </w:rPr>
      </w:r>
      <w:r>
        <w:rPr>
          <w:rFonts w:ascii="Gadugi" w:hAnsi="Gadugi" w:eastAsia="Gadugi" w:cs="Gadugi"/>
          <w:bCs/>
          <w:sz w:val="20"/>
          <w:szCs w:val="20"/>
        </w:rPr>
      </w:r>
    </w:p>
    <w:p w14:paraId="1A7A669D">
      <w:pPr>
        <w:pBdr/>
        <w:spacing w:line="360" w:lineRule="auto"/>
        <w:ind w:firstLine="1134" w:left="567"/>
        <w:jc w:val="both"/>
        <w:rPr>
          <w:rFonts w:ascii="Gadugi" w:hAnsi="Gadugi" w:cs="Gadugi"/>
          <w:bCs/>
          <w:sz w:val="20"/>
          <w:szCs w:val="20"/>
        </w:rPr>
      </w:pPr>
      <w:r>
        <w:rPr>
          <w:rFonts w:ascii="Gadugi" w:hAnsi="Gadugi" w:eastAsia="Gadugi" w:cs="Gadugi"/>
          <w:bCs/>
          <w:sz w:val="20"/>
          <w:szCs w:val="20"/>
        </w:rPr>
      </w:r>
      <w:r>
        <w:rPr>
          <w:rFonts w:ascii="Gadugi" w:hAnsi="Gadugi" w:eastAsia="Gadugi" w:cs="Gadugi"/>
          <w:bCs/>
          <w:sz w:val="20"/>
          <w:szCs w:val="20"/>
        </w:rPr>
      </w:r>
      <w:r>
        <w:rPr>
          <w:rFonts w:ascii="Gadugi" w:hAnsi="Gadugi" w:eastAsia="Gadugi" w:cs="Gadugi"/>
          <w:bCs/>
          <w:sz w:val="20"/>
          <w:szCs w:val="20"/>
        </w:rPr>
      </w:r>
    </w:p>
    <w:p w14:paraId="798C8323">
      <w:pPr>
        <w:pBdr/>
        <w:spacing w:line="360" w:lineRule="auto"/>
        <w:ind w:firstLine="1134" w:left="567"/>
        <w:jc w:val="both"/>
        <w:rPr>
          <w:rFonts w:ascii="Gadugi" w:hAnsi="Gadugi" w:cs="Gadugi"/>
          <w:bCs/>
          <w:sz w:val="20"/>
          <w:szCs w:val="20"/>
        </w:rPr>
      </w:pPr>
      <w:r>
        <w:rPr>
          <w:rFonts w:ascii="Gadugi" w:hAnsi="Gadugi" w:eastAsia="Gadugi" w:cs="Gadugi"/>
          <w:bCs/>
          <w:sz w:val="20"/>
          <w:szCs w:val="20"/>
        </w:rPr>
        <w:t xml:space="preserve">Deve-se esclarecer que a oposição de embargos de declaração para obtenção de prequestionamento de matéria a ser suscitada em recursos especiais é procedimento específico em nossos tribunais, conforme lição do renomado professor Nelson Nery Junior, no qual:</w:t>
      </w:r>
      <w:r>
        <w:rPr>
          <w:rFonts w:ascii="Gadugi" w:hAnsi="Gadugi" w:eastAsia="Gadugi" w:cs="Gadugi"/>
          <w:bCs/>
          <w:sz w:val="20"/>
          <w:szCs w:val="20"/>
        </w:rPr>
      </w:r>
      <w:r>
        <w:rPr>
          <w:rFonts w:ascii="Gadugi" w:hAnsi="Gadugi" w:eastAsia="Gadugi" w:cs="Gadugi"/>
          <w:bCs/>
          <w:sz w:val="20"/>
          <w:szCs w:val="20"/>
        </w:rPr>
      </w:r>
    </w:p>
    <w:p w14:paraId="1BDE1EF0">
      <w:pPr>
        <w:pBdr/>
        <w:spacing w:line="360" w:lineRule="auto"/>
        <w:ind w:firstLine="1134" w:left="567"/>
        <w:jc w:val="both"/>
        <w:rPr>
          <w:rFonts w:ascii="Gadugi" w:hAnsi="Gadugi" w:cs="Gadugi"/>
          <w:bCs/>
          <w:sz w:val="20"/>
          <w:szCs w:val="20"/>
        </w:rPr>
      </w:pPr>
      <w:r>
        <w:rPr>
          <w:rFonts w:ascii="Gadugi" w:hAnsi="Gadugi" w:eastAsia="Gadugi" w:cs="Gadugi"/>
          <w:bCs/>
          <w:sz w:val="20"/>
          <w:szCs w:val="20"/>
        </w:rPr>
      </w:r>
      <w:r>
        <w:rPr>
          <w:rFonts w:ascii="Gadugi" w:hAnsi="Gadugi" w:eastAsia="Gadugi" w:cs="Gadugi"/>
          <w:bCs/>
          <w:sz w:val="20"/>
          <w:szCs w:val="20"/>
        </w:rPr>
      </w:r>
      <w:r>
        <w:rPr>
          <w:rFonts w:ascii="Gadugi" w:hAnsi="Gadugi" w:eastAsia="Gadugi" w:cs="Gadugi"/>
          <w:bCs/>
          <w:sz w:val="20"/>
          <w:szCs w:val="20"/>
        </w:rPr>
      </w:r>
    </w:p>
    <w:p w14:paraId="1C9730FD">
      <w:pPr>
        <w:pBdr/>
        <w:spacing w:line="276" w:lineRule="auto"/>
        <w:ind w:left="2268"/>
        <w:jc w:val="both"/>
        <w:rPr>
          <w:rFonts w:ascii="Gadugi" w:hAnsi="Gadugi" w:cs="Gadugi"/>
          <w:bCs/>
          <w:i/>
          <w:iCs/>
          <w:sz w:val="18"/>
          <w:szCs w:val="18"/>
        </w:rPr>
      </w:pPr>
      <w:r>
        <w:rPr>
          <w:rFonts w:ascii="Gadugi" w:hAnsi="Gadugi" w:eastAsia="Gadugi" w:cs="Gadugi"/>
          <w:bCs/>
          <w:i/>
          <w:iCs/>
          <w:sz w:val="18"/>
          <w:szCs w:val="18"/>
        </w:rPr>
        <w:t xml:space="preserve">“(...) podem ser interpostos Embargos de declaração quando a decisão for omissa quanto a ponto e matéria que deveria ter decidido, ou porque a parte o requereu expressamente, ou porque é matéria de ordem pública que exigia o pronuncia</w:t>
      </w:r>
      <w:r>
        <w:rPr>
          <w:rFonts w:ascii="Gadugi" w:hAnsi="Gadugi" w:eastAsia="Gadugi" w:cs="Gadugi"/>
          <w:bCs/>
          <w:i/>
          <w:iCs/>
          <w:sz w:val="18"/>
          <w:szCs w:val="18"/>
        </w:rPr>
        <w:t xml:space="preserve">mento ex officio do órgão jurisdicional. Edcl prequestionadores não são protelatórios, descabendo a multa de que trata o art. 538 CPC par. Único”. (NERY JUNIOR, NELSON. Código de Processo Civil Comentado, Ed. RT, São Paulo, 3ª Ed., 1997, p. 7863, nota 15).</w:t>
      </w:r>
      <w:r>
        <w:rPr>
          <w:rFonts w:ascii="Gadugi" w:hAnsi="Gadugi" w:eastAsia="Gadugi" w:cs="Gadugi"/>
          <w:bCs/>
          <w:i/>
          <w:iCs/>
          <w:sz w:val="18"/>
          <w:szCs w:val="18"/>
        </w:rPr>
      </w:r>
      <w:r>
        <w:rPr>
          <w:rFonts w:ascii="Gadugi" w:hAnsi="Gadugi" w:eastAsia="Gadugi" w:cs="Gadugi"/>
          <w:bCs/>
          <w:i/>
          <w:iCs/>
          <w:sz w:val="18"/>
          <w:szCs w:val="18"/>
        </w:rPr>
      </w:r>
    </w:p>
    <w:p w14:paraId="47DA7681">
      <w:pPr>
        <w:pBdr/>
        <w:spacing w:line="360" w:lineRule="auto"/>
        <w:ind w:firstLine="1134" w:left="567"/>
        <w:jc w:val="both"/>
        <w:rPr>
          <w:rFonts w:ascii="Gadugi" w:hAnsi="Gadugi" w:cs="Gadugi"/>
          <w:bCs/>
          <w:sz w:val="20"/>
          <w:szCs w:val="20"/>
        </w:rPr>
      </w:pPr>
      <w:r>
        <w:rPr>
          <w:rFonts w:ascii="Gadugi" w:hAnsi="Gadugi" w:eastAsia="Gadugi" w:cs="Gadugi"/>
          <w:bCs/>
          <w:sz w:val="20"/>
          <w:szCs w:val="20"/>
        </w:rPr>
      </w:r>
      <w:r>
        <w:rPr>
          <w:rFonts w:ascii="Gadugi" w:hAnsi="Gadugi" w:eastAsia="Gadugi" w:cs="Gadugi"/>
          <w:bCs/>
          <w:sz w:val="20"/>
          <w:szCs w:val="20"/>
        </w:rPr>
      </w:r>
      <w:r>
        <w:rPr>
          <w:rFonts w:ascii="Gadugi" w:hAnsi="Gadugi" w:eastAsia="Gadugi" w:cs="Gadugi"/>
          <w:bCs/>
          <w:sz w:val="20"/>
          <w:szCs w:val="20"/>
        </w:rPr>
      </w:r>
    </w:p>
    <w:p w14:paraId="3C76D0CE">
      <w:pPr>
        <w:pBdr/>
        <w:spacing w:line="360" w:lineRule="auto"/>
        <w:ind w:firstLine="1134" w:left="567"/>
        <w:jc w:val="both"/>
        <w:rPr>
          <w:rFonts w:ascii="Gadugi" w:hAnsi="Gadugi" w:cs="Gadugi"/>
          <w:bCs/>
          <w:sz w:val="20"/>
          <w:szCs w:val="20"/>
        </w:rPr>
      </w:pPr>
      <w:r>
        <w:rPr>
          <w:rFonts w:ascii="Gadugi" w:hAnsi="Gadugi" w:eastAsia="Gadugi" w:cs="Gadugi"/>
          <w:bCs/>
          <w:sz w:val="20"/>
          <w:szCs w:val="20"/>
        </w:rPr>
        <w:t xml:space="preserve">Ou seja, jamais se poderia dizer que a oposição de Embargos de Declaração para fins de prequestionamento possui caráter protelatório. </w:t>
      </w:r>
      <w:r>
        <w:rPr>
          <w:rFonts w:ascii="Gadugi" w:hAnsi="Gadugi" w:eastAsia="Gadugi" w:cs="Gadugi"/>
          <w:bCs/>
          <w:sz w:val="20"/>
          <w:szCs w:val="20"/>
        </w:rPr>
      </w:r>
      <w:r>
        <w:rPr>
          <w:rFonts w:ascii="Gadugi" w:hAnsi="Gadugi" w:eastAsia="Gadugi" w:cs="Gadugi"/>
          <w:bCs/>
          <w:sz w:val="20"/>
          <w:szCs w:val="20"/>
        </w:rPr>
      </w:r>
    </w:p>
    <w:p w14:paraId="69178425">
      <w:pPr>
        <w:pBdr/>
        <w:spacing w:line="360" w:lineRule="auto"/>
        <w:ind w:firstLine="1134" w:left="567"/>
        <w:jc w:val="both"/>
        <w:rPr>
          <w:rFonts w:ascii="Gadugi" w:hAnsi="Gadugi" w:cs="Gadugi"/>
          <w:bCs/>
          <w:sz w:val="20"/>
          <w:szCs w:val="20"/>
        </w:rPr>
      </w:pPr>
      <w:r>
        <w:rPr>
          <w:rFonts w:ascii="Gadugi" w:hAnsi="Gadugi" w:eastAsia="Gadugi" w:cs="Gadugi"/>
          <w:bCs/>
          <w:sz w:val="20"/>
          <w:szCs w:val="20"/>
        </w:rPr>
      </w:r>
      <w:r>
        <w:rPr>
          <w:rFonts w:ascii="Gadugi" w:hAnsi="Gadugi" w:eastAsia="Gadugi" w:cs="Gadugi"/>
          <w:bCs/>
          <w:sz w:val="20"/>
          <w:szCs w:val="20"/>
        </w:rPr>
      </w:r>
      <w:r>
        <w:rPr>
          <w:rFonts w:ascii="Gadugi" w:hAnsi="Gadugi" w:eastAsia="Gadugi" w:cs="Gadugi"/>
          <w:bCs/>
          <w:sz w:val="20"/>
          <w:szCs w:val="20"/>
        </w:rPr>
      </w:r>
    </w:p>
    <w:p w14:paraId="53CDFA0D">
      <w:pPr>
        <w:pBdr/>
        <w:spacing w:line="360" w:lineRule="auto"/>
        <w:ind w:firstLine="1134" w:left="567"/>
        <w:jc w:val="both"/>
        <w:rPr>
          <w:rFonts w:ascii="Gadugi" w:hAnsi="Gadugi" w:cs="Gadugi"/>
          <w:bCs/>
          <w:sz w:val="20"/>
          <w:szCs w:val="20"/>
        </w:rPr>
      </w:pPr>
      <w:r>
        <w:rPr>
          <w:rFonts w:ascii="Gadugi" w:hAnsi="Gadugi" w:eastAsia="Gadugi" w:cs="Gadugi"/>
          <w:bCs/>
          <w:sz w:val="20"/>
          <w:szCs w:val="20"/>
        </w:rPr>
        <w:t xml:space="preserve">Nesse sentido, a Súmula 98 do STJ determina que: “</w:t>
      </w:r>
      <w:r>
        <w:rPr>
          <w:rFonts w:ascii="Gadugi" w:hAnsi="Gadugi" w:eastAsia="Gadugi" w:cs="Gadugi"/>
          <w:bCs/>
          <w:i/>
          <w:iCs/>
          <w:sz w:val="20"/>
          <w:szCs w:val="20"/>
          <w:u w:val="single"/>
        </w:rPr>
        <w:t xml:space="preserve">Embargos de declaração manifestados com notório propósito de prequestionamento não têm caráter protelatório”.</w:t>
      </w:r>
      <w:r>
        <w:rPr>
          <w:rFonts w:ascii="Gadugi" w:hAnsi="Gadugi" w:eastAsia="Gadugi" w:cs="Gadugi"/>
          <w:bCs/>
          <w:sz w:val="20"/>
          <w:szCs w:val="20"/>
        </w:rPr>
      </w:r>
      <w:r>
        <w:rPr>
          <w:rFonts w:ascii="Gadugi" w:hAnsi="Gadugi" w:eastAsia="Gadugi" w:cs="Gadugi"/>
          <w:bCs/>
          <w:sz w:val="20"/>
          <w:szCs w:val="20"/>
        </w:rPr>
      </w:r>
    </w:p>
    <w:p w14:paraId="70AF9394">
      <w:pPr>
        <w:pBdr/>
        <w:spacing w:line="360" w:lineRule="auto"/>
        <w:ind w:firstLine="1134" w:left="567"/>
        <w:jc w:val="both"/>
        <w:rPr>
          <w:rFonts w:ascii="Gadugi" w:hAnsi="Gadugi" w:cs="Gadugi"/>
          <w:bCs/>
          <w:sz w:val="20"/>
          <w:szCs w:val="20"/>
        </w:rPr>
      </w:pPr>
      <w:r>
        <w:rPr>
          <w:rFonts w:ascii="Gadugi" w:hAnsi="Gadugi" w:eastAsia="Gadugi" w:cs="Gadugi"/>
          <w:bCs/>
          <w:sz w:val="20"/>
          <w:szCs w:val="20"/>
        </w:rPr>
      </w:r>
      <w:r>
        <w:rPr>
          <w:rFonts w:ascii="Gadugi" w:hAnsi="Gadugi" w:eastAsia="Gadugi" w:cs="Gadugi"/>
          <w:bCs/>
          <w:sz w:val="20"/>
          <w:szCs w:val="20"/>
        </w:rPr>
      </w:r>
      <w:r>
        <w:rPr>
          <w:rFonts w:ascii="Gadugi" w:hAnsi="Gadugi" w:eastAsia="Gadugi" w:cs="Gadugi"/>
          <w:bCs/>
          <w:sz w:val="20"/>
          <w:szCs w:val="20"/>
        </w:rPr>
      </w:r>
    </w:p>
    <w:p w14:paraId="441CBBCE">
      <w:pPr>
        <w:pBdr/>
        <w:spacing w:line="276" w:lineRule="auto"/>
        <w:ind w:firstLine="1134" w:left="567"/>
        <w:jc w:val="both"/>
        <w:rPr>
          <w:rFonts w:ascii="Gadugi" w:hAnsi="Gadugi" w:cs="Gadugi"/>
          <w:bCs/>
          <w:i/>
          <w:iCs/>
          <w:sz w:val="20"/>
          <w:szCs w:val="20"/>
          <w:u w:val="single"/>
        </w:rPr>
      </w:pPr>
      <w:r>
        <w:rPr>
          <w:rFonts w:ascii="Gadugi" w:hAnsi="Gadugi" w:eastAsia="Gadugi" w:cs="Gadugi"/>
          <w:bCs/>
          <w:sz w:val="20"/>
          <w:szCs w:val="20"/>
        </w:rPr>
        <w:t xml:space="preserve">Ainda, conforme determina o Art. 1.025: “</w:t>
      </w:r>
      <w:r>
        <w:rPr>
          <w:rFonts w:ascii="Gadugi" w:hAnsi="Gadugi" w:eastAsia="Gadugi" w:cs="Gadugi"/>
          <w:bCs/>
          <w:i/>
          <w:iCs/>
          <w:sz w:val="20"/>
          <w:szCs w:val="20"/>
          <w:u w:val="single"/>
        </w:rPr>
        <w:t xml:space="preserve">Consideram</w:t>
      </w:r>
      <w:r>
        <w:rPr>
          <w:rFonts w:ascii="Gadugi" w:hAnsi="Gadugi" w:eastAsia="Gadugi" w:cs="Gadugi"/>
          <w:bCs/>
          <w:i/>
          <w:iCs/>
          <w:sz w:val="20"/>
          <w:szCs w:val="20"/>
          <w:u w:val="single"/>
        </w:rPr>
        <w:t xml:space="preserve">-se incluídos no acórdão os elementos que o embargante suscitou, para fins de pré-questionamento, ainda que os embargos de declaração sejam inadmitidos ou rejeitados, caso o tribunal superior considere existentes erro, omissão, contradição ou obscuridade”.</w:t>
      </w:r>
      <w:r>
        <w:rPr>
          <w:rFonts w:ascii="Gadugi" w:hAnsi="Gadugi" w:eastAsia="Gadugi" w:cs="Gadugi"/>
          <w:bCs/>
          <w:i/>
          <w:iCs/>
          <w:sz w:val="20"/>
          <w:szCs w:val="20"/>
          <w:u w:val="single"/>
        </w:rPr>
      </w:r>
      <w:r>
        <w:rPr>
          <w:rFonts w:ascii="Gadugi" w:hAnsi="Gadugi" w:eastAsia="Gadugi" w:cs="Gadugi"/>
          <w:bCs/>
          <w:i/>
          <w:iCs/>
          <w:sz w:val="20"/>
          <w:szCs w:val="20"/>
          <w:u w:val="single"/>
        </w:rPr>
      </w:r>
    </w:p>
    <w:p w14:paraId="5BAFD2DE">
      <w:pPr>
        <w:pBdr/>
        <w:spacing w:line="360" w:lineRule="auto"/>
        <w:ind w:firstLine="1134" w:left="567"/>
        <w:jc w:val="both"/>
        <w:rPr>
          <w:rFonts w:ascii="Gadugi" w:hAnsi="Gadugi" w:cs="Gadugi"/>
          <w:bCs/>
          <w:sz w:val="20"/>
          <w:szCs w:val="20"/>
        </w:rPr>
      </w:pPr>
      <w:r>
        <w:rPr>
          <w:rFonts w:ascii="Gadugi" w:hAnsi="Gadugi" w:eastAsia="Gadugi" w:cs="Gadugi"/>
          <w:bCs/>
          <w:sz w:val="20"/>
          <w:szCs w:val="20"/>
        </w:rPr>
      </w:r>
      <w:r>
        <w:rPr>
          <w:rFonts w:ascii="Gadugi" w:hAnsi="Gadugi" w:eastAsia="Gadugi" w:cs="Gadugi"/>
          <w:bCs/>
          <w:sz w:val="20"/>
          <w:szCs w:val="20"/>
        </w:rPr>
      </w:r>
      <w:r>
        <w:rPr>
          <w:rFonts w:ascii="Gadugi" w:hAnsi="Gadugi" w:eastAsia="Gadugi" w:cs="Gadugi"/>
          <w:bCs/>
          <w:sz w:val="20"/>
          <w:szCs w:val="20"/>
        </w:rPr>
      </w:r>
    </w:p>
    <w:p w14:paraId="3163805D">
      <w:pPr>
        <w:pBdr/>
        <w:spacing w:line="360" w:lineRule="auto"/>
        <w:ind w:firstLine="1134" w:left="567"/>
        <w:jc w:val="both"/>
        <w:rPr>
          <w:rFonts w:ascii="Gadugi" w:hAnsi="Gadugi" w:cs="Gadugi"/>
          <w:bCs/>
          <w:sz w:val="20"/>
          <w:szCs w:val="20"/>
        </w:rPr>
      </w:pPr>
      <w:r>
        <w:rPr>
          <w:rFonts w:ascii="Gadugi" w:hAnsi="Gadugi" w:eastAsia="Gadugi" w:cs="Gadugi"/>
          <w:bCs/>
          <w:sz w:val="20"/>
          <w:szCs w:val="20"/>
        </w:rPr>
        <w:t xml:space="preserve">Destarte, afigura-se perfeitamente lícita a oposição dos presentes Embargos de Declaração, para fins de prequestionamento.</w:t>
      </w:r>
      <w:r>
        <w:rPr>
          <w:rFonts w:ascii="Gadugi" w:hAnsi="Gadugi" w:eastAsia="Gadugi" w:cs="Gadugi"/>
          <w:bCs/>
          <w:sz w:val="20"/>
          <w:szCs w:val="20"/>
        </w:rPr>
      </w:r>
      <w:r>
        <w:rPr>
          <w:rFonts w:ascii="Gadugi" w:hAnsi="Gadugi" w:eastAsia="Gadugi" w:cs="Gadugi"/>
          <w:bCs/>
          <w:sz w:val="20"/>
          <w:szCs w:val="20"/>
        </w:rPr>
      </w:r>
    </w:p>
    <w:p w14:paraId="4CC30850">
      <w:pPr>
        <w:pBdr/>
        <w:spacing w:after="200" w:before="240" w:line="360" w:lineRule="auto"/>
        <w:ind w:right="0" w:firstLine="0" w:left="567"/>
        <w:jc w:val="center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b/>
          <w:bCs/>
          <w:caps/>
          <w:sz w:val="20"/>
          <w:szCs w:val="20"/>
          <w:lang w:val="pt-BR"/>
        </w:rPr>
        <w:t xml:space="preserve">d</w:t>
      </w:r>
      <w:r>
        <w:rPr>
          <w:rFonts w:ascii="Gadugi" w:hAnsi="Gadugi" w:eastAsia="Gadugi" w:cs="Gadugi"/>
          <w:b/>
          <w:bCs/>
          <w:caps/>
          <w:sz w:val="20"/>
          <w:szCs w:val="20"/>
        </w:rPr>
        <w:t xml:space="preserve">A SÍNTESE DO ACÓRDÃO EMBARGADO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4FEAA69E">
      <w:pPr>
        <w:pBdr/>
        <w:spacing w:after="160" w:before="240" w:line="360" w:lineRule="auto"/>
        <w:ind w:right="0" w:firstLine="1134" w:left="567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O v. acórdão embargado, proferido por unanimidade, conheceu apenas em parte do agravo de instrumento e, na parte conhecida, negou-lhe provimento, restando assim ementado: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6C6929DE">
      <w:pPr>
        <w:pBdr/>
        <w:spacing w:after="160" w:before="240" w:line="276" w:lineRule="auto"/>
        <w:ind w:right="0" w:firstLine="0" w:left="2268"/>
        <w:jc w:val="both"/>
        <w:rPr>
          <w:rFonts w:ascii="Gadugi" w:hAnsi="Gadugi" w:cs="Gadugi"/>
          <w:sz w:val="18"/>
          <w:szCs w:val="18"/>
        </w:rPr>
      </w:pPr>
      <w:r>
        <w:rPr>
          <w:rFonts w:ascii="Gadugi" w:hAnsi="Gadugi" w:eastAsia="Gadugi" w:cs="Gadugi"/>
          <w:i/>
          <w:iCs/>
          <w:sz w:val="20"/>
          <w:szCs w:val="20"/>
        </w:rPr>
        <w:t xml:space="preserve">"</w:t>
      </w:r>
      <w:r>
        <w:rPr>
          <w:rFonts w:ascii="Gadugi" w:hAnsi="Gadugi" w:eastAsia="Gadugi" w:cs="Gadugi"/>
          <w:i/>
          <w:iCs/>
          <w:sz w:val="18"/>
          <w:szCs w:val="18"/>
        </w:rPr>
        <w:t xml:space="preserve">AGRAVO DE INSTRUMENTO. RESPONSABILIDADE CIVIL EM ACIDENTE DE TRÂNSITO. CUMPRIMENTO DE SENTENÇA. EXCESSO DA EXECUÇÃO NÃO CONHECIDO. PRECLUSÃO TEMPORAL. OBRIGAÇÃO SOLIDÁRIA. IMPOSSIBILIDADE DE DIRECIONAMENTO EXCLUSIVO DA EXECUÇÃO. NA OBRIGAÇÃO SOLIDÁRIA, É </w:t>
      </w:r>
      <w:r>
        <w:rPr>
          <w:rFonts w:ascii="Gadugi" w:hAnsi="Gadugi" w:eastAsia="Gadugi" w:cs="Gadugi"/>
          <w:i/>
          <w:iCs/>
          <w:sz w:val="18"/>
          <w:szCs w:val="18"/>
        </w:rPr>
        <w:t xml:space="preserve">FACULDADE EXCLUSIVA DO CREDOR ESCOLHER CONTRA QUAL DEVEDOR DIRECIONAR A EXECUÇÃO, NÃO CABENDO AO DEVEDOR IMPOR ORDEM DE PREFERÊNCIA OU ALEGAR QUESTÕES INTERNAS DA SOLIDARIEDADE PARA OBSTAR O PROSSEGUIMENTO DOS ATOS EXECUTÓRIOS CONTRA SI. RECURSO CONHECIDO </w:t>
      </w:r>
      <w:r>
        <w:rPr>
          <w:rFonts w:ascii="Gadugi" w:hAnsi="Gadugi" w:eastAsia="Gadugi" w:cs="Gadugi"/>
          <w:i/>
          <w:iCs/>
          <w:sz w:val="18"/>
          <w:szCs w:val="18"/>
        </w:rPr>
        <w:t xml:space="preserve">EM PARTE E, NESTA, DESPROVIDO."</w:t>
      </w:r>
      <w:r>
        <w:rPr>
          <w:rFonts w:ascii="Gadugi" w:hAnsi="Gadugi" w:eastAsia="Gadugi" w:cs="Gadugi"/>
          <w:sz w:val="18"/>
          <w:szCs w:val="18"/>
        </w:rPr>
      </w:r>
      <w:r>
        <w:rPr>
          <w:rFonts w:ascii="Gadugi" w:hAnsi="Gadugi" w:cs="Gadugi"/>
          <w:sz w:val="18"/>
          <w:szCs w:val="18"/>
        </w:rPr>
      </w:r>
    </w:p>
    <w:p w14:paraId="267BB0D6">
      <w:pPr>
        <w:pBdr/>
        <w:spacing w:after="160" w:line="240" w:lineRule="auto"/>
        <w:ind w:right="0" w:firstLine="1134" w:left="567"/>
        <w:jc w:val="both"/>
        <w:rPr>
          <w:rFonts w:ascii="Gadugi" w:hAnsi="Gadugi" w:eastAsia="Gadugi" w:cs="Gadugi"/>
          <w:sz w:val="20"/>
          <w:szCs w:val="20"/>
          <w:lang w:val="pt-BR"/>
        </w:rPr>
      </w:pPr>
      <w:r>
        <w:rPr>
          <w:rFonts w:ascii="Gadugi" w:hAnsi="Gadugi" w:eastAsia="Gadugi" w:cs="Gadugi"/>
          <w:sz w:val="20"/>
          <w:szCs w:val="20"/>
          <w:highlight w:val="none"/>
          <w:lang w:val="pt-BR"/>
        </w:rPr>
      </w:r>
      <w:r>
        <w:rPr>
          <w:rFonts w:ascii="Gadugi" w:hAnsi="Gadugi" w:eastAsia="Gadugi" w:cs="Gadugi"/>
          <w:sz w:val="20"/>
          <w:szCs w:val="20"/>
          <w:highlight w:val="none"/>
          <w:lang w:val="pt-BR"/>
        </w:rPr>
      </w:r>
      <w:r>
        <w:rPr>
          <w:rFonts w:ascii="Gadugi" w:hAnsi="Gadugi" w:eastAsia="Gadugi" w:cs="Gadugi"/>
          <w:sz w:val="20"/>
          <w:szCs w:val="20"/>
          <w:lang w:val="pt-BR"/>
        </w:rPr>
      </w:r>
    </w:p>
    <w:p w14:paraId="1273F163">
      <w:pPr>
        <w:pBdr/>
        <w:spacing w:after="160" w:before="240" w:line="360" w:lineRule="auto"/>
        <w:ind w:right="0" w:firstLine="1134" w:left="567"/>
        <w:jc w:val="both"/>
        <w:rPr>
          <w:rFonts w:ascii="Gadugi" w:hAnsi="Gadugi" w:eastAsia="Gadugi" w:cs="Gadugi"/>
          <w:sz w:val="20"/>
          <w:szCs w:val="20"/>
          <w:highlight w:val="none"/>
          <w:lang w:val="pt-BR"/>
        </w:rPr>
      </w:pPr>
      <w:r>
        <w:rPr>
          <w:rFonts w:ascii="Gadugi" w:hAnsi="Gadugi" w:eastAsia="Gadugi" w:cs="Gadugi"/>
          <w:sz w:val="20"/>
          <w:szCs w:val="20"/>
        </w:rPr>
        <w:t xml:space="preserve">Em síntese, o v. acórdão</w:t>
      </w:r>
      <w:r>
        <w:rPr>
          <w:rFonts w:ascii="Gadugi" w:hAnsi="Gadugi" w:eastAsia="Gadugi" w:cs="Gadugi"/>
          <w:sz w:val="20"/>
          <w:szCs w:val="20"/>
          <w:lang w:val="pt-BR"/>
        </w:rPr>
        <w:t xml:space="preserve">:</w:t>
      </w:r>
      <w:r>
        <w:rPr>
          <w:rFonts w:ascii="Gadugi" w:hAnsi="Gadugi" w:eastAsia="Gadugi" w:cs="Gadugi"/>
          <w:sz w:val="20"/>
          <w:szCs w:val="20"/>
          <w:highlight w:val="none"/>
        </w:rPr>
      </w:r>
      <w:r>
        <w:rPr>
          <w:rFonts w:ascii="Gadugi" w:hAnsi="Gadugi" w:eastAsia="Gadugi" w:cs="Gadugi"/>
          <w:sz w:val="20"/>
          <w:szCs w:val="20"/>
          <w:highlight w:val="none"/>
          <w:lang w:val="pt-BR"/>
        </w:rPr>
      </w:r>
    </w:p>
    <w:p w14:paraId="27BEF534">
      <w:pPr>
        <w:pBdr/>
        <w:spacing w:after="160" w:before="240" w:line="360" w:lineRule="auto"/>
        <w:ind w:right="0" w:firstLine="0" w:left="1701"/>
        <w:jc w:val="both"/>
        <w:rPr>
          <w:rFonts w:ascii="Gadugi" w:hAnsi="Gadugi" w:eastAsia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  <w:lang w:val="pt-BR"/>
        </w:rPr>
      </w:r>
      <w:r>
        <w:rPr>
          <w:rFonts w:ascii="Gadugi" w:hAnsi="Gadugi" w:eastAsia="Gadugi" w:cs="Gadugi"/>
          <w:sz w:val="20"/>
          <w:szCs w:val="20"/>
        </w:rPr>
        <w:t xml:space="preserve">(i) não conheceu da matéria atinente ao excesso de execução — tant</w:t>
      </w:r>
      <w:r>
        <w:rPr>
          <w:rFonts w:ascii="Gadugi" w:hAnsi="Gadugi" w:eastAsia="Gadugi" w:cs="Gadugi"/>
          <w:sz w:val="20"/>
          <w:szCs w:val="20"/>
        </w:rPr>
        <w:t xml:space="preserve">o em relação à majoração unilateral do custo do conserto quanto em relação à imputação à Embargante dos lucros cessantes acumulados após a mora da seguradora — sob fundamento de preclusão temporal pela ausência de impugnação ao cumprimento de sentença; e </w:t>
      </w:r>
      <w:r>
        <w:rPr>
          <w:rFonts w:ascii="Gadugi" w:hAnsi="Gadugi" w:eastAsia="Gadugi" w:cs="Gadugi"/>
          <w:sz w:val="20"/>
          <w:szCs w:val="20"/>
          <w:highlight w:val="none"/>
        </w:rPr>
      </w:r>
      <w:r>
        <w:rPr>
          <w:rFonts w:ascii="Gadugi" w:hAnsi="Gadugi" w:eastAsia="Gadugi" w:cs="Gadugi"/>
          <w:sz w:val="20"/>
          <w:szCs w:val="20"/>
        </w:rPr>
      </w:r>
    </w:p>
    <w:p w14:paraId="47A31E62">
      <w:pPr>
        <w:pBdr/>
        <w:spacing w:after="160" w:before="240" w:line="360" w:lineRule="auto"/>
        <w:ind w:right="0" w:firstLine="0" w:left="1701"/>
        <w:jc w:val="both"/>
        <w:rPr>
          <w:rFonts w:ascii="Gadugi" w:hAnsi="Gadugi" w:eastAsia="Gadugi" w:cs="Gadugi"/>
          <w:sz w:val="20"/>
          <w:szCs w:val="20"/>
          <w:highlight w:val="none"/>
        </w:rPr>
      </w:pPr>
      <w:r>
        <w:rPr>
          <w:rFonts w:ascii="Gadugi" w:hAnsi="Gadugi" w:eastAsia="Gadugi" w:cs="Gadugi"/>
          <w:sz w:val="20"/>
          <w:szCs w:val="20"/>
        </w:rPr>
        <w:t xml:space="preserve">(</w:t>
      </w:r>
      <w:r>
        <w:rPr>
          <w:rFonts w:ascii="Gadugi" w:hAnsi="Gadugi" w:eastAsia="Gadugi" w:cs="Gadugi"/>
          <w:sz w:val="20"/>
          <w:szCs w:val="20"/>
        </w:rPr>
        <w:t xml:space="preserve">ii</w:t>
      </w:r>
      <w:r>
        <w:rPr>
          <w:rFonts w:ascii="Gadugi" w:hAnsi="Gadugi" w:eastAsia="Gadugi" w:cs="Gadugi"/>
          <w:sz w:val="20"/>
          <w:szCs w:val="20"/>
        </w:rPr>
        <w:t xml:space="preserve">) na parte conhecida, afastou a pretensão de redirecionamento prioritário da execução à HDI Seguros S.A. com base exclusivamente no instituto da solidariedade passiva e na faculdade do credor de eleger o devedor.</w:t>
      </w:r>
      <w:r>
        <w:rPr>
          <w:rFonts w:ascii="Gadugi" w:hAnsi="Gadugi" w:eastAsia="Gadugi" w:cs="Gadugi"/>
          <w:sz w:val="20"/>
          <w:szCs w:val="20"/>
          <w:highlight w:val="none"/>
        </w:rPr>
      </w:r>
    </w:p>
    <w:p w14:paraId="04D25DF5">
      <w:pPr>
        <w:pBdr/>
        <w:spacing w:after="160" w:before="240" w:line="360" w:lineRule="auto"/>
        <w:ind w:right="0" w:firstLine="1134" w:left="567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Sucede que, ao decidir</w:t>
      </w:r>
      <w:r>
        <w:rPr>
          <w:rFonts w:ascii="Gadugi" w:hAnsi="Gadugi" w:eastAsia="Gadugi" w:cs="Gadugi"/>
          <w:sz w:val="20"/>
          <w:szCs w:val="20"/>
        </w:rPr>
        <w:t xml:space="preserve"> nesses termos, o v. acórdão embargado deixou de enfrentar diversas teses autônomas, expressamente deduzidas no agravo de instrumento, cuja apreciação é juridicamente necessária e impacta diretamente o resultado do julgamento, conforme adiante demonstrado.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10D0C00C">
      <w:pPr>
        <w:pBdr/>
        <w:spacing w:after="200" w:before="240" w:line="360" w:lineRule="auto"/>
        <w:ind w:right="0" w:firstLine="0" w:left="567"/>
        <w:jc w:val="center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b/>
          <w:bCs/>
          <w:caps/>
          <w:sz w:val="20"/>
          <w:szCs w:val="20"/>
        </w:rPr>
        <w:t xml:space="preserve">DA OMISSÃO CENTRAL: AUSÊNCIA DE ENFRENTAMENTO DA TESE DE RESPONSABILIDADE EXCLUSIVA DA HDI SEGUROS S.A. PELOS LUCROS CESSANTES ACUMULADOS APÓS O 61º DIA POSTERIOR À SENTENÇA — VIOLAÇÃO AO ART. 781 DO CÓDIGO CIVIL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2E73A574">
      <w:pPr>
        <w:pBdr/>
        <w:spacing w:after="160" w:before="240" w:line="360" w:lineRule="auto"/>
        <w:ind w:right="0" w:firstLine="0" w:left="567"/>
        <w:jc w:val="center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b/>
          <w:bCs/>
          <w:sz w:val="20"/>
          <w:szCs w:val="20"/>
        </w:rPr>
        <w:t xml:space="preserve">Da identificação do vício: omissão (art. 1.022, II, do CPC)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0D189B67">
      <w:pPr>
        <w:pBdr/>
        <w:spacing w:after="160" w:before="240" w:line="360" w:lineRule="auto"/>
        <w:ind w:right="0" w:firstLine="1134" w:left="567"/>
        <w:jc w:val="both"/>
        <w:rPr>
          <w:rFonts w:ascii="Gadugi" w:hAnsi="Gadugi" w:eastAsia="Gadugi" w:cs="Gadugi"/>
          <w:sz w:val="20"/>
          <w:szCs w:val="20"/>
          <w:highlight w:val="none"/>
        </w:rPr>
      </w:pPr>
      <w:r>
        <w:rPr>
          <w:rFonts w:ascii="Gadugi" w:hAnsi="Gadugi" w:eastAsia="Gadugi" w:cs="Gadugi"/>
          <w:sz w:val="20"/>
          <w:szCs w:val="20"/>
        </w:rPr>
        <w:t xml:space="preserve">A Embargante deduziu, em capítulo autônomo do agravo de inst</w:t>
      </w:r>
      <w:r>
        <w:rPr>
          <w:rFonts w:ascii="Gadugi" w:hAnsi="Gadugi" w:eastAsia="Gadugi" w:cs="Gadugi"/>
          <w:sz w:val="20"/>
          <w:szCs w:val="20"/>
        </w:rPr>
        <w:t xml:space="preserve">rumento (item "DA EXTRAPOLAÇÃO DO LIMITE DA APÓLICE EM CASO DE MORA DO SEGURADOR — ARTIGO 781 DO CÓDIGO CIVIL", às fls. 10/11 das razões recursais), tese jurídica específica e claramente individualizada, fundada no art. 781 do Código Civil, segundo a qual:</w:t>
      </w:r>
      <w:r>
        <w:rPr>
          <w:rFonts w:ascii="Gadugi" w:hAnsi="Gadugi" w:cs="Gadugi"/>
          <w:sz w:val="20"/>
          <w:szCs w:val="20"/>
        </w:rPr>
      </w:r>
      <w:r>
        <w:rPr>
          <w:rFonts w:ascii="Gadugi" w:hAnsi="Gadugi" w:eastAsia="Gadugi" w:cs="Gadugi"/>
          <w:sz w:val="20"/>
          <w:szCs w:val="20"/>
          <w:highlight w:val="none"/>
        </w:rPr>
      </w:r>
    </w:p>
    <w:p w14:paraId="19EA4E75">
      <w:pPr>
        <w:pBdr/>
        <w:spacing w:after="160" w:before="240" w:line="240" w:lineRule="auto"/>
        <w:ind w:right="0" w:firstLine="0" w:left="2268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i/>
          <w:iCs/>
          <w:sz w:val="20"/>
          <w:szCs w:val="20"/>
        </w:rPr>
        <w:t xml:space="preserve">"(...) os valores acumulados a título de lucros cessantes, a partir do 61º (sexagésimo primeiro) dia posterior à sentença, excedem a natureza de indenização securitária e configuram, na realidade, perdas e danos adicionais decorrentes da mora processual da</w:t>
      </w:r>
      <w:r>
        <w:rPr>
          <w:rFonts w:ascii="Gadugi" w:hAnsi="Gadugi" w:eastAsia="Gadugi" w:cs="Gadugi"/>
          <w:i/>
          <w:iCs/>
          <w:sz w:val="20"/>
          <w:szCs w:val="20"/>
        </w:rPr>
        <w:t xml:space="preserve"> HDI Seguros S/A. Admitir que o LMI abarque também os prejuízos gerados pela própria mora da seguradora, permitindo que ela se beneficie de sua inação (...), é premiar o descumprimento contratual e judicial, em violação direta ao espírito do artigo 781 do </w:t>
      </w:r>
      <w:r>
        <w:rPr>
          <w:rFonts w:ascii="Gadugi" w:hAnsi="Gadugi" w:eastAsia="Gadugi" w:cs="Gadugi"/>
          <w:i/>
          <w:iCs/>
          <w:sz w:val="20"/>
          <w:szCs w:val="20"/>
        </w:rPr>
        <w:t xml:space="preserve">Código Civil."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62DFC705">
      <w:pPr>
        <w:pBdr/>
        <w:spacing w:line="240" w:lineRule="auto"/>
        <w:ind w:right="0" w:firstLine="1134" w:left="567"/>
        <w:jc w:val="both"/>
        <w:rPr>
          <w:rFonts w:ascii="Gadugi" w:hAnsi="Gadugi" w:eastAsia="Gadugi" w:cs="Gadugi"/>
          <w:sz w:val="20"/>
          <w:szCs w:val="20"/>
          <w:highlight w:val="none"/>
          <w14:ligatures w14:val="none"/>
        </w:rPr>
      </w:pPr>
      <w:r>
        <w:rPr>
          <w:rFonts w:ascii="Gadugi" w:hAnsi="Gadugi" w:eastAsia="Gadugi" w:cs="Gadugi"/>
          <w:sz w:val="20"/>
          <w:szCs w:val="20"/>
          <w:highlight w:val="none"/>
        </w:rPr>
      </w:r>
      <w:r>
        <w:rPr>
          <w:rFonts w:ascii="Gadugi" w:hAnsi="Gadugi" w:eastAsia="Gadugi" w:cs="Gadugi"/>
          <w:sz w:val="20"/>
          <w:szCs w:val="20"/>
          <w:highlight w:val="none"/>
        </w:rPr>
      </w:r>
      <w:r>
        <w:rPr>
          <w:rFonts w:ascii="Gadugi" w:hAnsi="Gadugi" w:eastAsia="Gadugi" w:cs="Gadugi"/>
          <w:sz w:val="20"/>
          <w:szCs w:val="20"/>
          <w:highlight w:val="none"/>
          <w14:ligatures w14:val="none"/>
        </w:rPr>
      </w:r>
    </w:p>
    <w:p w14:paraId="278E4D66">
      <w:pPr>
        <w:pBdr/>
        <w:spacing w:after="160" w:before="240" w:line="360" w:lineRule="auto"/>
        <w:ind w:right="0" w:firstLine="1134" w:left="567"/>
        <w:jc w:val="both"/>
        <w:rPr>
          <w:rFonts w:ascii="Gadugi" w:hAnsi="Gadugi" w:eastAsia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Tal tese, ao lado do capítulo subsequente intitulado "</w:t>
      </w:r>
      <w:r>
        <w:rPr>
          <w:rFonts w:ascii="Gadugi" w:hAnsi="Gadugi" w:eastAsia="Gadugi" w:cs="Gadugi"/>
          <w:b/>
          <w:bCs/>
          <w:sz w:val="20"/>
          <w:szCs w:val="20"/>
        </w:rPr>
        <w:t xml:space="preserve">DA DISTINÇÃO ENTRE DANO SECURITÁRIO E</w:t>
      </w:r>
      <w:r>
        <w:rPr>
          <w:rFonts w:ascii="Gadugi" w:hAnsi="Gadugi" w:eastAsia="Gadugi" w:cs="Gadugi"/>
          <w:b/>
          <w:bCs/>
          <w:sz w:val="20"/>
          <w:szCs w:val="20"/>
        </w:rPr>
        <w:t xml:space="preserve"> DANO PROVENIENTE DA MORA NO CUMPRIMENTO DA SENTENÇA</w:t>
      </w:r>
      <w:r>
        <w:rPr>
          <w:rFonts w:ascii="Gadugi" w:hAnsi="Gadugi" w:eastAsia="Gadugi" w:cs="Gadugi"/>
          <w:sz w:val="20"/>
          <w:szCs w:val="20"/>
        </w:rPr>
        <w:t xml:space="preserve">", constitui o núcleo argumentativo do agravo, e nela se sustenta a divisão jurídica das obrigações em duas categorias distintas: </w:t>
      </w:r>
      <w:r>
        <w:rPr>
          <w:rFonts w:ascii="Gadugi" w:hAnsi="Gadugi" w:eastAsia="Gadugi" w:cs="Gadugi"/>
          <w:sz w:val="20"/>
          <w:szCs w:val="20"/>
          <w:highlight w:val="none"/>
        </w:rPr>
      </w:r>
      <w:r>
        <w:rPr>
          <w:rFonts w:ascii="Gadugi" w:hAnsi="Gadugi" w:eastAsia="Gadugi" w:cs="Gadugi"/>
          <w:sz w:val="20"/>
          <w:szCs w:val="20"/>
        </w:rPr>
      </w:r>
    </w:p>
    <w:p w14:paraId="00AA8D3A">
      <w:pPr>
        <w:pBdr/>
        <w:spacing w:after="160" w:before="240" w:line="240" w:lineRule="auto"/>
        <w:ind w:right="0" w:firstLine="0" w:left="1701"/>
        <w:jc w:val="both"/>
        <w:rPr>
          <w:rFonts w:ascii="Gadugi" w:hAnsi="Gadugi" w:eastAsia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(i) obrigação primária — dano securitário, limitado ao LMI da apólice; e </w:t>
      </w:r>
      <w:r>
        <w:rPr>
          <w:rFonts w:ascii="Gadugi" w:hAnsi="Gadugi" w:eastAsia="Gadugi" w:cs="Gadugi"/>
          <w:sz w:val="20"/>
          <w:szCs w:val="20"/>
          <w:highlight w:val="none"/>
        </w:rPr>
      </w:r>
      <w:r>
        <w:rPr>
          <w:rFonts w:ascii="Gadugi" w:hAnsi="Gadugi" w:eastAsia="Gadugi" w:cs="Gadugi"/>
          <w:sz w:val="20"/>
          <w:szCs w:val="20"/>
        </w:rPr>
      </w:r>
    </w:p>
    <w:p w14:paraId="1F95E5C0">
      <w:pPr>
        <w:pBdr/>
        <w:spacing w:after="160" w:before="240" w:line="240" w:lineRule="auto"/>
        <w:ind w:right="0" w:firstLine="0" w:left="1701"/>
        <w:jc w:val="both"/>
        <w:rPr>
          <w:rFonts w:ascii="Gadugi" w:hAnsi="Gadugi" w:eastAsia="Gadugi" w:cs="Gadugi"/>
          <w:sz w:val="20"/>
          <w:szCs w:val="20"/>
          <w:highlight w:val="none"/>
        </w:rPr>
      </w:pPr>
      <w:r>
        <w:rPr>
          <w:rFonts w:ascii="Gadugi" w:hAnsi="Gadugi" w:eastAsia="Gadugi" w:cs="Gadugi"/>
          <w:sz w:val="20"/>
          <w:szCs w:val="20"/>
        </w:rPr>
        <w:t xml:space="preserve">(</w:t>
      </w:r>
      <w:r>
        <w:rPr>
          <w:rFonts w:ascii="Gadugi" w:hAnsi="Gadugi" w:eastAsia="Gadugi" w:cs="Gadugi"/>
          <w:sz w:val="20"/>
          <w:szCs w:val="20"/>
        </w:rPr>
        <w:t xml:space="preserve">ii</w:t>
      </w:r>
      <w:r>
        <w:rPr>
          <w:rFonts w:ascii="Gadugi" w:hAnsi="Gadugi" w:eastAsia="Gadugi" w:cs="Gadugi"/>
          <w:sz w:val="20"/>
          <w:szCs w:val="20"/>
        </w:rPr>
        <w:t xml:space="preserve">) obrigação secundária — dano da mora, ilimitado, imputável exclusiva e primariamente à seguradora inerte.</w:t>
      </w:r>
      <w:r>
        <w:rPr>
          <w:rFonts w:ascii="Gadugi" w:hAnsi="Gadugi" w:eastAsia="Gadugi" w:cs="Gadugi"/>
          <w:sz w:val="20"/>
          <w:szCs w:val="20"/>
          <w:highlight w:val="none"/>
        </w:rPr>
      </w:r>
    </w:p>
    <w:p w14:paraId="4E4CD0A2">
      <w:pPr>
        <w:pBdr/>
        <w:spacing w:line="240" w:lineRule="auto"/>
        <w:ind w:right="0" w:firstLine="1134" w:left="567"/>
        <w:jc w:val="both"/>
        <w:rPr>
          <w:rFonts w:ascii="Gadugi" w:hAnsi="Gadugi" w:cs="Gadugi"/>
          <w:sz w:val="12"/>
          <w:szCs w:val="12"/>
        </w:rPr>
      </w:pPr>
      <w:r>
        <w:rPr>
          <w:rFonts w:ascii="Gadugi" w:hAnsi="Gadugi" w:eastAsia="Gadugi" w:cs="Gadugi"/>
          <w:sz w:val="20"/>
          <w:szCs w:val="20"/>
          <w:highlight w:val="none"/>
        </w:rPr>
      </w:r>
      <w:r>
        <w:rPr>
          <w:rFonts w:ascii="Gadugi" w:hAnsi="Gadugi" w:cs="Gadugi"/>
          <w:sz w:val="12"/>
          <w:szCs w:val="12"/>
        </w:rPr>
      </w:r>
      <w:r>
        <w:rPr>
          <w:rFonts w:ascii="Gadugi" w:hAnsi="Gadugi" w:cs="Gadugi"/>
          <w:sz w:val="12"/>
          <w:szCs w:val="12"/>
        </w:rPr>
      </w:r>
    </w:p>
    <w:p w14:paraId="03236C7A">
      <w:pPr>
        <w:pBdr/>
        <w:spacing w:after="160" w:before="240" w:line="360" w:lineRule="auto"/>
        <w:ind w:right="0" w:firstLine="1134" w:left="567"/>
        <w:jc w:val="both"/>
        <w:rPr>
          <w:rFonts w:ascii="Gadugi" w:hAnsi="Gadugi" w:eastAsia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Não obstante a centralidade e autonomia dessa tese, o v. acórdão embargado dela não tratou em nenhum momento. </w:t>
      </w:r>
      <w:r>
        <w:rPr>
          <w:rFonts w:ascii="Gadugi" w:hAnsi="Gadugi" w:eastAsia="Gadugi" w:cs="Gadugi"/>
          <w:sz w:val="20"/>
          <w:szCs w:val="20"/>
          <w:highlight w:val="none"/>
        </w:rPr>
      </w:r>
      <w:r>
        <w:rPr>
          <w:rFonts w:ascii="Gadugi" w:hAnsi="Gadugi" w:eastAsia="Gadugi" w:cs="Gadugi"/>
          <w:sz w:val="20"/>
          <w:szCs w:val="20"/>
        </w:rPr>
      </w:r>
    </w:p>
    <w:p w14:paraId="1E3FBACA">
      <w:pPr>
        <w:pBdr/>
        <w:spacing w:after="160" w:before="240" w:line="360" w:lineRule="auto"/>
        <w:ind w:right="0" w:firstLine="1134" w:left="567"/>
        <w:jc w:val="both"/>
        <w:rPr>
          <w:rFonts w:ascii="Gadugi" w:hAnsi="Gadugi" w:eastAsia="Gadugi" w:cs="Gadugi"/>
          <w:sz w:val="20"/>
          <w:szCs w:val="20"/>
          <w:highlight w:val="none"/>
        </w:rPr>
      </w:pPr>
      <w:r>
        <w:rPr>
          <w:rFonts w:ascii="Gadugi" w:hAnsi="Gadugi" w:eastAsia="Gadugi" w:cs="Gadugi"/>
          <w:sz w:val="20"/>
          <w:szCs w:val="20"/>
        </w:rPr>
        <w:t xml:space="preserve">A leitura integral do v</w:t>
      </w:r>
      <w:r>
        <w:rPr>
          <w:rFonts w:ascii="Gadugi" w:hAnsi="Gadugi" w:eastAsia="Gadugi" w:cs="Gadugi"/>
          <w:sz w:val="20"/>
          <w:szCs w:val="20"/>
        </w:rPr>
        <w:t xml:space="preserve">oto condutor revela que a fundamentação se limitou a afirmar a preclusão temporal e a invocar genericamente o regime da solidariedade passiva (art. 275 do Código Civil) e a possibilidade de ação de regresso (art. 283 do Código Civil), nos seguintes termos:</w:t>
      </w:r>
      <w:r>
        <w:rPr>
          <w:rFonts w:ascii="Gadugi" w:hAnsi="Gadugi" w:eastAsia="Gadugi" w:cs="Gadugi"/>
          <w:sz w:val="20"/>
          <w:szCs w:val="20"/>
          <w:highlight w:val="none"/>
        </w:rPr>
      </w:r>
      <w:r>
        <w:rPr>
          <w:rFonts w:ascii="Gadugi" w:hAnsi="Gadugi" w:eastAsia="Gadugi" w:cs="Gadugi"/>
          <w:sz w:val="20"/>
          <w:szCs w:val="20"/>
          <w:highlight w:val="none"/>
        </w:rPr>
      </w:r>
    </w:p>
    <w:p w14:paraId="2E416E15">
      <w:pPr>
        <w:pBdr/>
        <w:spacing w:after="160" w:before="240" w:line="240" w:lineRule="auto"/>
        <w:ind w:right="0" w:firstLine="0" w:left="2268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i/>
          <w:iCs/>
          <w:sz w:val="20"/>
          <w:szCs w:val="20"/>
        </w:rPr>
        <w:t xml:space="preserve">"A argumentação da agravante, de que a m</w:t>
      </w:r>
      <w:r>
        <w:rPr>
          <w:rFonts w:ascii="Gadugi" w:hAnsi="Gadugi" w:eastAsia="Gadugi" w:cs="Gadugi"/>
          <w:i/>
          <w:iCs/>
          <w:sz w:val="20"/>
          <w:szCs w:val="20"/>
        </w:rPr>
        <w:t xml:space="preserve">ora no cumprimento da obrigação de fazer (conserto do veículo) foi causada exclusivamente pela seguradora, pode até ter relevância, mas não na relação externa com o credor. Essa discussão pertence à esfera da relação jurídica interna entre os codevedores."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0C3DDEBB">
      <w:pPr>
        <w:pBdr/>
        <w:spacing w:line="240" w:lineRule="auto"/>
        <w:ind w:right="0" w:firstLine="1134" w:left="567"/>
        <w:jc w:val="both"/>
        <w:rPr>
          <w:rFonts w:ascii="Gadugi" w:hAnsi="Gadugi" w:eastAsia="Gadugi" w:cs="Gadugi"/>
          <w:sz w:val="20"/>
          <w:szCs w:val="20"/>
          <w:highlight w:val="none"/>
          <w14:ligatures w14:val="none"/>
        </w:rPr>
      </w:pPr>
      <w:r>
        <w:rPr>
          <w:rFonts w:ascii="Gadugi" w:hAnsi="Gadugi" w:eastAsia="Gadugi" w:cs="Gadugi"/>
          <w:sz w:val="20"/>
          <w:szCs w:val="20"/>
          <w:highlight w:val="none"/>
        </w:rPr>
      </w:r>
      <w:r>
        <w:rPr>
          <w:rFonts w:ascii="Gadugi" w:hAnsi="Gadugi" w:eastAsia="Gadugi" w:cs="Gadugi"/>
          <w:sz w:val="20"/>
          <w:szCs w:val="20"/>
          <w:highlight w:val="none"/>
        </w:rPr>
      </w:r>
      <w:r>
        <w:rPr>
          <w:rFonts w:ascii="Gadugi" w:hAnsi="Gadugi" w:eastAsia="Gadugi" w:cs="Gadugi"/>
          <w:sz w:val="20"/>
          <w:szCs w:val="20"/>
          <w:highlight w:val="none"/>
          <w14:ligatures w14:val="none"/>
        </w:rPr>
      </w:r>
    </w:p>
    <w:p w14:paraId="19E7A169">
      <w:pPr>
        <w:pBdr/>
        <w:spacing w:after="160" w:before="240" w:line="360" w:lineRule="auto"/>
        <w:ind w:right="0" w:firstLine="1134" w:left="567"/>
        <w:jc w:val="both"/>
        <w:rPr>
          <w:rFonts w:ascii="Gadugi" w:hAnsi="Gadugi" w:eastAsia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Verifica-se, assim, que o eminente Relator: </w:t>
      </w:r>
      <w:r>
        <w:rPr>
          <w:rFonts w:ascii="Gadugi" w:hAnsi="Gadugi" w:eastAsia="Gadugi" w:cs="Gadugi"/>
          <w:sz w:val="20"/>
          <w:szCs w:val="20"/>
          <w:highlight w:val="none"/>
        </w:rPr>
      </w:r>
      <w:r>
        <w:rPr>
          <w:rFonts w:ascii="Gadugi" w:hAnsi="Gadugi" w:eastAsia="Gadugi" w:cs="Gadugi"/>
          <w:sz w:val="20"/>
          <w:szCs w:val="20"/>
        </w:rPr>
      </w:r>
    </w:p>
    <w:p w14:paraId="6C86B4FB">
      <w:pPr>
        <w:pBdr/>
        <w:spacing w:after="160" w:line="240" w:lineRule="auto"/>
        <w:ind w:right="0" w:firstLine="0" w:left="1701"/>
        <w:jc w:val="both"/>
        <w:rPr>
          <w:rFonts w:ascii="Gadugi" w:hAnsi="Gadugi" w:eastAsia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(a) não citou o art. 781 do Código Civil; </w:t>
      </w:r>
      <w:r>
        <w:rPr>
          <w:rFonts w:ascii="Gadugi" w:hAnsi="Gadugi" w:eastAsia="Gadugi" w:cs="Gadugi"/>
          <w:sz w:val="20"/>
          <w:szCs w:val="20"/>
          <w:highlight w:val="none"/>
        </w:rPr>
      </w:r>
      <w:r>
        <w:rPr>
          <w:rFonts w:ascii="Gadugi" w:hAnsi="Gadugi" w:eastAsia="Gadugi" w:cs="Gadugi"/>
          <w:sz w:val="20"/>
          <w:szCs w:val="20"/>
        </w:rPr>
      </w:r>
    </w:p>
    <w:p w14:paraId="45671569">
      <w:pPr>
        <w:pBdr/>
        <w:spacing w:after="160" w:line="240" w:lineRule="auto"/>
        <w:ind w:right="0" w:firstLine="0" w:left="1701"/>
        <w:jc w:val="both"/>
        <w:rPr>
          <w:rFonts w:ascii="Gadugi" w:hAnsi="Gadugi" w:eastAsia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(b) não se pronunciou sobre a tese de extrapolação do LMI por mora do segurador; </w:t>
      </w:r>
      <w:r>
        <w:rPr>
          <w:rFonts w:ascii="Gadugi" w:hAnsi="Gadugi" w:eastAsia="Gadugi" w:cs="Gadugi"/>
          <w:sz w:val="20"/>
          <w:szCs w:val="20"/>
          <w:highlight w:val="none"/>
        </w:rPr>
      </w:r>
      <w:r>
        <w:rPr>
          <w:rFonts w:ascii="Gadugi" w:hAnsi="Gadugi" w:eastAsia="Gadugi" w:cs="Gadugi"/>
          <w:sz w:val="20"/>
          <w:szCs w:val="20"/>
        </w:rPr>
      </w:r>
    </w:p>
    <w:p w14:paraId="7DABF0A8">
      <w:pPr>
        <w:pBdr/>
        <w:spacing w:after="160" w:line="240" w:lineRule="auto"/>
        <w:ind w:right="0" w:firstLine="0" w:left="1701"/>
        <w:jc w:val="both"/>
        <w:rPr>
          <w:rFonts w:ascii="Gadugi" w:hAnsi="Gadugi" w:eastAsia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(c) não distinguiu, sob qualquer ângulo, dano securitário e dano da mora; e</w:t>
      </w:r>
      <w:r>
        <w:rPr>
          <w:rFonts w:ascii="Gadugi" w:hAnsi="Gadugi" w:eastAsia="Gadugi" w:cs="Gadugi"/>
          <w:sz w:val="20"/>
          <w:szCs w:val="20"/>
          <w:highlight w:val="none"/>
        </w:rPr>
      </w:r>
      <w:r>
        <w:rPr>
          <w:rFonts w:ascii="Gadugi" w:hAnsi="Gadugi" w:eastAsia="Gadugi" w:cs="Gadugi"/>
          <w:sz w:val="20"/>
          <w:szCs w:val="20"/>
        </w:rPr>
      </w:r>
    </w:p>
    <w:p w14:paraId="758D5D9A">
      <w:pPr>
        <w:pBdr/>
        <w:spacing w:after="160" w:line="240" w:lineRule="auto"/>
        <w:ind w:right="0" w:firstLine="0" w:left="1701"/>
        <w:jc w:val="both"/>
        <w:rPr>
          <w:rFonts w:ascii="Gadugi" w:hAnsi="Gadugi" w:eastAsia="Gadugi" w:cs="Gadugi"/>
          <w:sz w:val="20"/>
          <w:szCs w:val="20"/>
          <w:highlight w:val="none"/>
        </w:rPr>
      </w:pPr>
      <w:r>
        <w:rPr>
          <w:rFonts w:ascii="Gadugi" w:hAnsi="Gadugi" w:eastAsia="Gadugi" w:cs="Gadugi"/>
          <w:sz w:val="20"/>
          <w:szCs w:val="20"/>
        </w:rPr>
        <w:t xml:space="preserve"> (d) não enfre</w:t>
      </w:r>
      <w:r>
        <w:rPr>
          <w:rFonts w:ascii="Gadugi" w:hAnsi="Gadugi" w:eastAsia="Gadugi" w:cs="Gadugi"/>
          <w:sz w:val="20"/>
          <w:szCs w:val="20"/>
        </w:rPr>
        <w:t xml:space="preserve">ntou a invocada exceção legal à limitação contratual que constitui justamente o ponto central do recurso.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eastAsia="Gadugi" w:cs="Gadugi"/>
          <w:sz w:val="20"/>
          <w:szCs w:val="20"/>
          <w:highlight w:val="none"/>
        </w:rPr>
      </w:r>
    </w:p>
    <w:p w14:paraId="2827C4FD">
      <w:pPr>
        <w:pBdr/>
        <w:spacing w:after="160" w:line="240" w:lineRule="auto"/>
        <w:ind w:right="0" w:firstLine="0" w:left="1701"/>
        <w:jc w:val="both"/>
        <w:rPr>
          <w:rFonts w:ascii="Gadugi" w:hAnsi="Gadugi" w:eastAsia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  <w:highlight w:val="none"/>
        </w:rPr>
      </w:r>
      <w:r>
        <w:rPr>
          <w:rFonts w:ascii="Gadugi" w:hAnsi="Gadugi" w:eastAsia="Gadugi" w:cs="Gadugi"/>
          <w:sz w:val="20"/>
          <w:szCs w:val="20"/>
          <w:highlight w:val="none"/>
        </w:rPr>
      </w:r>
      <w:r>
        <w:rPr>
          <w:rFonts w:ascii="Gadugi" w:hAnsi="Gadugi" w:eastAsia="Gadugi" w:cs="Gadugi"/>
          <w:sz w:val="20"/>
          <w:szCs w:val="20"/>
        </w:rPr>
      </w:r>
    </w:p>
    <w:p w14:paraId="2350EC56">
      <w:pPr>
        <w:pBdr/>
        <w:spacing w:after="160" w:before="240" w:line="360" w:lineRule="auto"/>
        <w:ind w:right="0" w:firstLine="1134" w:left="567"/>
        <w:jc w:val="both"/>
        <w:rPr>
          <w:rFonts w:ascii="Gadugi" w:hAnsi="Gadugi" w:eastAsia="Gadugi" w:cs="Gadugi"/>
          <w:sz w:val="20"/>
          <w:szCs w:val="20"/>
          <w:highlight w:val="none"/>
        </w:rPr>
      </w:pPr>
      <w:r>
        <w:rPr>
          <w:rFonts w:ascii="Gadugi" w:hAnsi="Gadugi" w:eastAsia="Gadugi" w:cs="Gadugi"/>
          <w:sz w:val="20"/>
          <w:szCs w:val="20"/>
        </w:rPr>
        <w:t xml:space="preserve">Houve, portanto, omissão expressa quanto a fundamento jurídico relevante e suficiente para alterar a conclusão do julgament</w:t>
      </w:r>
      <w:r>
        <w:rPr>
          <w:rFonts w:ascii="Gadugi" w:hAnsi="Gadugi" w:eastAsia="Gadugi" w:cs="Gadugi"/>
          <w:sz w:val="20"/>
          <w:szCs w:val="20"/>
          <w:lang w:val="pt-BR"/>
        </w:rPr>
        <w:t xml:space="preserve">o,</w:t>
      </w:r>
      <w:r>
        <w:rPr>
          <w:rFonts w:ascii="Gadugi" w:hAnsi="Gadugi" w:eastAsia="Gadugi" w:cs="Gadugi"/>
          <w:sz w:val="20"/>
          <w:szCs w:val="20"/>
        </w:rPr>
        <w:t xml:space="preserve"> vício que, nos termos d</w:t>
      </w:r>
      <w:r>
        <w:rPr>
          <w:rFonts w:ascii="Gadugi" w:hAnsi="Gadugi" w:eastAsia="Gadugi" w:cs="Gadugi"/>
          <w:sz w:val="20"/>
          <w:szCs w:val="20"/>
        </w:rPr>
        <w:t xml:space="preserve">o art. 1.022, parágrafo único, inciso II, do CPC, autoriza a oposição destes embargos.</w:t>
      </w:r>
      <w:r>
        <w:rPr>
          <w:rFonts w:ascii="Gadugi" w:hAnsi="Gadugi" w:eastAsia="Gadugi" w:cs="Gadugi"/>
          <w:sz w:val="20"/>
          <w:szCs w:val="20"/>
          <w:highlight w:val="none"/>
        </w:rPr>
      </w:r>
    </w:p>
    <w:p w14:paraId="28556A3F">
      <w:pPr>
        <w:pBdr/>
        <w:spacing w:after="160" w:before="240" w:line="360" w:lineRule="auto"/>
        <w:ind w:right="0" w:firstLine="0" w:left="567"/>
        <w:jc w:val="center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b/>
          <w:bCs/>
          <w:sz w:val="20"/>
          <w:szCs w:val="20"/>
        </w:rPr>
        <w:t xml:space="preserve">Da impossibilidade de aplicação da preclusão temporal: dano superveniente e fato gerador novo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77E71C8C">
      <w:pPr>
        <w:pBdr/>
        <w:spacing w:after="160" w:before="240" w:line="360" w:lineRule="auto"/>
        <w:ind w:right="0" w:firstLine="1134" w:left="567"/>
        <w:jc w:val="both"/>
        <w:rPr>
          <w:rFonts w:ascii="Gadugi" w:hAnsi="Gadugi" w:eastAsia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O v. acórdão embargado afastou a discussão sobre os lucros cessantes acumulados sob o argumento de preclusão temporal, em razão da não apresentação de impugnação ao cumprimento de sentença pela Embargante no prazo do art. 525 do CPC. </w:t>
      </w:r>
      <w:r>
        <w:rPr>
          <w:rFonts w:ascii="Gadugi" w:hAnsi="Gadugi" w:cs="Gadugi"/>
          <w:sz w:val="20"/>
          <w:szCs w:val="20"/>
        </w:rPr>
      </w:r>
      <w:r>
        <w:rPr>
          <w:rFonts w:ascii="Gadugi" w:hAnsi="Gadugi" w:eastAsia="Gadugi" w:cs="Gadugi"/>
          <w:sz w:val="20"/>
          <w:szCs w:val="20"/>
        </w:rPr>
      </w:r>
    </w:p>
    <w:p w14:paraId="07A7C019">
      <w:pPr>
        <w:pBdr/>
        <w:spacing w:after="160" w:before="240" w:line="360" w:lineRule="auto"/>
        <w:ind w:right="0" w:firstLine="1134" w:left="567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Tal fundamentação, con</w:t>
      </w:r>
      <w:r>
        <w:rPr>
          <w:rFonts w:ascii="Gadugi" w:hAnsi="Gadugi" w:eastAsia="Gadugi" w:cs="Gadugi"/>
          <w:sz w:val="20"/>
          <w:szCs w:val="20"/>
        </w:rPr>
        <w:t xml:space="preserve">tudo, omite-se quanto a aspecto decisivo: o dano da mora não existia ao tempo em que a Embargante poderia ter impugnado o cumprimento de sentença, sendo fato superveniente e contínuo cuja consumação ocorre mês a mês, ininterruptamente, desde 13/05/2023 (da</w:t>
      </w:r>
      <w:r>
        <w:rPr>
          <w:rFonts w:ascii="Gadugi" w:hAnsi="Gadugi" w:eastAsia="Gadugi" w:cs="Gadugi"/>
          <w:sz w:val="20"/>
          <w:szCs w:val="20"/>
        </w:rPr>
        <w:t xml:space="preserve">ta limite fixada na sentença para a conclusão do conserto) até hoje.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1419D697">
      <w:pPr>
        <w:pBdr/>
        <w:spacing w:after="160" w:before="240" w:line="360" w:lineRule="auto"/>
        <w:ind w:right="0" w:firstLine="1134" w:left="567"/>
        <w:jc w:val="both"/>
        <w:rPr>
          <w:rFonts w:ascii="Gadugi" w:hAnsi="Gadugi" w:eastAsia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O v. acórdão silenciou sobre a aplicabilidade do art. 493 do Código de Processo Civil, que impõe ao julgador o dever de tomar em consideração fato superveniente apto a influenciar o julgamento. </w:t>
      </w:r>
      <w:r>
        <w:rPr>
          <w:rFonts w:ascii="Gadugi" w:hAnsi="Gadugi" w:cs="Gadugi"/>
          <w:sz w:val="20"/>
          <w:szCs w:val="20"/>
        </w:rPr>
      </w:r>
      <w:r>
        <w:rPr>
          <w:rFonts w:ascii="Gadugi" w:hAnsi="Gadugi" w:eastAsia="Gadugi" w:cs="Gadugi"/>
          <w:sz w:val="20"/>
          <w:szCs w:val="20"/>
        </w:rPr>
      </w:r>
    </w:p>
    <w:p w14:paraId="24221117">
      <w:pPr>
        <w:pBdr/>
        <w:spacing w:after="160" w:before="240" w:line="360" w:lineRule="auto"/>
        <w:ind w:right="0" w:firstLine="1134" w:left="567"/>
        <w:jc w:val="both"/>
        <w:rPr>
          <w:rFonts w:ascii="Gadugi" w:hAnsi="Gadugi" w:eastAsia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Silenciou, igualmente, sobre a doutrina e jurisprudência conso</w:t>
      </w:r>
      <w:r>
        <w:rPr>
          <w:rFonts w:ascii="Gadugi" w:hAnsi="Gadugi" w:eastAsia="Gadugi" w:cs="Gadugi"/>
          <w:sz w:val="20"/>
          <w:szCs w:val="20"/>
        </w:rPr>
        <w:t xml:space="preserve">lidadas no sentido de que matérias supervenientes não estão sujeitas à preclusão temporal vinculada à fase processual de impugnação. </w:t>
      </w:r>
      <w:r>
        <w:rPr>
          <w:rFonts w:ascii="Gadugi" w:hAnsi="Gadugi" w:cs="Gadugi"/>
          <w:sz w:val="20"/>
          <w:szCs w:val="20"/>
        </w:rPr>
      </w:r>
      <w:r>
        <w:rPr>
          <w:rFonts w:ascii="Gadugi" w:hAnsi="Gadugi" w:eastAsia="Gadugi" w:cs="Gadugi"/>
          <w:sz w:val="20"/>
          <w:szCs w:val="20"/>
        </w:rPr>
      </w:r>
    </w:p>
    <w:p w14:paraId="793B9CB5">
      <w:pPr>
        <w:pBdr/>
        <w:spacing w:after="160" w:before="240" w:line="360" w:lineRule="auto"/>
        <w:ind w:right="0" w:firstLine="1134" w:left="567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Tais omissões impactam diretamente o resultado do julgamento, pois, se devidamente enfrentadas, conduziriam ao afastamento </w:t>
      </w:r>
      <w:r>
        <w:rPr>
          <w:rFonts w:ascii="Gadugi" w:hAnsi="Gadugi" w:eastAsia="Gadugi" w:cs="Gadugi"/>
          <w:sz w:val="20"/>
          <w:szCs w:val="20"/>
        </w:rPr>
        <w:t xml:space="preserve">da preclusão e à apreciação do mérito da tese de imputação exclusiva à HDI dos lucros cessantes pós-mora.</w:t>
      </w:r>
      <w:r>
        <w:rPr>
          <w:rFonts w:ascii="Gadugi" w:hAnsi="Gadugi" w:cs="Gadugi"/>
          <w:sz w:val="20"/>
          <w:szCs w:val="20"/>
        </w:rPr>
      </w:r>
    </w:p>
    <w:p w14:paraId="3A4031B3">
      <w:pPr>
        <w:pBdr/>
        <w:spacing w:after="160" w:before="240" w:line="360" w:lineRule="auto"/>
        <w:ind w:right="0" w:firstLine="1134" w:left="567"/>
        <w:jc w:val="both"/>
        <w:rPr>
          <w:rFonts w:ascii="Gadugi" w:hAnsi="Gadugi" w:eastAsia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Não se trata, portanto, de "excesso de execução" no sentido estrito do art. 525, §1º, V, do CPC  discussão sobre liquidez do título, mas sim de questão jurídica nova relativa à imputação subjetiva de res</w:t>
      </w:r>
      <w:r>
        <w:rPr>
          <w:rFonts w:ascii="Gadugi" w:hAnsi="Gadugi" w:eastAsia="Gadugi" w:cs="Gadugi"/>
          <w:sz w:val="20"/>
          <w:szCs w:val="20"/>
        </w:rPr>
        <w:t xml:space="preserve">ponsabilidade por dano que se renova mês a mês pela inadimplência específica de um dos codevedores.</w:t>
      </w:r>
      <w:r>
        <w:rPr>
          <w:rFonts w:ascii="Gadugi" w:hAnsi="Gadugi" w:cs="Gadugi"/>
          <w:sz w:val="20"/>
          <w:szCs w:val="20"/>
        </w:rPr>
      </w:r>
      <w:r>
        <w:rPr>
          <w:rFonts w:ascii="Gadugi" w:hAnsi="Gadugi" w:eastAsia="Gadugi" w:cs="Gadugi"/>
          <w:sz w:val="20"/>
          <w:szCs w:val="20"/>
        </w:rPr>
      </w:r>
    </w:p>
    <w:p w14:paraId="3BA582CD">
      <w:pPr>
        <w:pBdr/>
        <w:spacing w:after="160" w:before="240" w:line="360" w:lineRule="auto"/>
        <w:ind w:right="0" w:firstLine="1134" w:left="567"/>
        <w:jc w:val="both"/>
        <w:rPr>
          <w:rFonts w:ascii="Gadugi" w:hAnsi="Gadugi" w:eastAsia="Gadugi" w:cs="Gadugi"/>
          <w:sz w:val="20"/>
          <w:szCs w:val="20"/>
          <w:highlight w:val="none"/>
        </w:rPr>
      </w:pPr>
      <w:r>
        <w:rPr>
          <w:rFonts w:ascii="Gadugi" w:hAnsi="Gadugi" w:eastAsia="Gadugi" w:cs="Gadugi"/>
          <w:sz w:val="20"/>
          <w:szCs w:val="20"/>
        </w:rPr>
        <w:t xml:space="preserve">O enquadramento do tema como mera matéria preclusa, sem o devido enfrentamento da distinção jurídica suscitada, configura omissão sanável pela presente via.</w:t>
      </w:r>
      <w:r>
        <w:rPr>
          <w:rFonts w:ascii="Gadugi" w:hAnsi="Gadugi" w:cs="Gadugi"/>
          <w:sz w:val="20"/>
          <w:szCs w:val="20"/>
        </w:rPr>
      </w:r>
      <w:r>
        <w:rPr>
          <w:rFonts w:ascii="Gadugi" w:hAnsi="Gadugi" w:eastAsia="Gadugi" w:cs="Gadugi"/>
          <w:sz w:val="20"/>
          <w:szCs w:val="20"/>
          <w:highlight w:val="none"/>
        </w:rPr>
      </w:r>
    </w:p>
    <w:p w14:paraId="3315B23A">
      <w:pPr>
        <w:pBdr/>
        <w:spacing w:after="160" w:before="240" w:line="360" w:lineRule="auto"/>
        <w:ind w:right="0" w:firstLine="0" w:left="567"/>
        <w:jc w:val="center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b/>
          <w:bCs/>
          <w:sz w:val="20"/>
          <w:szCs w:val="20"/>
        </w:rPr>
        <w:t xml:space="preserve">Da omissão sobre a distinção dano securitário x dano da mora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7272FAF6">
      <w:pPr>
        <w:pBdr/>
        <w:spacing w:after="160" w:before="240" w:line="360" w:lineRule="auto"/>
        <w:ind w:right="0" w:firstLine="1134" w:left="567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No item "</w:t>
      </w:r>
      <w:r>
        <w:rPr>
          <w:rFonts w:ascii="Gadugi" w:hAnsi="Gadugi" w:eastAsia="Gadugi" w:cs="Gadugi"/>
          <w:b/>
          <w:bCs/>
          <w:sz w:val="20"/>
          <w:szCs w:val="20"/>
        </w:rPr>
        <w:t xml:space="preserve">DA DISTINÇÃO ENTRE DANO SECURITÁRIO E DANO PROVENIENTE DA MORA NO CUMPRIMENTO DA SENTENÇA</w:t>
      </w:r>
      <w:r>
        <w:rPr>
          <w:rFonts w:ascii="Gadugi" w:hAnsi="Gadugi" w:eastAsia="Gadugi" w:cs="Gadugi"/>
          <w:sz w:val="20"/>
          <w:szCs w:val="20"/>
        </w:rPr>
        <w:t xml:space="preserve">" do agravo de instrumento, a Embargante apresentou estrutura analítica clara e dicotômica: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529B5827">
      <w:pPr>
        <w:pBdr/>
        <w:spacing w:after="160" w:before="240" w:line="360" w:lineRule="auto"/>
        <w:ind w:right="0" w:firstLine="0" w:left="1701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b/>
          <w:bCs/>
          <w:sz w:val="20"/>
          <w:szCs w:val="20"/>
        </w:rPr>
        <w:t xml:space="preserve">(i) Obrigação primária</w:t>
      </w:r>
      <w:r>
        <w:rPr>
          <w:rFonts w:ascii="Gadugi" w:hAnsi="Gadugi" w:eastAsia="Gadugi" w:cs="Gadugi"/>
          <w:sz w:val="20"/>
          <w:szCs w:val="20"/>
        </w:rPr>
        <w:t xml:space="preserve"> — </w:t>
      </w:r>
      <w:r>
        <w:rPr>
          <w:rFonts w:ascii="Gadugi" w:hAnsi="Gadugi" w:eastAsia="Gadugi" w:cs="Gadugi"/>
          <w:b/>
          <w:bCs/>
          <w:sz w:val="20"/>
          <w:szCs w:val="20"/>
        </w:rPr>
        <w:t xml:space="preserve">dano securitário:</w:t>
      </w:r>
      <w:r>
        <w:rPr>
          <w:rFonts w:ascii="Gadugi" w:hAnsi="Gadugi" w:eastAsia="Gadugi" w:cs="Gadugi"/>
          <w:sz w:val="20"/>
          <w:szCs w:val="20"/>
        </w:rPr>
        <w:t xml:space="preserve"> conserto do veículo e lucros cessantes durante o período razoável de reparo (60 dias fixados na sentença), limitada ao LMI da apólice (R$ 150.000,00 corrigidos);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0995B852">
      <w:pPr>
        <w:pBdr/>
        <w:spacing w:after="160" w:before="240" w:line="360" w:lineRule="auto"/>
        <w:ind w:right="0" w:firstLine="0" w:left="1701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b/>
          <w:bCs/>
          <w:sz w:val="20"/>
          <w:szCs w:val="20"/>
        </w:rPr>
        <w:t xml:space="preserve">(</w:t>
      </w:r>
      <w:r>
        <w:rPr>
          <w:rFonts w:ascii="Gadugi" w:hAnsi="Gadugi" w:eastAsia="Gadugi" w:cs="Gadugi"/>
          <w:b/>
          <w:bCs/>
          <w:sz w:val="20"/>
          <w:szCs w:val="20"/>
        </w:rPr>
        <w:t xml:space="preserve">ii</w:t>
      </w:r>
      <w:r>
        <w:rPr>
          <w:rFonts w:ascii="Gadugi" w:hAnsi="Gadugi" w:eastAsia="Gadugi" w:cs="Gadugi"/>
          <w:b/>
          <w:bCs/>
          <w:sz w:val="20"/>
          <w:szCs w:val="20"/>
        </w:rPr>
        <w:t xml:space="preserve">) Obrigação secundária </w:t>
      </w:r>
      <w:r>
        <w:rPr>
          <w:rFonts w:ascii="Gadugi" w:hAnsi="Gadugi" w:eastAsia="Gadugi" w:cs="Gadugi"/>
          <w:sz w:val="20"/>
          <w:szCs w:val="20"/>
        </w:rPr>
        <w:t xml:space="preserve">— </w:t>
      </w:r>
      <w:r>
        <w:rPr>
          <w:rFonts w:ascii="Gadugi" w:hAnsi="Gadugi" w:eastAsia="Gadugi" w:cs="Gadugi"/>
          <w:b/>
          <w:bCs/>
          <w:sz w:val="20"/>
          <w:szCs w:val="20"/>
        </w:rPr>
        <w:t xml:space="preserve">dano da mora</w:t>
      </w:r>
      <w:r>
        <w:rPr>
          <w:rFonts w:ascii="Gadugi" w:hAnsi="Gadugi" w:eastAsia="Gadugi" w:cs="Gadugi"/>
          <w:sz w:val="20"/>
          <w:szCs w:val="20"/>
        </w:rPr>
        <w:t xml:space="preserve">: lucros cessantes acumulados após o prazo final determinado na sentença para o conserto, imputáveis exclusiva e primariamente à HDI Seguros S.A., porque somen</w:t>
      </w:r>
      <w:r>
        <w:rPr>
          <w:rFonts w:ascii="Gadugi" w:hAnsi="Gadugi" w:eastAsia="Gadugi" w:cs="Gadugi"/>
          <w:sz w:val="20"/>
          <w:szCs w:val="20"/>
        </w:rPr>
        <w:t xml:space="preserve">te esta tinha o poder e o dever contratual de autorizar e custear o reparo, interrompendo a contagem dos lucros cessantes — e sem submissão ao limite contratual da apólice, por se tratar de perdas e danos decorrentes da própria inadimplência da seguradora.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71D53455">
      <w:pPr>
        <w:pBdr/>
        <w:spacing w:after="160" w:before="240" w:line="360" w:lineRule="auto"/>
        <w:ind w:right="0" w:firstLine="1134" w:left="567"/>
        <w:jc w:val="both"/>
        <w:rPr>
          <w:rFonts w:ascii="Gadugi" w:hAnsi="Gadugi" w:eastAsia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Essa distinção, alicerçada nos </w:t>
      </w:r>
      <w:r>
        <w:rPr>
          <w:rFonts w:ascii="Gadugi" w:hAnsi="Gadugi" w:eastAsia="Gadugi" w:cs="Gadugi"/>
          <w:sz w:val="20"/>
          <w:szCs w:val="20"/>
        </w:rPr>
        <w:t xml:space="preserve">arts</w:t>
      </w:r>
      <w:r>
        <w:rPr>
          <w:rFonts w:ascii="Gadugi" w:hAnsi="Gadugi" w:eastAsia="Gadugi" w:cs="Gadugi"/>
          <w:sz w:val="20"/>
          <w:szCs w:val="20"/>
        </w:rPr>
        <w:t xml:space="preserve">. 422 (bo</w:t>
      </w:r>
      <w:r>
        <w:rPr>
          <w:rFonts w:ascii="Gadugi" w:hAnsi="Gadugi" w:eastAsia="Gadugi" w:cs="Gadugi"/>
          <w:sz w:val="20"/>
          <w:szCs w:val="20"/>
        </w:rPr>
        <w:t xml:space="preserve">a-fé objetiva), 884 (vedação ao enriquecimento sem causa), 944 (proporcionalidade da indenização) e 781 (extrapolação do limite da apólice por mora do segurador), todos do Código Civil, é juridicamente autônoma em relação ao tema da solidariedade passiva (</w:t>
      </w:r>
      <w:r>
        <w:rPr>
          <w:rFonts w:ascii="Gadugi" w:hAnsi="Gadugi" w:eastAsia="Gadugi" w:cs="Gadugi"/>
          <w:sz w:val="20"/>
          <w:szCs w:val="20"/>
        </w:rPr>
        <w:t xml:space="preserve">arts</w:t>
      </w:r>
      <w:r>
        <w:rPr>
          <w:rFonts w:ascii="Gadugi" w:hAnsi="Gadugi" w:eastAsia="Gadugi" w:cs="Gadugi"/>
          <w:sz w:val="20"/>
          <w:szCs w:val="20"/>
        </w:rPr>
        <w:t xml:space="preserve">. 275 e 283 do CC) e não foi minimamente enfrentada pelo v. acórdão embargado. </w:t>
      </w:r>
      <w:r>
        <w:rPr>
          <w:rFonts w:ascii="Gadugi" w:hAnsi="Gadugi" w:cs="Gadugi"/>
          <w:sz w:val="20"/>
          <w:szCs w:val="20"/>
        </w:rPr>
      </w:r>
      <w:r>
        <w:rPr>
          <w:rFonts w:ascii="Gadugi" w:hAnsi="Gadugi" w:eastAsia="Gadugi" w:cs="Gadugi"/>
          <w:sz w:val="20"/>
          <w:szCs w:val="20"/>
        </w:rPr>
      </w:r>
    </w:p>
    <w:p w14:paraId="63C88CA4">
      <w:pPr>
        <w:pBdr/>
        <w:spacing w:after="160" w:before="240" w:line="360" w:lineRule="auto"/>
        <w:ind w:right="0" w:firstLine="1134" w:left="567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O voto condutor reduziu toda a discussão à aplicação do regime geral da solidariedade, sem abordar o regime jurídico específico do contrato de seguro e o tratam</w:t>
      </w:r>
      <w:r>
        <w:rPr>
          <w:rFonts w:ascii="Gadugi" w:hAnsi="Gadugi" w:eastAsia="Gadugi" w:cs="Gadugi"/>
          <w:sz w:val="20"/>
          <w:szCs w:val="20"/>
        </w:rPr>
        <w:t xml:space="preserve">ento legal da mora do segurador.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6FBCE32F">
      <w:pPr>
        <w:pBdr/>
        <w:spacing w:after="160" w:before="240" w:line="360" w:lineRule="auto"/>
        <w:ind w:right="0" w:firstLine="1134" w:left="567"/>
        <w:jc w:val="both"/>
        <w:rPr>
          <w:rFonts w:ascii="Gadugi" w:hAnsi="Gadugi" w:eastAsia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A questão de fundo não é, portanto, "se o credor pode ou não escolher contra qual devedor solidário direcionar a execução" esta é uma falsa premissa adotada pelo v. acórdão. </w:t>
      </w:r>
      <w:r>
        <w:rPr>
          <w:rFonts w:ascii="Gadugi" w:hAnsi="Gadugi" w:cs="Gadugi"/>
          <w:sz w:val="20"/>
          <w:szCs w:val="20"/>
        </w:rPr>
      </w:r>
      <w:r>
        <w:rPr>
          <w:rFonts w:ascii="Gadugi" w:hAnsi="Gadugi" w:eastAsia="Gadugi" w:cs="Gadugi"/>
          <w:sz w:val="20"/>
          <w:szCs w:val="20"/>
        </w:rPr>
      </w:r>
    </w:p>
    <w:p w14:paraId="59EC0A60">
      <w:pPr>
        <w:pBdr/>
        <w:spacing w:after="160" w:before="240" w:line="360" w:lineRule="auto"/>
        <w:ind w:right="0" w:firstLine="1134" w:left="567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A questão é distinta e antecedente: definir se os valores cobrados após o 61º di</w:t>
      </w:r>
      <w:r>
        <w:rPr>
          <w:rFonts w:ascii="Gadugi" w:hAnsi="Gadugi" w:eastAsia="Gadugi" w:cs="Gadugi"/>
          <w:sz w:val="20"/>
          <w:szCs w:val="20"/>
        </w:rPr>
        <w:t xml:space="preserve">a da sentença ostentam natureza de indenização securitária (limitada ao LMI e abrangida pela solidariedade) ou se constituem perdas e danos decorrentes da mora exclusiva da seguradora (não submetidos ao LMI e não abrangidos pela solidariedade originária, p</w:t>
      </w:r>
      <w:r>
        <w:rPr>
          <w:rFonts w:ascii="Gadugi" w:hAnsi="Gadugi" w:eastAsia="Gadugi" w:cs="Gadugi"/>
          <w:sz w:val="20"/>
          <w:szCs w:val="20"/>
        </w:rPr>
        <w:t xml:space="preserve">or terem fato gerador autônomo).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672DF3F2">
      <w:pPr>
        <w:pBdr/>
        <w:spacing w:after="160" w:before="240" w:line="360" w:lineRule="auto"/>
        <w:ind w:right="0" w:firstLine="1134" w:left="567"/>
        <w:jc w:val="both"/>
        <w:rPr>
          <w:rFonts w:ascii="Gadugi" w:hAnsi="Gadugi" w:eastAsia="Gadugi" w:cs="Gadugi"/>
          <w:sz w:val="20"/>
          <w:szCs w:val="20"/>
          <w:highlight w:val="none"/>
        </w:rPr>
      </w:pPr>
      <w:r>
        <w:rPr>
          <w:rFonts w:ascii="Gadugi" w:hAnsi="Gadugi" w:eastAsia="Gadugi" w:cs="Gadugi"/>
          <w:sz w:val="20"/>
          <w:szCs w:val="20"/>
        </w:rPr>
        <w:t xml:space="preserve">Ao não enfrentar essa distinção essencial que sustenta toda a tese recursal, o v. acórdão incorreu em omissão grave, devendo ser integrado para sanar o vício.</w:t>
      </w:r>
      <w:r>
        <w:rPr>
          <w:rFonts w:ascii="Gadugi" w:hAnsi="Gadugi" w:cs="Gadugi"/>
          <w:sz w:val="20"/>
          <w:szCs w:val="20"/>
        </w:rPr>
      </w:r>
      <w:r>
        <w:rPr>
          <w:rFonts w:ascii="Gadugi" w:hAnsi="Gadugi" w:eastAsia="Gadugi" w:cs="Gadugi"/>
          <w:sz w:val="20"/>
          <w:szCs w:val="20"/>
          <w:highlight w:val="none"/>
        </w:rPr>
      </w:r>
    </w:p>
    <w:p w14:paraId="2809CE24">
      <w:pPr>
        <w:pBdr/>
        <w:spacing w:after="160" w:before="240" w:line="360" w:lineRule="auto"/>
        <w:ind w:right="0" w:firstLine="1134" w:left="567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  <w:highlight w:val="none"/>
        </w:rPr>
      </w:r>
      <w:r>
        <w:rPr>
          <w:rFonts w:ascii="Gadugi" w:hAnsi="Gadugi" w:eastAsia="Gadugi" w:cs="Gadugi"/>
          <w:sz w:val="20"/>
          <w:szCs w:val="20"/>
          <w:highlight w:val="none"/>
        </w:rPr>
      </w:r>
      <w:r>
        <w:rPr>
          <w:rFonts w:ascii="Gadugi" w:hAnsi="Gadugi" w:cs="Gadugi"/>
          <w:sz w:val="20"/>
          <w:szCs w:val="20"/>
        </w:rPr>
      </w:r>
    </w:p>
    <w:p w14:paraId="3E35796D">
      <w:pPr>
        <w:pBdr/>
        <w:spacing w:after="160" w:before="240" w:line="360" w:lineRule="auto"/>
        <w:ind w:right="0" w:firstLine="0" w:left="567"/>
        <w:jc w:val="center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b/>
          <w:bCs/>
          <w:sz w:val="20"/>
          <w:szCs w:val="20"/>
        </w:rPr>
        <w:t xml:space="preserve">Da relevância da omissão e do efeito infringente decorrente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71440050">
      <w:pPr>
        <w:pBdr/>
        <w:spacing w:after="160" w:before="240" w:line="360" w:lineRule="auto"/>
        <w:ind w:right="0" w:firstLine="1134" w:left="567"/>
        <w:jc w:val="both"/>
        <w:rPr>
          <w:rFonts w:ascii="Gadugi" w:hAnsi="Gadugi" w:eastAsia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A omissão ora apontada não é meramente formal: o seu saneamento conduz, </w:t>
      </w:r>
      <w:r>
        <w:rPr>
          <w:rFonts w:ascii="Gadugi" w:hAnsi="Gadugi" w:eastAsia="Gadugi" w:cs="Gadugi"/>
          <w:sz w:val="20"/>
          <w:szCs w:val="20"/>
        </w:rPr>
        <w:t xml:space="preserve">necessariamente, à modificação do resultado do julgamento. Isso porque, reconhecida a natureza de "dano da mora" dos lucros cessantes acumulados após o 61º dia da sentença, segue-se inexoravelmente que: </w:t>
      </w:r>
      <w:r>
        <w:rPr>
          <w:rFonts w:ascii="Gadugi" w:hAnsi="Gadugi" w:cs="Gadugi"/>
          <w:sz w:val="20"/>
          <w:szCs w:val="20"/>
        </w:rPr>
      </w:r>
      <w:r>
        <w:rPr>
          <w:rFonts w:ascii="Gadugi" w:hAnsi="Gadugi" w:eastAsia="Gadugi" w:cs="Gadugi"/>
          <w:sz w:val="20"/>
          <w:szCs w:val="20"/>
        </w:rPr>
      </w:r>
    </w:p>
    <w:p w14:paraId="76D4F10E">
      <w:pPr>
        <w:pBdr/>
        <w:spacing w:after="160" w:before="240" w:line="360" w:lineRule="auto"/>
        <w:ind w:right="0" w:firstLine="0" w:left="1701"/>
        <w:jc w:val="both"/>
        <w:rPr>
          <w:rFonts w:ascii="Gadugi" w:hAnsi="Gadugi" w:eastAsia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(i) tais valores não se submetem ao LMI da apólice;</w:t>
      </w:r>
      <w:r>
        <w:rPr>
          <w:rFonts w:ascii="Gadugi" w:hAnsi="Gadugi" w:cs="Gadugi"/>
          <w:sz w:val="20"/>
          <w:szCs w:val="20"/>
        </w:rPr>
      </w:r>
      <w:r>
        <w:rPr>
          <w:rFonts w:ascii="Gadugi" w:hAnsi="Gadugi" w:eastAsia="Gadugi" w:cs="Gadugi"/>
          <w:sz w:val="20"/>
          <w:szCs w:val="20"/>
        </w:rPr>
      </w:r>
    </w:p>
    <w:p w14:paraId="7D018847">
      <w:pPr>
        <w:pBdr/>
        <w:spacing w:after="160" w:before="240" w:line="360" w:lineRule="auto"/>
        <w:ind w:right="0" w:firstLine="0" w:left="1701"/>
        <w:jc w:val="both"/>
        <w:rPr>
          <w:rFonts w:ascii="Gadugi" w:hAnsi="Gadugi" w:eastAsia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(</w:t>
      </w:r>
      <w:r>
        <w:rPr>
          <w:rFonts w:ascii="Gadugi" w:hAnsi="Gadugi" w:eastAsia="Gadugi" w:cs="Gadugi"/>
          <w:sz w:val="20"/>
          <w:szCs w:val="20"/>
        </w:rPr>
        <w:t xml:space="preserve">ii</w:t>
      </w:r>
      <w:r>
        <w:rPr>
          <w:rFonts w:ascii="Gadugi" w:hAnsi="Gadugi" w:eastAsia="Gadugi" w:cs="Gadugi"/>
          <w:sz w:val="20"/>
          <w:szCs w:val="20"/>
        </w:rPr>
        <w:t xml:space="preserve">) tais valores são de responsabilidade exclusiva da HDI Seguros S.A., devedora primária e única da obrigação de fazer cujo descumprimento gera o dano contínuo; e </w:t>
      </w:r>
      <w:r>
        <w:rPr>
          <w:rFonts w:ascii="Gadugi" w:hAnsi="Gadugi" w:cs="Gadugi"/>
          <w:sz w:val="20"/>
          <w:szCs w:val="20"/>
        </w:rPr>
      </w:r>
      <w:r>
        <w:rPr>
          <w:rFonts w:ascii="Gadugi" w:hAnsi="Gadugi" w:eastAsia="Gadugi" w:cs="Gadugi"/>
          <w:sz w:val="20"/>
          <w:szCs w:val="20"/>
        </w:rPr>
      </w:r>
    </w:p>
    <w:p w14:paraId="03237F11">
      <w:pPr>
        <w:pBdr/>
        <w:spacing w:after="160" w:before="240" w:line="360" w:lineRule="auto"/>
        <w:ind w:right="0" w:firstLine="0" w:left="1701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(</w:t>
      </w:r>
      <w:r>
        <w:rPr>
          <w:rFonts w:ascii="Gadugi" w:hAnsi="Gadugi" w:eastAsia="Gadugi" w:cs="Gadugi"/>
          <w:sz w:val="20"/>
          <w:szCs w:val="20"/>
        </w:rPr>
        <w:t xml:space="preserve">iii</w:t>
      </w:r>
      <w:r>
        <w:rPr>
          <w:rFonts w:ascii="Gadugi" w:hAnsi="Gadugi" w:eastAsia="Gadugi" w:cs="Gadugi"/>
          <w:sz w:val="20"/>
          <w:szCs w:val="20"/>
        </w:rPr>
        <w:t xml:space="preserve">) a Embargante, microempresa sem qualquer poder de cumprir sozinha a obrigação de fazer (autorização da seguradora indispensável), não pode ser onerada por dívida que se multiplica em razão exclusivamente da inércia ilícita da coexecutada.</w:t>
      </w:r>
      <w:r>
        <w:rPr>
          <w:rFonts w:ascii="Gadugi" w:hAnsi="Gadugi" w:cs="Gadugi"/>
          <w:sz w:val="20"/>
          <w:szCs w:val="20"/>
        </w:rPr>
      </w:r>
    </w:p>
    <w:p w14:paraId="75F97375">
      <w:pPr>
        <w:pBdr/>
        <w:spacing w:after="160" w:before="240" w:line="360" w:lineRule="auto"/>
        <w:ind w:right="0" w:firstLine="1134" w:left="567"/>
        <w:jc w:val="both"/>
        <w:rPr>
          <w:rFonts w:ascii="Gadugi" w:hAnsi="Gadugi" w:eastAsia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Trata-se, em síntese, da hipótese clássica de embargos de declaração com e</w:t>
      </w:r>
      <w:r>
        <w:rPr>
          <w:rFonts w:ascii="Gadugi" w:hAnsi="Gadugi" w:eastAsia="Gadugi" w:cs="Gadugi"/>
          <w:sz w:val="20"/>
          <w:szCs w:val="20"/>
        </w:rPr>
        <w:t xml:space="preserve">feito infringente reconhecida há longa data pelo C. Superior Tribunal de Justiça: quando o saneamento da omissão importa, por consequência lógica, na alteração do julgado, o efeito modificativo é admissível e necessário. </w:t>
      </w:r>
      <w:r>
        <w:rPr>
          <w:rFonts w:ascii="Gadugi" w:hAnsi="Gadugi" w:cs="Gadugi"/>
          <w:sz w:val="20"/>
          <w:szCs w:val="20"/>
        </w:rPr>
      </w:r>
      <w:r>
        <w:rPr>
          <w:rFonts w:ascii="Gadugi" w:hAnsi="Gadugi" w:eastAsia="Gadugi" w:cs="Gadugi"/>
          <w:sz w:val="20"/>
          <w:szCs w:val="20"/>
        </w:rPr>
      </w:r>
    </w:p>
    <w:p w14:paraId="0D788D13">
      <w:pPr>
        <w:pBdr/>
        <w:spacing w:after="200" w:before="240" w:line="360" w:lineRule="auto"/>
        <w:ind w:right="0" w:firstLine="0" w:left="567"/>
        <w:jc w:val="center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b/>
          <w:bCs/>
          <w:caps/>
          <w:sz w:val="20"/>
          <w:szCs w:val="20"/>
        </w:rPr>
        <w:t xml:space="preserve">DAS DEMAIS OMISSÕES IDENTIFICADAS NO V. ACÓRDÃO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4756837F">
      <w:pPr>
        <w:pBdr/>
        <w:spacing w:after="160" w:before="240" w:line="360" w:lineRule="auto"/>
        <w:ind w:right="0" w:firstLine="0" w:left="567"/>
        <w:jc w:val="center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b/>
          <w:bCs/>
          <w:sz w:val="20"/>
          <w:szCs w:val="20"/>
        </w:rPr>
        <w:t xml:space="preserve">Omissão quanto ao pedido autônomo de fixação de astreintes contra a HDI Seguros S.A. (art. 537 do CPC)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17ACDCBB">
      <w:pPr>
        <w:pBdr/>
        <w:spacing w:after="160" w:before="240" w:line="360" w:lineRule="auto"/>
        <w:ind w:right="0" w:firstLine="1134" w:left="567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A Embargante formulou, no item "DAS MEDIDAS COERCITIVAS" do agravo de instrumento, pedido autônomo, expresso e individualizado de fixação de astreintes em desfavor da coexecutada HDI Seguros </w:t>
      </w:r>
      <w:r>
        <w:rPr>
          <w:rFonts w:ascii="Gadugi" w:hAnsi="Gadugi" w:eastAsia="Gadugi" w:cs="Gadugi"/>
          <w:sz w:val="20"/>
          <w:szCs w:val="20"/>
        </w:rPr>
        <w:t xml:space="preserve">S.A., no valor de R$ 3.000,00 (três mil reais) por dia de descumprimento da obrigação de fazer, com fundamento no art. 537 do CPC, inclusive consignando o pleito específico no item "b" dos pedidos finais (fls. 17 das razões recursais).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0BA07DB6">
      <w:pPr>
        <w:pBdr/>
        <w:spacing w:after="160" w:before="240" w:line="360" w:lineRule="auto"/>
        <w:ind w:right="0" w:firstLine="1134" w:left="567"/>
        <w:jc w:val="both"/>
        <w:rPr>
          <w:rFonts w:ascii="Gadugi" w:hAnsi="Gadugi" w:eastAsia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Tal pedido jamais foi objeto de qualquer manifestação no v. acórdão embargado. 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eastAsia="Gadugi" w:cs="Gadugi"/>
          <w:sz w:val="20"/>
          <w:szCs w:val="20"/>
        </w:rPr>
      </w:r>
    </w:p>
    <w:p w14:paraId="391BE705">
      <w:pPr>
        <w:pBdr/>
        <w:spacing w:after="160" w:before="240" w:line="360" w:lineRule="auto"/>
        <w:ind w:right="0" w:firstLine="1134" w:left="567"/>
        <w:jc w:val="both"/>
        <w:rPr>
          <w:rFonts w:ascii="Gadugi" w:hAnsi="Gadugi" w:eastAsia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O voto condutor não enfrentou a aplicabilidade do art. 537 do CPC à obrigação de fazer pendente; não examinou a presença dos pressupostos para a imposição de medida coercitiva; </w:t>
      </w:r>
      <w:r>
        <w:rPr>
          <w:rFonts w:ascii="Gadugi" w:hAnsi="Gadugi" w:eastAsia="Gadugi" w:cs="Gadugi"/>
          <w:sz w:val="20"/>
          <w:szCs w:val="20"/>
        </w:rPr>
        <w:t xml:space="preserve">e não exarou qualquer fundamentação</w:t>
      </w:r>
      <w:r>
        <w:rPr>
          <w:rFonts w:ascii="Gadugi" w:hAnsi="Gadugi" w:eastAsia="Gadugi" w:cs="Gadugi"/>
          <w:sz w:val="20"/>
          <w:szCs w:val="20"/>
          <w:lang w:val="pt-BR"/>
        </w:rPr>
        <w:t xml:space="preserve">,</w:t>
      </w:r>
      <w:r>
        <w:rPr>
          <w:rFonts w:ascii="Gadugi" w:hAnsi="Gadugi" w:eastAsia="Gadugi" w:cs="Gadugi"/>
          <w:sz w:val="20"/>
          <w:szCs w:val="20"/>
        </w:rPr>
        <w:t xml:space="preserve"> ainda que para indeferir</w:t>
      </w:r>
      <w:r>
        <w:rPr>
          <w:rFonts w:ascii="Gadugi" w:hAnsi="Gadugi" w:eastAsia="Gadugi" w:cs="Gadugi"/>
          <w:sz w:val="20"/>
          <w:szCs w:val="20"/>
          <w:lang w:val="pt-BR"/>
        </w:rPr>
        <w:t xml:space="preserve">,</w:t>
      </w:r>
      <w:r>
        <w:rPr>
          <w:rFonts w:ascii="Gadugi" w:hAnsi="Gadugi" w:eastAsia="Gadugi" w:cs="Gadugi"/>
          <w:sz w:val="20"/>
          <w:szCs w:val="20"/>
        </w:rPr>
        <w:t xml:space="preserve"> sobre a pretensão. </w:t>
      </w:r>
      <w:r>
        <w:rPr>
          <w:rFonts w:ascii="Gadugi" w:hAnsi="Gadugi" w:cs="Gadugi"/>
          <w:sz w:val="20"/>
          <w:szCs w:val="20"/>
        </w:rPr>
      </w:r>
      <w:r>
        <w:rPr>
          <w:rFonts w:ascii="Gadugi" w:hAnsi="Gadugi" w:eastAsia="Gadugi" w:cs="Gadugi"/>
          <w:sz w:val="20"/>
          <w:szCs w:val="20"/>
        </w:rPr>
      </w:r>
    </w:p>
    <w:p w14:paraId="21CB8F71">
      <w:pPr>
        <w:pBdr/>
        <w:spacing w:after="160" w:before="240" w:line="360" w:lineRule="auto"/>
        <w:ind w:right="0" w:firstLine="1134" w:left="567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Houve, portanto, supressão integral de pedido autônomo formulado em sede recursal, configurando omissão clássica sanável por embargos de declaração (art. 1.022, II, do CPC)</w:t>
      </w:r>
      <w:r>
        <w:rPr>
          <w:rFonts w:ascii="Gadugi" w:hAnsi="Gadugi" w:eastAsia="Gadugi" w:cs="Gadugi"/>
          <w:sz w:val="20"/>
          <w:szCs w:val="20"/>
        </w:rPr>
        <w:t xml:space="preserve">.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1BAB5F0F">
      <w:pPr>
        <w:pBdr/>
        <w:spacing w:after="160" w:before="240" w:line="360" w:lineRule="auto"/>
        <w:ind w:right="0" w:firstLine="1134" w:left="567"/>
        <w:jc w:val="both"/>
        <w:rPr>
          <w:rFonts w:ascii="Gadugi" w:hAnsi="Gadugi" w:eastAsia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A omissão é tanto mais grave porquanto se trata de matéria de ordem pública processual, voltada à efetividade da execução (art. 4º do CPC) e ao cumprimento específico de obrigação de fa</w:t>
      </w:r>
      <w:r>
        <w:rPr>
          <w:rFonts w:ascii="Gadugi" w:hAnsi="Gadugi" w:eastAsia="Gadugi" w:cs="Gadugi"/>
          <w:sz w:val="20"/>
          <w:szCs w:val="20"/>
        </w:rPr>
        <w:t xml:space="preserve">zer determinada por sentença transitada em julgado. </w:t>
      </w:r>
      <w:r>
        <w:rPr>
          <w:rFonts w:ascii="Gadugi" w:hAnsi="Gadugi" w:cs="Gadugi"/>
          <w:sz w:val="20"/>
          <w:szCs w:val="20"/>
        </w:rPr>
      </w:r>
      <w:r>
        <w:rPr>
          <w:rFonts w:ascii="Gadugi" w:hAnsi="Gadugi" w:eastAsia="Gadugi" w:cs="Gadugi"/>
          <w:sz w:val="20"/>
          <w:szCs w:val="20"/>
        </w:rPr>
      </w:r>
    </w:p>
    <w:p w14:paraId="06109D3D">
      <w:pPr>
        <w:pBdr/>
        <w:spacing w:after="160" w:before="240" w:line="360" w:lineRule="auto"/>
        <w:ind w:right="0" w:firstLine="1134" w:left="567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A astreintes não se confunde com excesso de execução ou com a discussão da solidariedade</w:t>
      </w:r>
      <w:r>
        <w:rPr>
          <w:rFonts w:ascii="Gadugi" w:hAnsi="Gadugi" w:eastAsia="Gadugi" w:cs="Gadugi"/>
          <w:sz w:val="20"/>
          <w:szCs w:val="20"/>
          <w:lang w:val="pt-BR"/>
        </w:rPr>
        <w:t xml:space="preserve">,</w:t>
      </w:r>
      <w:r>
        <w:rPr>
          <w:rFonts w:ascii="Gadugi" w:hAnsi="Gadugi" w:eastAsia="Gadugi" w:cs="Gadugi"/>
          <w:sz w:val="20"/>
          <w:szCs w:val="20"/>
        </w:rPr>
        <w:t xml:space="preserve">  possui natureza, finalidade e regime jurídico próprios, distintos das demais matérias examinadas pelo v. acórdão.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7B7515D6">
      <w:pPr>
        <w:pBdr/>
        <w:spacing w:after="160" w:before="240" w:line="360" w:lineRule="auto"/>
        <w:ind w:right="0" w:firstLine="0" w:left="567"/>
        <w:jc w:val="center"/>
        <w:rPr>
          <w:rFonts w:ascii="Gadugi" w:hAnsi="Gadugi" w:eastAsia="Gadugi" w:cs="Gadugi"/>
          <w:b/>
          <w:bCs/>
          <w:sz w:val="20"/>
          <w:szCs w:val="20"/>
          <w14:ligatures w14:val="none"/>
        </w:rPr>
      </w:pPr>
      <w:r>
        <w:rPr>
          <w:rFonts w:ascii="Gadugi" w:hAnsi="Gadugi" w:eastAsia="Gadugi" w:cs="Gadugi"/>
          <w:b/>
          <w:bCs/>
          <w:sz w:val="20"/>
          <w:szCs w:val="20"/>
        </w:rPr>
        <w:t xml:space="preserve">Omissão quanto ao pedido de penhora prioritária contra a HDI e à aplicação do art. 805 do CPC</w:t>
      </w:r>
      <w:r>
        <w:rPr>
          <w:rFonts w:ascii="Gadugi" w:hAnsi="Gadugi" w:eastAsia="Gadugi" w:cs="Gadugi"/>
          <w:b/>
          <w:bCs/>
          <w:sz w:val="20"/>
          <w:szCs w:val="20"/>
        </w:rPr>
      </w:r>
      <w:r>
        <w:rPr>
          <w:rFonts w:ascii="Gadugi" w:hAnsi="Gadugi" w:eastAsia="Gadugi" w:cs="Gadugi"/>
          <w:b/>
          <w:bCs/>
          <w:sz w:val="20"/>
          <w:szCs w:val="20"/>
          <w14:ligatures w14:val="none"/>
        </w:rPr>
      </w:r>
    </w:p>
    <w:p w14:paraId="42E73544">
      <w:pPr>
        <w:pBdr/>
        <w:spacing w:after="160" w:before="240" w:line="360" w:lineRule="auto"/>
        <w:ind w:right="0" w:firstLine="1134" w:left="567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No item "</w:t>
      </w:r>
      <w:r>
        <w:rPr>
          <w:rFonts w:ascii="Gadugi" w:hAnsi="Gadugi" w:eastAsia="Gadugi" w:cs="Gadugi"/>
          <w:b/>
          <w:bCs/>
          <w:sz w:val="20"/>
          <w:szCs w:val="20"/>
        </w:rPr>
        <w:t xml:space="preserve">DA VULNERABILIDADE DA AGRAVANTE (ARGUIÇÃO DO ART. 805 DO CPC) E A ORDEM DE PREFERÊNCIA</w:t>
      </w:r>
      <w:r>
        <w:rPr>
          <w:rFonts w:ascii="Gadugi" w:hAnsi="Gadugi" w:eastAsia="Gadugi" w:cs="Gadugi"/>
          <w:sz w:val="20"/>
          <w:szCs w:val="20"/>
        </w:rPr>
        <w:t xml:space="preserve">" do agravo de instrumento, a Embargante dedu</w:t>
      </w:r>
      <w:r>
        <w:rPr>
          <w:rFonts w:ascii="Gadugi" w:hAnsi="Gadugi" w:eastAsia="Gadugi" w:cs="Gadugi"/>
          <w:sz w:val="20"/>
          <w:szCs w:val="20"/>
        </w:rPr>
        <w:t xml:space="preserve">ziu pedido autônomo de redirecionamento prioritário da execução à HDI Seguros S.A., mediante penhora online de seus ativos financeiros, em homenagem ao princípio da menor onerosidade ao executado e à comprovada vulnerabilidade da Embargante (microempresa).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795C3881">
      <w:pPr>
        <w:pBdr/>
        <w:spacing w:after="160" w:before="240" w:line="360" w:lineRule="auto"/>
        <w:ind w:right="0" w:firstLine="1134" w:left="567"/>
        <w:jc w:val="both"/>
        <w:rPr>
          <w:rFonts w:ascii="Gadugi" w:hAnsi="Gadugi" w:eastAsia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O v. acórdão tratou genericamente da impossibilidade de "imposição de ordem de preferência" pelo devedor solidário ao credor, mas omitiu-se quanto ao pedido específico de aplicação do art. 805 do CPC ao caso concreto. </w:t>
      </w:r>
      <w:r>
        <w:rPr>
          <w:rFonts w:ascii="Gadugi" w:hAnsi="Gadugi" w:cs="Gadugi"/>
          <w:sz w:val="20"/>
          <w:szCs w:val="20"/>
        </w:rPr>
      </w:r>
      <w:r>
        <w:rPr>
          <w:rFonts w:ascii="Gadugi" w:hAnsi="Gadugi" w:eastAsia="Gadugi" w:cs="Gadugi"/>
          <w:sz w:val="20"/>
          <w:szCs w:val="20"/>
        </w:rPr>
      </w:r>
    </w:p>
    <w:p w14:paraId="1F233840">
      <w:pPr>
        <w:pBdr/>
        <w:spacing w:after="160" w:before="240" w:line="360" w:lineRule="auto"/>
        <w:ind w:right="0" w:firstLine="1134" w:left="567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Não foi enfrentada a circunstân</w:t>
      </w:r>
      <w:r>
        <w:rPr>
          <w:rFonts w:ascii="Gadugi" w:hAnsi="Gadugi" w:eastAsia="Gadugi" w:cs="Gadugi"/>
          <w:sz w:val="20"/>
          <w:szCs w:val="20"/>
        </w:rPr>
        <w:t xml:space="preserve">cia de que o art. 805 do CPC não cria benefício de ordem na solidariedade</w:t>
      </w:r>
      <w:r>
        <w:rPr>
          <w:rFonts w:ascii="Gadugi" w:hAnsi="Gadugi" w:eastAsia="Gadugi" w:cs="Gadugi"/>
          <w:sz w:val="20"/>
          <w:szCs w:val="20"/>
          <w:lang w:val="pt-BR"/>
        </w:rPr>
        <w:t xml:space="preserve">,</w:t>
      </w:r>
      <w:r>
        <w:rPr>
          <w:rFonts w:ascii="Gadugi" w:hAnsi="Gadugi" w:eastAsia="Gadugi" w:cs="Gadugi"/>
          <w:sz w:val="20"/>
          <w:szCs w:val="20"/>
        </w:rPr>
        <w:t xml:space="preserve"> não foi isso o que se pediu, mas confere ao executado o direito de exigir do juízo a adoção do meio executivo menos gravoso quando há equivalência na via de satisfação do credor.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61D115B4">
      <w:pPr>
        <w:pBdr/>
        <w:spacing w:after="160" w:before="240" w:line="360" w:lineRule="auto"/>
        <w:ind w:right="0" w:firstLine="1134" w:left="567"/>
        <w:jc w:val="both"/>
        <w:rPr>
          <w:rFonts w:ascii="Gadugi" w:hAnsi="Gadugi" w:eastAsia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Tampouco se manifestou o v. acórdão sobre a circunstância de que a HDI Seguros S.A. depositou voluntariamente em juízo o valor de R$ 112.148,84</w:t>
      </w:r>
      <w:r>
        <w:rPr>
          <w:rFonts w:ascii="Gadugi" w:hAnsi="Gadugi" w:eastAsia="Gadugi" w:cs="Gadugi"/>
          <w:sz w:val="20"/>
          <w:szCs w:val="20"/>
          <w:lang w:val="pt-BR"/>
        </w:rPr>
        <w:t xml:space="preserve">,</w:t>
      </w:r>
      <w:r>
        <w:rPr>
          <w:rFonts w:ascii="Gadugi" w:hAnsi="Gadugi" w:eastAsia="Gadugi" w:cs="Gadugi"/>
          <w:sz w:val="20"/>
          <w:szCs w:val="20"/>
        </w:rPr>
        <w:t xml:space="preserve"> que está disponível para satisfação imediata do credor, e que a aplicação do</w:t>
      </w:r>
      <w:r>
        <w:rPr>
          <w:rFonts w:ascii="Gadugi" w:hAnsi="Gadugi" w:eastAsia="Gadugi" w:cs="Gadugi"/>
          <w:sz w:val="20"/>
          <w:szCs w:val="20"/>
        </w:rPr>
        <w:t xml:space="preserve"> art. 805 do CPC não prejudica em absolutamente nada o direito do credor à satisfação integral, mas tão somente racionaliza a ordem dos atos executivos contra os codevedores. </w:t>
      </w:r>
      <w:r>
        <w:rPr>
          <w:rFonts w:ascii="Gadugi" w:hAnsi="Gadugi" w:cs="Gadugi"/>
          <w:sz w:val="20"/>
          <w:szCs w:val="20"/>
        </w:rPr>
      </w:r>
      <w:r>
        <w:rPr>
          <w:rFonts w:ascii="Gadugi" w:hAnsi="Gadugi" w:eastAsia="Gadugi" w:cs="Gadugi"/>
          <w:sz w:val="20"/>
          <w:szCs w:val="20"/>
        </w:rPr>
      </w:r>
    </w:p>
    <w:p w14:paraId="78CE12C3">
      <w:pPr>
        <w:pBdr/>
        <w:spacing w:after="160" w:before="240" w:line="360" w:lineRule="auto"/>
        <w:ind w:right="0" w:firstLine="1134" w:left="567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A omissão sobre esse ponto específico autoriza a oposição dos presentes embargos.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2BB01866">
      <w:pPr>
        <w:pBdr/>
        <w:spacing w:after="160" w:before="240" w:line="360" w:lineRule="auto"/>
        <w:ind w:right="0" w:firstLine="0" w:left="567"/>
        <w:jc w:val="center"/>
        <w:rPr>
          <w:rFonts w:ascii="Gadugi" w:hAnsi="Gadugi" w:eastAsia="Gadugi" w:cs="Gadugi"/>
          <w:b/>
          <w:bCs/>
          <w:sz w:val="20"/>
          <w:szCs w:val="20"/>
          <w14:ligatures w14:val="none"/>
        </w:rPr>
      </w:pPr>
      <w:r>
        <w:rPr>
          <w:rFonts w:ascii="Gadugi" w:hAnsi="Gadugi" w:eastAsia="Gadugi" w:cs="Gadugi"/>
          <w:b/>
          <w:bCs/>
          <w:sz w:val="20"/>
          <w:szCs w:val="20"/>
        </w:rPr>
        <w:t xml:space="preserve">Omissão quanto ao excesso de execução pela majoração unilateral do custo do conserto</w:t>
      </w:r>
      <w:r>
        <w:rPr>
          <w:rFonts w:ascii="Gadugi" w:hAnsi="Gadugi" w:eastAsia="Gadugi" w:cs="Gadugi"/>
          <w:b/>
          <w:bCs/>
          <w:sz w:val="20"/>
          <w:szCs w:val="20"/>
        </w:rPr>
      </w:r>
      <w:r>
        <w:rPr>
          <w:rFonts w:ascii="Gadugi" w:hAnsi="Gadugi" w:eastAsia="Gadugi" w:cs="Gadugi"/>
          <w:b/>
          <w:bCs/>
          <w:sz w:val="20"/>
          <w:szCs w:val="20"/>
          <w14:ligatures w14:val="none"/>
        </w:rPr>
      </w:r>
    </w:p>
    <w:p w14:paraId="79272566">
      <w:pPr>
        <w:pBdr/>
        <w:spacing w:after="160" w:before="240" w:line="360" w:lineRule="auto"/>
        <w:ind w:right="0" w:firstLine="1134" w:left="567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A Embargante apresentou tese específica e juridicamente autônoma de excesso de execução decorrente da</w:t>
      </w:r>
      <w:r>
        <w:rPr>
          <w:rFonts w:ascii="Gadugi" w:hAnsi="Gadugi" w:eastAsia="Gadugi" w:cs="Gadugi"/>
          <w:sz w:val="20"/>
          <w:szCs w:val="20"/>
        </w:rPr>
        <w:t xml:space="preserve"> majoração unilateral do custo do conserto, do valor mínimo fixado na sentença (R$ 62.515,00) para R$ 95.636,00, sem qualquer prova técnica, perícia ou liquidação prévia, em violação ao art. 797 do CPC e à exigência de liquidez do título (art. 783 do CPC).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5D02511F">
      <w:pPr>
        <w:pBdr/>
        <w:spacing w:after="160" w:before="240" w:line="360" w:lineRule="auto"/>
        <w:ind w:right="0" w:firstLine="1134" w:left="567"/>
        <w:jc w:val="both"/>
        <w:rPr>
          <w:rFonts w:ascii="Gadugi" w:hAnsi="Gadugi" w:eastAsia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O v. acórdão limitou-se a aplicar a tese da preclusão temporal a essa matéria, em conjunto com as demais. Contudo, omitiu-se sobre as seguintes</w:t>
      </w:r>
      <w:r>
        <w:rPr>
          <w:rFonts w:ascii="Gadugi" w:hAnsi="Gadugi" w:eastAsia="Gadugi" w:cs="Gadugi"/>
          <w:sz w:val="20"/>
          <w:szCs w:val="20"/>
        </w:rPr>
        <w:t xml:space="preserve"> questões: </w:t>
      </w:r>
      <w:r>
        <w:rPr>
          <w:rFonts w:ascii="Gadugi" w:hAnsi="Gadugi" w:cs="Gadugi"/>
          <w:sz w:val="20"/>
          <w:szCs w:val="20"/>
        </w:rPr>
      </w:r>
      <w:r>
        <w:rPr>
          <w:rFonts w:ascii="Gadugi" w:hAnsi="Gadugi" w:eastAsia="Gadugi" w:cs="Gadugi"/>
          <w:sz w:val="20"/>
          <w:szCs w:val="20"/>
        </w:rPr>
      </w:r>
    </w:p>
    <w:p w14:paraId="76ACAF22">
      <w:pPr>
        <w:pBdr/>
        <w:spacing w:after="160" w:before="240" w:line="276" w:lineRule="auto"/>
        <w:ind w:right="0" w:firstLine="0" w:left="1701"/>
        <w:jc w:val="both"/>
        <w:rPr>
          <w:rFonts w:ascii="Gadugi" w:hAnsi="Gadugi" w:eastAsia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(i) o art. 525, §11, do CPC permite o conhecimento do excesso de execução verificável nos próprios cálculos do exequente, independentemente de impugnação tempestiva, quando se trate de simples conferência aritmética ou de liquidez do título; e</w:t>
      </w:r>
      <w:r>
        <w:rPr>
          <w:rFonts w:ascii="Gadugi" w:hAnsi="Gadugi" w:cs="Gadugi"/>
          <w:sz w:val="20"/>
          <w:szCs w:val="20"/>
        </w:rPr>
      </w:r>
      <w:r>
        <w:rPr>
          <w:rFonts w:ascii="Gadugi" w:hAnsi="Gadugi" w:eastAsia="Gadugi" w:cs="Gadugi"/>
          <w:sz w:val="20"/>
          <w:szCs w:val="20"/>
        </w:rPr>
      </w:r>
    </w:p>
    <w:p w14:paraId="0B87910B">
      <w:pPr>
        <w:pBdr/>
        <w:spacing w:after="160" w:before="240" w:line="276" w:lineRule="auto"/>
        <w:ind w:right="0" w:firstLine="0" w:left="1701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(</w:t>
      </w:r>
      <w:r>
        <w:rPr>
          <w:rFonts w:ascii="Gadugi" w:hAnsi="Gadugi" w:eastAsia="Gadugi" w:cs="Gadugi"/>
          <w:sz w:val="20"/>
          <w:szCs w:val="20"/>
        </w:rPr>
        <w:t xml:space="preserve">ii</w:t>
      </w:r>
      <w:r>
        <w:rPr>
          <w:rFonts w:ascii="Gadugi" w:hAnsi="Gadugi" w:eastAsia="Gadugi" w:cs="Gadugi"/>
          <w:sz w:val="20"/>
          <w:szCs w:val="20"/>
        </w:rPr>
        <w:t xml:space="preserve">) a majoração unilateral em quase 53% sobre o valor mínimo fixado na sentença não é mera operação aritmética, mas verdadeira ampliação da obrigação executada, que demanda cognição própria.</w:t>
      </w:r>
      <w:r>
        <w:rPr>
          <w:rFonts w:ascii="Gadugi" w:hAnsi="Gadugi" w:cs="Gadugi"/>
          <w:sz w:val="20"/>
          <w:szCs w:val="20"/>
        </w:rPr>
      </w:r>
    </w:p>
    <w:p w14:paraId="7378BBAE">
      <w:pPr>
        <w:pBdr/>
        <w:spacing w:after="160" w:before="240" w:line="360" w:lineRule="auto"/>
        <w:ind w:right="0" w:firstLine="1134" w:left="567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O v. acórdão deixou de pronunciar-se também sobre a circunstância de que a alegada "abertura do motor para análise" fundamento da majoração</w:t>
      </w:r>
      <w:r>
        <w:rPr>
          <w:rFonts w:ascii="Gadugi" w:hAnsi="Gadugi" w:eastAsia="Gadugi" w:cs="Gadugi"/>
          <w:sz w:val="20"/>
          <w:szCs w:val="20"/>
          <w:lang w:val="pt-BR"/>
        </w:rPr>
        <w:t xml:space="preserve">,</w:t>
      </w:r>
      <w:r>
        <w:rPr>
          <w:rFonts w:ascii="Gadugi" w:hAnsi="Gadugi" w:eastAsia="Gadugi" w:cs="Gadugi"/>
          <w:sz w:val="20"/>
          <w:szCs w:val="20"/>
        </w:rPr>
        <w:t xml:space="preserve"> pressupõe ato técnico não autorizado pela Embargante e não submetido a qualquer contraditório técnico, configurando situação que reclama liquidação por arbitramento (art. 509, I, do CPC). Sobre esse aspecto não houve qualquer fundamentação no v. acórdão.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02D9DE59">
      <w:pPr>
        <w:pBdr/>
        <w:spacing w:after="200" w:before="240" w:line="360" w:lineRule="auto"/>
        <w:ind w:right="0" w:firstLine="0" w:left="567"/>
        <w:jc w:val="center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b/>
          <w:bCs/>
          <w:caps/>
          <w:sz w:val="20"/>
          <w:szCs w:val="20"/>
        </w:rPr>
        <w:t xml:space="preserve">DA CONTRADIÇÃO LÓGICA DO V. ACÓRDÃO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76AA590E">
      <w:pPr>
        <w:pBdr/>
        <w:spacing w:after="160" w:before="240" w:line="360" w:lineRule="auto"/>
        <w:ind w:right="0" w:firstLine="1134" w:left="567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Ainda que assim não se entenda, identifica-se contradição interna no v. acórdão embargado, autorizadora também da via dos embargos declaratórios (art. 1.022, I, do CPC).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59CC855B">
      <w:pPr>
        <w:pBdr/>
        <w:spacing w:after="160" w:before="240" w:line="360" w:lineRule="auto"/>
        <w:ind w:right="0" w:firstLine="1134" w:left="567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O v. acórdão, ao tratar do agravo de instrumento conexo nº 5300098-40.2025.8.21.7000 (interposto pela HDI Seguros S.A. contra a mesma decisão de origem), reconheceu expressamente que: "(...) uma vez esgotado o li</w:t>
      </w:r>
      <w:r>
        <w:rPr>
          <w:rFonts w:ascii="Gadugi" w:hAnsi="Gadugi" w:eastAsia="Gadugi" w:cs="Gadugi"/>
          <w:sz w:val="20"/>
          <w:szCs w:val="20"/>
        </w:rPr>
        <w:t xml:space="preserve">mite da apólice da HDI (após os devidos abatimentos a serem apurados na origem), o saldo remanescente da dívida, que continua a existir e a se avolumar em razão dos lucros cessantes, recairá integralmente sobre a outra devedora solidária, a ora agravante."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1DECD365">
      <w:pPr>
        <w:pBdr/>
        <w:spacing w:after="160" w:before="240" w:line="360" w:lineRule="auto"/>
        <w:ind w:right="0" w:firstLine="1134" w:left="567"/>
        <w:jc w:val="both"/>
        <w:rPr>
          <w:rFonts w:ascii="Gadugi" w:hAnsi="Gadugi" w:eastAsia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Tal afirmação, contudo, é internamente contraditória com o capítulo do mesmo acórdão que recusa o conhecimento da matéria sob fundamento de preclusão. </w:t>
      </w:r>
      <w:r>
        <w:rPr>
          <w:rFonts w:ascii="Gadugi" w:hAnsi="Gadugi" w:cs="Gadugi"/>
          <w:sz w:val="20"/>
          <w:szCs w:val="20"/>
        </w:rPr>
      </w:r>
      <w:r>
        <w:rPr>
          <w:rFonts w:ascii="Gadugi" w:hAnsi="Gadugi" w:eastAsia="Gadugi" w:cs="Gadugi"/>
          <w:sz w:val="20"/>
          <w:szCs w:val="20"/>
        </w:rPr>
      </w:r>
    </w:p>
    <w:p w14:paraId="207A40BA">
      <w:pPr>
        <w:pBdr/>
        <w:spacing w:after="160" w:before="240" w:line="360" w:lineRule="auto"/>
        <w:ind w:right="0" w:firstLine="1134" w:left="567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Se o próprio v. acórdão afirma que os lucros cessantes "continuam a existir e a se avolumar" reconhecen</w:t>
      </w:r>
      <w:r>
        <w:rPr>
          <w:rFonts w:ascii="Gadugi" w:hAnsi="Gadugi" w:eastAsia="Gadugi" w:cs="Gadugi"/>
          <w:sz w:val="20"/>
          <w:szCs w:val="20"/>
        </w:rPr>
        <w:t xml:space="preserve">do expressamente o caráter contínuo e superveniente do dano, é logicamente inconsistente afastar a discussão sobre tal acúmulo sob o pretexto de preclusão temporal vinculada à fase original de impugnação ao cumprimento de sentença, quando o próprio dano </w:t>
      </w:r>
      <w:r>
        <w:rPr>
          <w:rFonts w:ascii="Gadugi" w:hAnsi="Gadugi" w:eastAsia="Gadugi" w:cs="Gadugi"/>
          <w:sz w:val="20"/>
          <w:szCs w:val="20"/>
        </w:rPr>
        <w:t xml:space="preserve">que se pretende discutir é, em sua maior parte, posterior àquela fase processual.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0D128C92">
      <w:pPr>
        <w:pBdr/>
        <w:spacing w:after="160" w:before="240" w:line="360" w:lineRule="auto"/>
        <w:ind w:right="0" w:firstLine="1134" w:left="567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A contradição reclama saneamento pela via dos embargos declaratórios, integrando-se o julgado para que se reconheça a impossibilidade de aplicação da preclusão à parcela do dano superveniente.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6C81C4F8">
      <w:pPr>
        <w:pBdr/>
        <w:spacing w:after="200" w:before="240" w:line="360" w:lineRule="auto"/>
        <w:ind w:right="0" w:firstLine="1134" w:left="567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b/>
          <w:bCs/>
          <w:caps/>
          <w:sz w:val="20"/>
          <w:szCs w:val="20"/>
        </w:rPr>
        <w:t xml:space="preserve">DOS PEDIDOS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592F4324">
      <w:pPr>
        <w:pBdr/>
        <w:spacing w:after="160" w:before="240" w:line="360" w:lineRule="auto"/>
        <w:ind w:right="0" w:firstLine="1134" w:left="567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Diante do exposto, requer a Embargante: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0F1370BB">
      <w:pPr>
        <w:pBdr/>
        <w:spacing w:after="160" w:before="240" w:line="276" w:lineRule="auto"/>
        <w:ind w:right="0" w:firstLine="0" w:left="2268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a) o </w:t>
      </w:r>
      <w:r>
        <w:rPr>
          <w:rFonts w:ascii="Gadugi" w:hAnsi="Gadugi" w:eastAsia="Gadugi" w:cs="Gadugi"/>
          <w:b/>
          <w:bCs/>
          <w:sz w:val="20"/>
          <w:szCs w:val="20"/>
        </w:rPr>
        <w:t xml:space="preserve">CONHECIMENTO e o PROVIMENTO</w:t>
      </w:r>
      <w:r>
        <w:rPr>
          <w:rFonts w:ascii="Gadugi" w:hAnsi="Gadugi" w:eastAsia="Gadugi" w:cs="Gadugi"/>
          <w:sz w:val="20"/>
          <w:szCs w:val="20"/>
        </w:rPr>
        <w:t xml:space="preserve"> dos presentes embargos de declaração, com fundamento no art. 1.022, incisos I e II, do CPC, para sanar as omissões e a contradição apontadas, integrando-se o v. acórdão embargado para que ele expressamente: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3DC719D7">
      <w:pPr>
        <w:pBdr/>
        <w:spacing w:after="160" w:before="240" w:line="276" w:lineRule="auto"/>
        <w:ind w:right="0" w:firstLine="0" w:left="2835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(i) </w:t>
      </w:r>
      <w:r>
        <w:rPr>
          <w:rFonts w:ascii="Gadugi" w:hAnsi="Gadugi" w:eastAsia="Gadugi" w:cs="Gadugi"/>
          <w:sz w:val="20"/>
          <w:szCs w:val="20"/>
        </w:rPr>
        <w:t xml:space="preserve">enfrente</w:t>
      </w:r>
      <w:r>
        <w:rPr>
          <w:rFonts w:ascii="Gadugi" w:hAnsi="Gadugi" w:eastAsia="Gadugi" w:cs="Gadugi"/>
          <w:sz w:val="20"/>
          <w:szCs w:val="20"/>
        </w:rPr>
        <w:t xml:space="preserve"> a tese de aplicação do art. 781 do Código Civil ao caso concreto, pronunciando-se sobre a extrapolação do Limite Máximo de Indenização da apólice em razão da mora da seguradora;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7CAF199C">
      <w:pPr>
        <w:pBdr/>
        <w:spacing w:after="160" w:before="240" w:line="276" w:lineRule="auto"/>
        <w:ind w:right="0" w:firstLine="0" w:left="2835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(</w:t>
      </w:r>
      <w:r>
        <w:rPr>
          <w:rFonts w:ascii="Gadugi" w:hAnsi="Gadugi" w:eastAsia="Gadugi" w:cs="Gadugi"/>
          <w:sz w:val="20"/>
          <w:szCs w:val="20"/>
        </w:rPr>
        <w:t xml:space="preserve">ii</w:t>
      </w:r>
      <w:r>
        <w:rPr>
          <w:rFonts w:ascii="Gadugi" w:hAnsi="Gadugi" w:eastAsia="Gadugi" w:cs="Gadugi"/>
          <w:sz w:val="20"/>
          <w:szCs w:val="20"/>
        </w:rPr>
        <w:t xml:space="preserve">) examine a distinção entre dano securitário (limitado ao LMI) e dano da mora (ilimitado, imputável exclusivamente à HDI Seguros S.A.) suscitada nas razões recursais, com fundamento nos </w:t>
      </w:r>
      <w:r>
        <w:rPr>
          <w:rFonts w:ascii="Gadugi" w:hAnsi="Gadugi" w:eastAsia="Gadugi" w:cs="Gadugi"/>
          <w:sz w:val="20"/>
          <w:szCs w:val="20"/>
        </w:rPr>
        <w:t xml:space="preserve">arts</w:t>
      </w:r>
      <w:r>
        <w:rPr>
          <w:rFonts w:ascii="Gadugi" w:hAnsi="Gadugi" w:eastAsia="Gadugi" w:cs="Gadugi"/>
          <w:sz w:val="20"/>
          <w:szCs w:val="20"/>
        </w:rPr>
        <w:t xml:space="preserve">. 422, 884, 944 e 781, todos do Código Civil;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5FF4533D">
      <w:pPr>
        <w:pBdr/>
        <w:spacing w:after="160" w:before="240" w:line="276" w:lineRule="auto"/>
        <w:ind w:right="0" w:firstLine="0" w:left="2835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(</w:t>
      </w:r>
      <w:r>
        <w:rPr>
          <w:rFonts w:ascii="Gadugi" w:hAnsi="Gadugi" w:eastAsia="Gadugi" w:cs="Gadugi"/>
          <w:sz w:val="20"/>
          <w:szCs w:val="20"/>
        </w:rPr>
        <w:t xml:space="preserve">iii</w:t>
      </w:r>
      <w:r>
        <w:rPr>
          <w:rFonts w:ascii="Gadugi" w:hAnsi="Gadugi" w:eastAsia="Gadugi" w:cs="Gadugi"/>
          <w:sz w:val="20"/>
          <w:szCs w:val="20"/>
        </w:rPr>
        <w:t xml:space="preserve">) afaste a aplicação da preclusão temporal ao dano superveniente e contínuo, à luz do art. 493 do CPC e da própria reconhecida natureza dos lucros cessantes que "continuam a existir e a se avolumar";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5EBF45FB">
      <w:pPr>
        <w:pBdr/>
        <w:spacing w:after="160" w:before="240" w:line="276" w:lineRule="auto"/>
        <w:ind w:right="0" w:firstLine="0" w:left="2835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(</w:t>
      </w:r>
      <w:r>
        <w:rPr>
          <w:rFonts w:ascii="Gadugi" w:hAnsi="Gadugi" w:eastAsia="Gadugi" w:cs="Gadugi"/>
          <w:sz w:val="20"/>
          <w:szCs w:val="20"/>
        </w:rPr>
        <w:t xml:space="preserve">iv</w:t>
      </w:r>
      <w:r>
        <w:rPr>
          <w:rFonts w:ascii="Gadugi" w:hAnsi="Gadugi" w:eastAsia="Gadugi" w:cs="Gadugi"/>
          <w:sz w:val="20"/>
          <w:szCs w:val="20"/>
        </w:rPr>
        <w:t xml:space="preserve">) examine o pedido autônomo de fixação de astreintes contra a HDI Seguros S.A., com fundamento no art. 537 do CPC, pronunciando-se sobre a procedência ou improcedência da pretensão;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74A10EEB">
      <w:pPr>
        <w:pBdr/>
        <w:spacing w:after="160" w:before="240" w:line="276" w:lineRule="auto"/>
        <w:ind w:right="0" w:firstLine="0" w:left="2835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(v) examine a aplicabilidade do art. 805 do CPC ao caso concreto, à luz da vulnerabilidade econômica da Embargante e do depósito voluntário em juízo já realizado pela HDI;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3D7E712E">
      <w:pPr>
        <w:pBdr/>
        <w:spacing w:after="160" w:before="240" w:line="276" w:lineRule="auto"/>
        <w:ind w:right="0" w:firstLine="0" w:left="2835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(vi) pronuncie-se sobre o excesso de execução decorrente da majoração unilateral do custo do conserto, à luz do art. 525, §11, do CPC e da necessidade de liquidação por arbitramento;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38F1EBE2">
      <w:pPr>
        <w:pBdr/>
        <w:spacing w:after="160" w:before="240" w:line="276" w:lineRule="auto"/>
        <w:ind w:right="0" w:firstLine="0" w:left="2835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(</w:t>
      </w:r>
      <w:r>
        <w:rPr>
          <w:rFonts w:ascii="Gadugi" w:hAnsi="Gadugi" w:eastAsia="Gadugi" w:cs="Gadugi"/>
          <w:sz w:val="20"/>
          <w:szCs w:val="20"/>
        </w:rPr>
        <w:t xml:space="preserve">vii</w:t>
      </w:r>
      <w:r>
        <w:rPr>
          <w:rFonts w:ascii="Gadugi" w:hAnsi="Gadugi" w:eastAsia="Gadugi" w:cs="Gadugi"/>
          <w:sz w:val="20"/>
          <w:szCs w:val="20"/>
        </w:rPr>
        <w:t xml:space="preserve">) sane a contradição lógica entre o reconhecimento do caráter contínuo e superveniente dos lucros cessantes e a aplicação da preclusão a essa mesma matéria;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71043BE9">
      <w:pPr>
        <w:pBdr/>
        <w:spacing w:after="160" w:before="240" w:line="276" w:lineRule="auto"/>
        <w:ind w:right="0" w:firstLine="0" w:left="2268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b) seja conf</w:t>
      </w:r>
      <w:r>
        <w:rPr>
          <w:rFonts w:ascii="Gadugi" w:hAnsi="Gadugi" w:eastAsia="Gadugi" w:cs="Gadugi"/>
          <w:sz w:val="20"/>
          <w:szCs w:val="20"/>
        </w:rPr>
        <w:t xml:space="preserve">erido </w:t>
      </w:r>
      <w:r>
        <w:rPr>
          <w:rFonts w:ascii="Gadugi" w:hAnsi="Gadugi" w:eastAsia="Gadugi" w:cs="Gadugi"/>
          <w:b/>
          <w:bCs/>
          <w:sz w:val="20"/>
          <w:szCs w:val="20"/>
        </w:rPr>
        <w:t xml:space="preserve">EFEITO INFRINGENTE</w:t>
      </w:r>
      <w:r>
        <w:rPr>
          <w:rFonts w:ascii="Gadugi" w:hAnsi="Gadugi" w:eastAsia="Gadugi" w:cs="Gadugi"/>
          <w:sz w:val="20"/>
          <w:szCs w:val="20"/>
        </w:rPr>
        <w:t xml:space="preserve"> aos presentes embargos, com fundamento na jurisprudência consolidada do C. Superior Tribunal de Justiça acerca dos embargos de declaração com força modificativa, para que, supridas as omissões, seja </w:t>
      </w:r>
      <w:r>
        <w:rPr>
          <w:rFonts w:ascii="Gadugi" w:hAnsi="Gadugi" w:eastAsia="Gadugi" w:cs="Gadugi"/>
          <w:b/>
          <w:bCs/>
          <w:sz w:val="20"/>
          <w:szCs w:val="20"/>
        </w:rPr>
        <w:t xml:space="preserve">REFORMADO</w:t>
      </w:r>
      <w:r>
        <w:rPr>
          <w:rFonts w:ascii="Gadugi" w:hAnsi="Gadugi" w:eastAsia="Gadugi" w:cs="Gadugi"/>
          <w:sz w:val="20"/>
          <w:szCs w:val="20"/>
        </w:rPr>
        <w:t xml:space="preserve"> o v. acórdão a fim de: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3E4513EF">
      <w:pPr>
        <w:pBdr/>
        <w:spacing w:after="160" w:before="240" w:line="276" w:lineRule="auto"/>
        <w:ind w:right="0" w:firstLine="0" w:left="2268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(i) </w:t>
      </w:r>
      <w:r>
        <w:rPr>
          <w:rFonts w:ascii="Gadugi" w:hAnsi="Gadugi" w:eastAsia="Gadugi" w:cs="Gadugi"/>
          <w:b/>
          <w:bCs/>
          <w:sz w:val="20"/>
          <w:szCs w:val="20"/>
        </w:rPr>
        <w:t xml:space="preserve">DECLARAR</w:t>
      </w:r>
      <w:r>
        <w:rPr>
          <w:rFonts w:ascii="Gadugi" w:hAnsi="Gadugi" w:eastAsia="Gadugi" w:cs="Gadugi"/>
          <w:sz w:val="20"/>
          <w:szCs w:val="20"/>
        </w:rPr>
        <w:t xml:space="preserve"> que os lucros cessantes acumulados a partir do 61º dia sub</w:t>
      </w:r>
      <w:r>
        <w:rPr>
          <w:rFonts w:ascii="Gadugi" w:hAnsi="Gadugi" w:eastAsia="Gadugi" w:cs="Gadugi"/>
          <w:sz w:val="20"/>
          <w:szCs w:val="20"/>
        </w:rPr>
        <w:t xml:space="preserve">sequente à sentença de mérito (Ev. 78 dos autos de origem) constituem dano da mora da HDI Seguros S.A., não sujeito ao Limite Máximo de Indenização da apólice e de responsabilidade exclusiva e primária da seguradora, nos termos do art. 781 do Código Civil;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6A61434A">
      <w:pPr>
        <w:pBdr/>
        <w:spacing w:after="160" w:before="240" w:line="276" w:lineRule="auto"/>
        <w:ind w:right="0" w:firstLine="0" w:left="2268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(</w:t>
      </w:r>
      <w:r>
        <w:rPr>
          <w:rFonts w:ascii="Gadugi" w:hAnsi="Gadugi" w:eastAsia="Gadugi" w:cs="Gadugi"/>
          <w:sz w:val="20"/>
          <w:szCs w:val="20"/>
        </w:rPr>
        <w:t xml:space="preserve">ii</w:t>
      </w:r>
      <w:r>
        <w:rPr>
          <w:rFonts w:ascii="Gadugi" w:hAnsi="Gadugi" w:eastAsia="Gadugi" w:cs="Gadugi"/>
          <w:sz w:val="20"/>
          <w:szCs w:val="20"/>
        </w:rPr>
        <w:t xml:space="preserve">)</w:t>
      </w:r>
      <w:r>
        <w:rPr>
          <w:rFonts w:ascii="Gadugi" w:hAnsi="Gadugi" w:eastAsia="Gadugi" w:cs="Gadugi"/>
          <w:b/>
          <w:bCs/>
          <w:sz w:val="20"/>
          <w:szCs w:val="20"/>
        </w:rPr>
        <w:t xml:space="preserve"> FIXAR</w:t>
      </w:r>
      <w:r>
        <w:rPr>
          <w:rFonts w:ascii="Gadugi" w:hAnsi="Gadugi" w:eastAsia="Gadugi" w:cs="Gadugi"/>
          <w:sz w:val="20"/>
          <w:szCs w:val="20"/>
        </w:rPr>
        <w:t xml:space="preserve"> astreintes em desfavor da HDI Seguros S.A., no valor de R$ 3.000,00 (três mil reais) por dia de descumprimento da obrigação de fazer (conserto integral do veículo do Exequente), nos termos do art. 537 do CPC;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66105264">
      <w:pPr>
        <w:pBdr/>
        <w:spacing w:after="160" w:before="240" w:line="276" w:lineRule="auto"/>
        <w:ind w:right="0" w:firstLine="0" w:left="2268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(</w:t>
      </w:r>
      <w:r>
        <w:rPr>
          <w:rFonts w:ascii="Gadugi" w:hAnsi="Gadugi" w:eastAsia="Gadugi" w:cs="Gadugi"/>
          <w:sz w:val="20"/>
          <w:szCs w:val="20"/>
        </w:rPr>
        <w:t xml:space="preserve">iii</w:t>
      </w:r>
      <w:r>
        <w:rPr>
          <w:rFonts w:ascii="Gadugi" w:hAnsi="Gadugi" w:eastAsia="Gadugi" w:cs="Gadugi"/>
          <w:sz w:val="20"/>
          <w:szCs w:val="20"/>
        </w:rPr>
        <w:t xml:space="preserve">) </w:t>
      </w:r>
      <w:r>
        <w:rPr>
          <w:rFonts w:ascii="Gadugi" w:hAnsi="Gadugi" w:eastAsia="Gadugi" w:cs="Gadugi"/>
          <w:b/>
          <w:bCs/>
          <w:sz w:val="20"/>
          <w:szCs w:val="20"/>
        </w:rPr>
        <w:t xml:space="preserve">DETERMINAR</w:t>
      </w:r>
      <w:r>
        <w:rPr>
          <w:rFonts w:ascii="Gadugi" w:hAnsi="Gadugi" w:eastAsia="Gadugi" w:cs="Gadugi"/>
          <w:sz w:val="20"/>
          <w:szCs w:val="20"/>
        </w:rPr>
        <w:t xml:space="preserve"> o redirecionamento prioritário da execução à HDI Seg</w:t>
      </w:r>
      <w:r>
        <w:rPr>
          <w:rFonts w:ascii="Gadugi" w:hAnsi="Gadugi" w:eastAsia="Gadugi" w:cs="Gadugi"/>
          <w:sz w:val="20"/>
          <w:szCs w:val="20"/>
        </w:rPr>
        <w:t xml:space="preserve">uros S.A. — incluindo a penhora online via SISBAJUD —, com base no art. 805 do CPC, esgotando-se primeiramente a responsabilidade da seguradora pelos valores securitários e pelos danos da mora antes de qualquer ato expropriatório em desfavor da Embargante;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5C297AA0">
      <w:pPr>
        <w:pBdr/>
        <w:spacing w:after="160" w:before="240" w:line="276" w:lineRule="auto"/>
        <w:ind w:right="0" w:firstLine="0" w:left="2268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(</w:t>
      </w:r>
      <w:r>
        <w:rPr>
          <w:rFonts w:ascii="Gadugi" w:hAnsi="Gadugi" w:eastAsia="Gadugi" w:cs="Gadugi"/>
          <w:sz w:val="20"/>
          <w:szCs w:val="20"/>
        </w:rPr>
        <w:t xml:space="preserve">iv</w:t>
      </w:r>
      <w:r>
        <w:rPr>
          <w:rFonts w:ascii="Gadugi" w:hAnsi="Gadugi" w:eastAsia="Gadugi" w:cs="Gadugi"/>
          <w:sz w:val="20"/>
          <w:szCs w:val="20"/>
        </w:rPr>
        <w:t xml:space="preserve">)</w:t>
      </w:r>
      <w:r>
        <w:rPr>
          <w:rFonts w:ascii="Gadugi" w:hAnsi="Gadugi" w:eastAsia="Gadugi" w:cs="Gadugi"/>
          <w:b/>
          <w:bCs/>
          <w:sz w:val="20"/>
          <w:szCs w:val="20"/>
        </w:rPr>
        <w:t xml:space="preserve"> SUSPENDER </w:t>
      </w:r>
      <w:r>
        <w:rPr>
          <w:rFonts w:ascii="Gadugi" w:hAnsi="Gadugi" w:eastAsia="Gadugi" w:cs="Gadugi"/>
          <w:sz w:val="20"/>
          <w:szCs w:val="20"/>
        </w:rPr>
        <w:t xml:space="preserve">os atos executivos em desfavor da Embargante até o cumprimento da obrigação de fazer e o esgotamento integral da responsabilidade da HDI;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2DADEC2F">
      <w:pPr>
        <w:pBdr/>
        <w:spacing w:after="160" w:before="240" w:line="276" w:lineRule="auto"/>
        <w:ind w:right="0" w:firstLine="0" w:left="2268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w:t xml:space="preserve">c) caso assim não se entenda, e ainda que para sanar apenas as omissões formais sem efeito infringente, seja o v. acórdão i</w:t>
      </w:r>
      <w:r>
        <w:rPr>
          <w:rFonts w:ascii="Gadugi" w:hAnsi="Gadugi" w:eastAsia="Gadugi" w:cs="Gadugi"/>
          <w:sz w:val="20"/>
          <w:szCs w:val="20"/>
        </w:rPr>
        <w:t xml:space="preserve">ntegrado para que conste expressa fundamentação sobre cada uma das teses e pedidos acima individualizados, viabilizando o prequestionamento expresso para fins de eventual interposição dos recursos extraordinário e especial, nos termos do art. 1.025 do CPC.</w:t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6379F625">
      <w:pPr>
        <w:pBdr/>
        <w:spacing w:before="240" w:line="276" w:lineRule="auto"/>
        <w:ind w:right="0" w:firstLine="0" w:left="2268"/>
        <w:jc w:val="both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cs="Gadugi"/>
          <w:sz w:val="20"/>
          <w:szCs w:val="20"/>
        </w:rPr>
      </w:r>
    </w:p>
    <w:p w14:paraId="6D52804D" w14:textId="77777777">
      <w:pPr>
        <w:pBdr/>
        <w:tabs>
          <w:tab w:val="left" w:leader="none" w:pos="142"/>
        </w:tabs>
        <w:spacing w:before="240" w:line="360" w:lineRule="auto"/>
        <w:ind w:right="0" w:firstLine="1134" w:left="567"/>
        <w:jc w:val="both"/>
        <w:rPr>
          <w:rFonts w:ascii="Gadugi" w:hAnsi="Gadugi" w:cs="Gadugi"/>
          <w:bCs/>
          <w:sz w:val="20"/>
          <w:szCs w:val="20"/>
        </w:rPr>
      </w:pPr>
      <w:r>
        <w:rPr>
          <w:rFonts w:ascii="Gadugi" w:hAnsi="Gadugi" w:eastAsia="Gadugi" w:cs="Gadugi"/>
          <w:bCs/>
          <w:sz w:val="20"/>
          <w:szCs w:val="20"/>
          <w:lang w:eastAsia="zh-CN" w:bidi="hi-IN"/>
        </w:rPr>
        <w:t xml:space="preserve">Nestes termos, pede deferimento.</w:t>
      </w:r>
      <w:r>
        <w:rPr>
          <w:rFonts w:ascii="Gadugi" w:hAnsi="Gadugi" w:eastAsia="Gadugi" w:cs="Gadugi"/>
          <w:bCs/>
          <w:sz w:val="20"/>
          <w:szCs w:val="20"/>
          <w:lang w:eastAsia="zh-CN" w:bidi="hi-IN"/>
        </w:rPr>
      </w:r>
      <w:r>
        <w:rPr>
          <w:rFonts w:ascii="Gadugi" w:hAnsi="Gadugi" w:cs="Gadugi"/>
          <w:bCs/>
          <w:sz w:val="20"/>
          <w:szCs w:val="20"/>
        </w:rPr>
      </w:r>
    </w:p>
    <w:p w14:paraId="10EFAA29" w14:textId="09CC47D7">
      <w:pPr>
        <w:pBdr/>
        <w:tabs>
          <w:tab w:val="left" w:leader="none" w:pos="142"/>
        </w:tabs>
        <w:spacing w:before="240" w:line="360" w:lineRule="auto"/>
        <w:ind w:right="0" w:firstLine="1134" w:left="567"/>
        <w:jc w:val="both"/>
        <w:rPr>
          <w:rFonts w:ascii="Gadugi" w:hAnsi="Gadugi" w:cs="Gadugi"/>
          <w:bCs/>
          <w:sz w:val="20"/>
          <w:szCs w:val="20"/>
        </w:rPr>
      </w:pPr>
      <w:r>
        <w:rPr>
          <w:rFonts w:ascii="Gadugi" w:hAnsi="Gadugi" w:eastAsia="Gadugi" w:cs="Gadugi"/>
          <w:bCs/>
          <w:sz w:val="20"/>
          <w:szCs w:val="20"/>
          <w:lang w:eastAsia="zh-CN" w:bidi="hi-IN"/>
        </w:rPr>
        <w:t xml:space="preserve">Blumenau, </w:t>
      </w:r>
      <w:r>
        <w:rPr>
          <w:rFonts w:ascii="Gadugi" w:hAnsi="Gadugi" w:eastAsia="Gadugi" w:cs="Gadugi"/>
          <w:bCs/>
          <w:sz w:val="20"/>
          <w:szCs w:val="20"/>
          <w:lang w:val="pt-BR"/>
        </w:rPr>
        <w:t xml:space="preserve">28</w:t>
      </w:r>
      <w:r>
        <w:rPr>
          <w:rFonts w:ascii="Gadugi" w:hAnsi="Gadugi" w:eastAsia="Gadugi" w:cs="Gadugi"/>
          <w:bCs/>
          <w:sz w:val="20"/>
          <w:szCs w:val="20"/>
          <w:lang w:eastAsia="zh-CN" w:bidi="hi-IN"/>
        </w:rPr>
        <w:t xml:space="preserve"> de </w:t>
      </w:r>
      <w:r>
        <w:rPr>
          <w:rFonts w:ascii="Gadugi" w:hAnsi="Gadugi" w:eastAsia="Gadugi" w:cs="Gadugi"/>
          <w:bCs/>
          <w:sz w:val="20"/>
          <w:szCs w:val="20"/>
          <w:lang w:val="pt-BR"/>
        </w:rPr>
        <w:t xml:space="preserve">abril</w:t>
      </w:r>
      <w:r>
        <w:rPr>
          <w:rFonts w:ascii="Gadugi" w:hAnsi="Gadugi" w:eastAsia="Gadugi" w:cs="Gadugi"/>
          <w:bCs/>
          <w:sz w:val="20"/>
          <w:szCs w:val="20"/>
          <w:lang w:eastAsia="zh-CN" w:bidi="hi-IN"/>
        </w:rPr>
        <w:t xml:space="preserve"> </w:t>
      </w:r>
      <w:r>
        <w:rPr>
          <w:rFonts w:ascii="Gadugi" w:hAnsi="Gadugi" w:eastAsia="Gadugi" w:cs="Gadugi"/>
          <w:bCs/>
          <w:sz w:val="20"/>
          <w:szCs w:val="20"/>
          <w:lang w:eastAsia="zh-CN" w:bidi="hi-IN"/>
        </w:rPr>
        <w:t xml:space="preserve">de 202</w:t>
      </w:r>
      <w:r>
        <w:rPr>
          <w:rFonts w:ascii="Gadugi" w:hAnsi="Gadugi" w:eastAsia="Gadugi" w:cs="Gadugi"/>
          <w:bCs/>
          <w:sz w:val="20"/>
          <w:szCs w:val="20"/>
          <w:lang w:val="pt-BR"/>
        </w:rPr>
        <w:t xml:space="preserve">6</w:t>
      </w:r>
      <w:r>
        <w:rPr>
          <w:rFonts w:ascii="Gadugi" w:hAnsi="Gadugi" w:eastAsia="Gadugi" w:cs="Gadugi"/>
          <w:bCs/>
          <w:sz w:val="20"/>
          <w:szCs w:val="20"/>
          <w:lang w:eastAsia="zh-CN" w:bidi="hi-IN"/>
        </w:rPr>
        <w:t xml:space="preserve">.</w:t>
      </w:r>
      <w:r>
        <w:rPr>
          <w:rFonts w:ascii="Gadugi" w:hAnsi="Gadugi" w:eastAsia="Gadugi" w:cs="Gadugi"/>
          <w:bCs/>
          <w:sz w:val="20"/>
          <w:szCs w:val="20"/>
          <w:lang w:eastAsia="zh-CN" w:bidi="hi-IN"/>
        </w:rPr>
      </w:r>
      <w:r>
        <w:rPr>
          <w:rFonts w:ascii="Gadugi" w:hAnsi="Gadugi" w:cs="Gadugi"/>
          <w:bCs/>
          <w:sz w:val="20"/>
          <w:szCs w:val="20"/>
        </w:rPr>
      </w:r>
    </w:p>
    <w:p w14:paraId="5E431A86" w14:textId="77777777">
      <w:pPr>
        <w:pBdr/>
        <w:tabs>
          <w:tab w:val="left" w:leader="none" w:pos="142"/>
        </w:tabs>
        <w:spacing w:before="240" w:line="360" w:lineRule="auto"/>
        <w:ind w:right="0" w:firstLine="1134" w:left="567"/>
        <w:jc w:val="both"/>
        <w:rPr>
          <w:rFonts w:ascii="Gadugi" w:hAnsi="Gadugi" w:cs="Gadugi"/>
          <w:bCs/>
          <w:sz w:val="20"/>
          <w:szCs w:val="20"/>
        </w:rPr>
      </w:pPr>
      <w:r>
        <w:rPr>
          <w:rFonts w:ascii="Gadugi" w:hAnsi="Gadugi" w:eastAsia="Gadugi" w:cs="Gadugi"/>
          <w:bCs/>
          <w:sz w:val="20"/>
          <w:szCs w:val="20"/>
          <w:lang w:eastAsia="zh-CN" w:bidi="hi-IN"/>
        </w:rPr>
      </w:r>
      <w:r>
        <w:rPr>
          <w:rFonts w:ascii="Gadugi" w:hAnsi="Gadugi" w:eastAsia="Gadugi" w:cs="Gadugi"/>
          <w:bCs/>
          <w:sz w:val="20"/>
          <w:szCs w:val="20"/>
          <w:lang w:eastAsia="zh-CN" w:bidi="hi-IN"/>
        </w:rPr>
      </w:r>
      <w:r>
        <w:rPr>
          <w:rFonts w:ascii="Gadugi" w:hAnsi="Gadugi" w:cs="Gadugi"/>
          <w:bCs/>
          <w:sz w:val="20"/>
          <w:szCs w:val="20"/>
        </w:rPr>
      </w:r>
    </w:p>
    <w:p w14:paraId="4D9CF0DB" w14:textId="77777777">
      <w:pPr>
        <w:pBdr/>
        <w:tabs>
          <w:tab w:val="left" w:leader="none" w:pos="142"/>
        </w:tabs>
        <w:spacing w:before="240" w:line="360" w:lineRule="auto"/>
        <w:ind w:right="0" w:firstLine="1134" w:left="567"/>
        <w:jc w:val="both"/>
        <w:rPr>
          <w:rFonts w:ascii="Gadugi" w:hAnsi="Gadugi" w:cs="Gadugi"/>
          <w:bCs/>
          <w:sz w:val="20"/>
          <w:szCs w:val="20"/>
        </w:rPr>
      </w:pPr>
      <w:r>
        <w:rPr>
          <w:rFonts w:ascii="Gadugi" w:hAnsi="Gadugi" w:eastAsia="Gadugi" w:cs="Gadugi"/>
          <w:bCs/>
          <w:sz w:val="20"/>
          <w:szCs w:val="20"/>
          <w:lang w:eastAsia="zh-CN" w:bidi="hi-IN"/>
        </w:rPr>
      </w:r>
      <w:r>
        <w:rPr>
          <w:rFonts w:ascii="Gadugi" w:hAnsi="Gadugi" w:eastAsia="Gadugi" w:cs="Gadugi"/>
          <w:bCs/>
          <w:sz w:val="20"/>
          <w:szCs w:val="20"/>
          <w:lang w:eastAsia="zh-CN" w:bidi="hi-IN"/>
        </w:rPr>
      </w:r>
      <w:r>
        <w:rPr>
          <w:rFonts w:ascii="Gadugi" w:hAnsi="Gadugi" w:cs="Gadugi"/>
          <w:bCs/>
          <w:sz w:val="20"/>
          <w:szCs w:val="20"/>
        </w:rPr>
      </w:r>
    </w:p>
    <w:p w14:paraId="2BF2574F" w14:textId="708F1669">
      <w:pPr>
        <w:pBdr/>
        <w:tabs>
          <w:tab w:val="left" w:leader="none" w:pos="142"/>
        </w:tabs>
        <w:spacing w:before="240" w:line="360" w:lineRule="auto"/>
        <w:ind w:right="0" w:firstLine="1134" w:left="567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62100" cy="819150"/>
                <wp:effectExtent l="0" t="0" r="0" b="0"/>
                <wp:docPr id="15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1562100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123.00pt;height:64.50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Gadugi" w:hAnsi="Gadugi" w:eastAsia="Gadugi" w:cs="Gadugi"/>
        </w:rPr>
        <w:tab/>
      </w:r>
      <w:r>
        <w:rPr>
          <w:rFonts w:ascii="Gadugi" w:hAnsi="Gadugi" w:eastAsia="Gadugi" w:cs="Gadugi"/>
        </w:rPr>
        <w:tab/>
      </w:r>
      <w:r>
        <w:rPr>
          <w:rFonts w:ascii="Gadugi" w:hAnsi="Gadugi" w:eastAsia="Gadugi" w:cs="Gadugi"/>
        </w:rPr>
        <w:tab/>
      </w:r>
      <w:r>
        <w:rPr>
          <w:rFonts w:ascii="Gadugi" w:hAnsi="Gadugi" w:eastAsia="Gadugi" w:cs="Gadugi"/>
          <w:sz w:val="20"/>
          <w:szCs w:val="20"/>
          <w:lang w:eastAsia="zh-CN" w:bidi="hi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90675" cy="638175"/>
                <wp:effectExtent l="0" t="0" r="9525" b="9525"/>
                <wp:docPr id="16" name="Imagem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159067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125.25pt;height:50.25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Gadugi" w:hAnsi="Gadugi" w:eastAsia="Gadugi" w:cs="Gadugi"/>
          <w:sz w:val="20"/>
          <w:szCs w:val="20"/>
          <w:lang w:eastAsia="zh-CN" w:bidi="hi-IN"/>
        </w:rPr>
      </w:r>
      <w:r>
        <w:rPr>
          <w:rFonts w:ascii="Gadugi" w:hAnsi="Gadugi" w:cs="Gadugi"/>
          <w:sz w:val="20"/>
          <w:szCs w:val="20"/>
        </w:rPr>
      </w:r>
    </w:p>
    <w:p w14:paraId="0B0C2B53" w14:textId="77777777">
      <w:pPr>
        <w:pBdr/>
        <w:spacing w:before="240" w:line="360" w:lineRule="auto"/>
        <w:ind w:right="0" w:firstLine="1134" w:left="567"/>
        <w:rPr>
          <w:rFonts w:ascii="Gadugi" w:hAnsi="Gadugi" w:cs="Gadugi"/>
          <w:b/>
          <w:sz w:val="20"/>
          <w:szCs w:val="20"/>
        </w:rPr>
      </w:pPr>
      <w:r>
        <w:rPr>
          <w:rFonts w:ascii="Gadugi" w:hAnsi="Gadugi" w:eastAsia="Gadugi" w:cs="Gadugi"/>
          <w:b/>
          <w:sz w:val="20"/>
          <w:szCs w:val="20"/>
          <w:lang w:eastAsia="zh-CN" w:bidi="hi-IN"/>
        </w:rPr>
        <w:t xml:space="preserve">RODRIGO GONÇALVES </w:t>
      </w:r>
      <w:r>
        <w:rPr>
          <w:rFonts w:ascii="Gadugi" w:hAnsi="Gadugi" w:eastAsia="Gadugi" w:cs="Gadugi"/>
          <w:b/>
          <w:sz w:val="20"/>
          <w:szCs w:val="20"/>
          <w:lang w:eastAsia="zh-CN" w:bidi="hi-IN"/>
        </w:rPr>
        <w:tab/>
      </w:r>
      <w:r>
        <w:rPr>
          <w:rFonts w:ascii="Gadugi" w:hAnsi="Gadugi" w:eastAsia="Gadugi" w:cs="Gadugi"/>
          <w:b/>
          <w:sz w:val="20"/>
          <w:szCs w:val="20"/>
          <w:lang w:eastAsia="zh-CN" w:bidi="hi-IN"/>
        </w:rPr>
        <w:tab/>
      </w:r>
      <w:r>
        <w:rPr>
          <w:rFonts w:ascii="Gadugi" w:hAnsi="Gadugi" w:eastAsia="Gadugi" w:cs="Gadugi"/>
          <w:b/>
          <w:sz w:val="20"/>
          <w:szCs w:val="20"/>
          <w:lang w:eastAsia="zh-CN" w:bidi="hi-IN"/>
        </w:rPr>
        <w:tab/>
        <w:t xml:space="preserve">SANDRA CRISTINA OTTO</w:t>
      </w:r>
      <w:r>
        <w:rPr>
          <w:rFonts w:ascii="Gadugi" w:hAnsi="Gadugi" w:eastAsia="Gadugi" w:cs="Gadugi"/>
          <w:b/>
          <w:sz w:val="20"/>
          <w:szCs w:val="20"/>
          <w:lang w:eastAsia="zh-CN" w:bidi="hi-IN"/>
        </w:rPr>
      </w:r>
      <w:r>
        <w:rPr>
          <w:rFonts w:ascii="Gadugi" w:hAnsi="Gadugi" w:cs="Gadugi"/>
          <w:b/>
          <w:sz w:val="20"/>
          <w:szCs w:val="20"/>
        </w:rPr>
      </w:r>
    </w:p>
    <w:p w14:paraId="7439C397" w14:textId="6718BE63">
      <w:pPr>
        <w:pBdr/>
        <w:spacing w:before="240" w:line="360" w:lineRule="auto"/>
        <w:ind w:right="0" w:firstLine="1134" w:left="567"/>
        <w:rPr>
          <w:rFonts w:ascii="Gadugi" w:hAnsi="Gadugi" w:cs="Gadugi"/>
          <w:b/>
          <w:sz w:val="20"/>
          <w:szCs w:val="20"/>
        </w:rPr>
      </w:pPr>
      <w:r>
        <w:rPr>
          <w:rFonts w:ascii="Gadugi" w:hAnsi="Gadugi" w:eastAsia="Gadugi" w:cs="Gadugi"/>
          <w:b/>
          <w:sz w:val="20"/>
          <w:szCs w:val="20"/>
          <w:lang w:eastAsia="zh-CN" w:bidi="hi-IN"/>
        </w:rPr>
        <w:t xml:space="preserve">OAB/SC 29322</w:t>
      </w:r>
      <w:r>
        <w:rPr>
          <w:rFonts w:ascii="Gadugi" w:hAnsi="Gadugi" w:eastAsia="Gadugi" w:cs="Gadugi"/>
          <w:b/>
          <w:sz w:val="20"/>
          <w:szCs w:val="20"/>
          <w:lang w:eastAsia="zh-CN" w:bidi="hi-IN"/>
        </w:rPr>
        <w:tab/>
      </w:r>
      <w:r>
        <w:rPr>
          <w:rFonts w:ascii="Gadugi" w:hAnsi="Gadugi" w:eastAsia="Gadugi" w:cs="Gadugi"/>
          <w:b/>
          <w:sz w:val="20"/>
          <w:szCs w:val="20"/>
          <w:lang w:eastAsia="zh-CN" w:bidi="hi-IN"/>
        </w:rPr>
        <w:tab/>
      </w:r>
      <w:r>
        <w:rPr>
          <w:rFonts w:ascii="Gadugi" w:hAnsi="Gadugi" w:eastAsia="Gadugi" w:cs="Gadugi"/>
          <w:b/>
          <w:sz w:val="20"/>
          <w:szCs w:val="20"/>
          <w:lang w:eastAsia="zh-CN" w:bidi="hi-IN"/>
        </w:rPr>
        <w:tab/>
      </w:r>
      <w:r>
        <w:rPr>
          <w:rFonts w:ascii="Gadugi" w:hAnsi="Gadugi" w:eastAsia="Gadugi" w:cs="Gadugi"/>
          <w:b/>
          <w:sz w:val="20"/>
          <w:szCs w:val="20"/>
          <w:lang w:eastAsia="zh-CN" w:bidi="hi-IN"/>
        </w:rPr>
        <w:tab/>
        <w:t xml:space="preserve">OAB/SC 61984</w:t>
      </w:r>
      <w:r>
        <w:rPr>
          <w:rFonts w:ascii="Gadugi" w:hAnsi="Gadugi" w:eastAsia="Gadugi" w:cs="Gadugi"/>
          <w:b/>
          <w:sz w:val="20"/>
          <w:szCs w:val="20"/>
          <w:lang w:eastAsia="zh-CN" w:bidi="hi-IN"/>
        </w:rPr>
      </w:r>
      <w:r>
        <w:rPr>
          <w:rFonts w:ascii="Gadugi" w:hAnsi="Gadugi" w:cs="Gadugi"/>
          <w:b/>
          <w:sz w:val="20"/>
          <w:szCs w:val="20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50" w:orient="portrait" w:w="11910"/>
      <w:pgMar w:top="1276" w:right="1420" w:bottom="993" w:left="567" w:header="720" w:footer="364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0C619A0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217BA20F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Symbol">
    <w:panose1 w:val="05050102010706020507"/>
  </w:font>
  <w:font w:name="Times New Roman">
    <w:panose1 w:val="02020603050405020304"/>
  </w:font>
  <w:font w:name="Wingdings">
    <w:panose1 w:val="05000000000000000000"/>
  </w:font>
  <w:font w:name="Lucida Sans">
    <w:panose1 w:val="020B0602030504020204"/>
  </w:font>
  <w:font w:name="Gadugi">
    <w:panose1 w:val="020B0502040204020203"/>
  </w:font>
  <w:font w:name="Courier New">
    <w:panose1 w:val="02070309020205020404"/>
  </w:font>
  <w:font w:name="Trebuchet MS">
    <w:panose1 w:val="020B0603020202020204"/>
  </w:font>
  <w:font w:name="Gill Sans MT">
    <w:panose1 w:val="020B06030201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775DB50" w14:textId="2633F1A0">
    <w:pPr>
      <w:pStyle w:val="1193"/>
      <w:pBdr>
        <w:bottom w:val="single" w:color="000000" w:sz="4" w:space="1"/>
      </w:pBdr>
      <w:tabs>
        <w:tab w:val="center" w:leader="none" w:pos="3686"/>
        <w:tab w:val="left" w:leader="none" w:pos="4111"/>
        <w:tab w:val="clear" w:leader="none" w:pos="4252"/>
      </w:tabs>
      <w:spacing/>
      <w:ind w:firstLine="993"/>
      <w:jc w:val="center"/>
      <w:rPr>
        <w:rFonts w:ascii="Tahoma" w:hAnsi="Tahoma" w:cs="Tahoma"/>
        <w:b/>
        <w:bCs/>
        <w:sz w:val="16"/>
        <w:szCs w:val="16"/>
      </w:rPr>
    </w:pPr>
    <w:r>
      <w:rPr>
        <w:rFonts w:ascii="Tahoma" w:hAnsi="Tahoma" w:cs="Tahoma"/>
        <w:b/>
        <w:bCs/>
        <w:sz w:val="16"/>
        <w:szCs w:val="16"/>
      </w:rPr>
    </w:r>
    <w:r>
      <w:rPr>
        <w:rFonts w:ascii="Tahoma" w:hAnsi="Tahoma" w:cs="Tahoma"/>
        <w:b/>
        <w:bCs/>
        <w:sz w:val="16"/>
        <w:szCs w:val="16"/>
      </w:rPr>
    </w:r>
    <w:r>
      <w:rPr>
        <w:rFonts w:ascii="Tahoma" w:hAnsi="Tahoma" w:cs="Tahoma"/>
        <w:b/>
        <w:bCs/>
        <w:sz w:val="16"/>
        <w:szCs w:val="16"/>
      </w:rPr>
    </w:r>
  </w:p>
  <w:p w14:paraId="7F0D115D" w14:textId="77777777">
    <w:pPr>
      <w:pStyle w:val="1193"/>
      <w:pBdr/>
      <w:tabs>
        <w:tab w:val="center" w:leader="none" w:pos="3686"/>
        <w:tab w:val="left" w:leader="none" w:pos="4111"/>
        <w:tab w:val="clear" w:leader="none" w:pos="4252"/>
      </w:tabs>
      <w:spacing/>
      <w:ind w:right="1587" w:firstLine="993"/>
      <w:jc w:val="center"/>
      <w:rPr>
        <w:rFonts w:ascii="Tahoma" w:hAnsi="Tahoma" w:cs="Tahoma"/>
        <w:b/>
        <w:bCs/>
        <w:sz w:val="16"/>
        <w:szCs w:val="16"/>
      </w:rPr>
    </w:pPr>
    <w:r>
      <w:rPr>
        <w:rFonts w:ascii="Tahoma" w:hAnsi="Tahoma" w:cs="Tahoma"/>
        <w:b/>
        <w:bCs/>
        <w:sz w:val="16"/>
        <w:szCs w:val="16"/>
      </w:rPr>
    </w:r>
    <w:r>
      <w:rPr>
        <w:rFonts w:ascii="Tahoma" w:hAnsi="Tahoma" w:cs="Tahoma"/>
        <w:b/>
        <w:bCs/>
        <w:sz w:val="16"/>
        <w:szCs w:val="16"/>
      </w:rPr>
    </w:r>
    <w:r>
      <w:rPr>
        <w:rFonts w:ascii="Tahoma" w:hAnsi="Tahoma" w:cs="Tahoma"/>
        <w:b/>
        <w:bCs/>
        <w:sz w:val="16"/>
        <w:szCs w:val="16"/>
      </w:rPr>
    </w:r>
  </w:p>
  <w:p w14:paraId="3767C688" w14:textId="3F0C719C">
    <w:pPr>
      <w:pStyle w:val="1193"/>
      <w:pBdr/>
      <w:tabs>
        <w:tab w:val="center" w:leader="none" w:pos="3686"/>
        <w:tab w:val="left" w:leader="none" w:pos="4111"/>
        <w:tab w:val="clear" w:leader="none" w:pos="4252"/>
        <w:tab w:val="right" w:leader="none" w:pos="8222"/>
        <w:tab w:val="clear" w:leader="none" w:pos="8504"/>
      </w:tabs>
      <w:spacing/>
      <w:ind w:right="1587" w:firstLine="993"/>
      <w:jc w:val="center"/>
      <w:rPr>
        <w:rFonts w:ascii="Tahoma" w:hAnsi="Tahoma" w:cs="Tahoma"/>
        <w:b/>
        <w:bCs/>
        <w:sz w:val="16"/>
        <w:szCs w:val="16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<wp:simplePos x="0" y="0"/>
              <wp:positionH relativeFrom="column">
                <wp:posOffset>-379095</wp:posOffset>
              </wp:positionH>
              <wp:positionV relativeFrom="paragraph">
                <wp:posOffset>408618</wp:posOffset>
              </wp:positionV>
              <wp:extent cx="7610475" cy="571500"/>
              <wp:effectExtent l="0" t="0" r="9525" b="0"/>
              <wp:wrapNone/>
              <wp:docPr id="8" name="Seta: Pentágon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10800000">
                        <a:off x="0" y="0"/>
                        <a:ext cx="7610475" cy="571500"/>
                      </a:xfrm>
                      <a:prstGeom prst="homePlate">
                        <a:avLst>
                          <a:gd name="adj" fmla="val 50000"/>
                        </a:avLst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15" type="#_x0000_t15" style="position:absolute;z-index:251663360;o:allowoverlap:true;o:allowincell:true;mso-position-horizontal-relative:text;margin-left:-29.85pt;mso-position-horizontal:absolute;mso-position-vertical-relative:text;margin-top:32.17pt;mso-position-vertical:absolute;width:599.25pt;height:45.00pt;mso-wrap-distance-left:9.00pt;mso-wrap-distance-top:0.00pt;mso-wrap-distance-right:9.00pt;mso-wrap-distance-bottom:0.00pt;rotation:180;visibility:visible;" fillcolor="#933634" stroked="f" strokeweight="2.00pt">
              <v:stroke dashstyle="solid"/>
            </v:shape>
          </w:pict>
        </mc:Fallback>
      </mc:AlternateContent>
    </w:r>
    <w:r>
      <w:rPr>
        <w:rFonts w:ascii="Tahoma" w:hAnsi="Tahoma" w:cs="Tahoma"/>
        <w:b/>
        <w:bCs/>
        <w:sz w:val="16"/>
        <w:szCs w:val="16"/>
      </w:rPr>
      <mc:AlternateContent>
        <mc:Choice Requires="wpg">
          <w:drawing>
            <wp:inline xmlns:wp="http://schemas.openxmlformats.org/drawingml/2006/wordprocessingDrawing" distT="0" distB="0" distL="0" distR="0">
              <wp:extent cx="325755" cy="294707"/>
              <wp:effectExtent l="0" t="0" r="0" b="0"/>
              <wp:docPr id="9" name="Imagem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24046410" name="Imagem 1824046410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flipH="1">
                        <a:off x="0" y="0"/>
                        <a:ext cx="340391" cy="30794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8" o:spid="_x0000_s8" type="#_x0000_t75" style="width:25.65pt;height:23.21pt;mso-wrap-distance-left:0.00pt;mso-wrap-distance-top:0.00pt;mso-wrap-distance-right:0.00pt;mso-wrap-distance-bottom:0.00pt;flip:x;z-index:1;" stroked="false">
              <v:imagedata r:id="rId1" o:title=""/>
              <o:lock v:ext="edit" rotation="t"/>
            </v:shape>
          </w:pict>
        </mc:Fallback>
      </mc:AlternateContent>
    </w:r>
    <w:r>
      <w:rPr>
        <w:rFonts w:ascii="Tahoma" w:hAnsi="Tahoma" w:cs="Tahoma"/>
        <w:b/>
        <w:bCs/>
        <w:sz w:val="16"/>
        <w:szCs w:val="16"/>
      </w:rPr>
      <w:t xml:space="preserve">Contago@gcj.adv.br</w:t>
    </w:r>
    <w:r>
      <w:rPr>
        <w:rFonts w:ascii="Tahoma" w:hAnsi="Tahoma" w:cs="Tahoma"/>
        <w:b/>
        <w:bCs/>
        <w:sz w:val="16"/>
        <w:szCs w:val="16"/>
      </w:rPr>
      <mc:AlternateContent>
        <mc:Choice Requires="wpg">
          <w:drawing>
            <wp:inline xmlns:wp="http://schemas.openxmlformats.org/drawingml/2006/wordprocessingDrawing" distT="0" distB="0" distL="0" distR="0">
              <wp:extent cx="213995" cy="213995"/>
              <wp:effectExtent l="0" t="0" r="0" b="0"/>
              <wp:docPr id="10" name="Imagem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10713116" name="Imagem 1510713116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 flipV="1">
                        <a:off x="0" y="0"/>
                        <a:ext cx="213995" cy="2139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9" o:spid="_x0000_s9" type="#_x0000_t75" style="width:16.85pt;height:16.85pt;mso-wrap-distance-left:0.00pt;mso-wrap-distance-top:0.00pt;mso-wrap-distance-right:0.00pt;mso-wrap-distance-bottom:0.00pt;flip:y;z-index:1;" stroked="false">
              <v:imagedata r:id="rId2" o:title=""/>
              <o:lock v:ext="edit" rotation="t"/>
            </v:shape>
          </w:pict>
        </mc:Fallback>
      </mc:AlternateContent>
    </w:r>
    <w:r>
      <w:rPr>
        <w:rFonts w:ascii="Tahoma" w:hAnsi="Tahoma" w:cs="Tahoma"/>
        <w:b/>
        <w:bCs/>
        <w:sz w:val="16"/>
        <w:szCs w:val="16"/>
      </w:rPr>
      <w:t xml:space="preserve"> (47) 3041-6860</w:t>
    </w:r>
    <w:r>
      <w:rPr>
        <w:rFonts w:ascii="Tahoma" w:hAnsi="Tahoma" w:cs="Tahoma"/>
        <w:b/>
        <w:bCs/>
        <w:sz w:val="16"/>
        <w:szCs w:val="16"/>
      </w:rPr>
      <w:t xml:space="preserve">  </w:t>
    </w:r>
    <w:r>
      <w:rPr>
        <w:rFonts w:ascii="Tahoma" w:hAnsi="Tahoma" w:cs="Tahoma"/>
        <w:b/>
        <w:bCs/>
        <w:sz w:val="16"/>
        <w:szCs w:val="16"/>
      </w:rPr>
      <mc:AlternateContent>
        <mc:Choice Requires="wpg">
          <w:drawing>
            <wp:inline xmlns:wp="http://schemas.openxmlformats.org/drawingml/2006/wordprocessingDrawing" distT="0" distB="0" distL="0" distR="0">
              <wp:extent cx="257175" cy="256813"/>
              <wp:effectExtent l="0" t="0" r="0" b="0"/>
              <wp:docPr id="11" name="Imagem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16752326" name="Imagem 1316752326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 flipV="1">
                        <a:off x="0" y="0"/>
                        <a:ext cx="267401" cy="2670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" o:spid="_x0000_s10" type="#_x0000_t75" style="width:20.25pt;height:20.22pt;mso-wrap-distance-left:0.00pt;mso-wrap-distance-top:0.00pt;mso-wrap-distance-right:0.00pt;mso-wrap-distance-bottom:0.00pt;flip:y;z-index:1;" stroked="false">
              <v:imagedata r:id="rId3" o:title=""/>
              <o:lock v:ext="edit" rotation="t"/>
            </v:shape>
          </w:pict>
        </mc:Fallback>
      </mc:AlternateContent>
    </w:r>
    <w:r>
      <w:rPr>
        <w:rFonts w:ascii="Tahoma" w:hAnsi="Tahoma" w:cs="Tahoma"/>
        <w:b/>
        <w:bCs/>
        <w:sz w:val="16"/>
        <w:szCs w:val="16"/>
      </w:rPr>
      <w:t xml:space="preserve">(47) 3041-6860</w:t>
    </w:r>
    <w:r>
      <w:rPr>
        <w:rFonts w:ascii="Tahoma" w:hAnsi="Tahoma" w:cs="Tahoma"/>
        <w:b/>
        <w:bCs/>
        <w:sz w:val="16"/>
        <w:szCs w:val="16"/>
      </w:rPr>
    </w:r>
    <w:r>
      <w:rPr>
        <w:rFonts w:ascii="Tahoma" w:hAnsi="Tahoma" w:cs="Tahoma"/>
        <w:b/>
        <w:bCs/>
        <w:sz w:val="16"/>
        <w:szCs w:val="16"/>
      </w:rPr>
    </w:r>
  </w:p>
  <w:p w14:paraId="4FC0DA59" w14:textId="450CFBD2">
    <w:pPr>
      <w:pStyle w:val="1193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B57023" w14:textId="77777777">
    <w:pPr>
      <w:pStyle w:val="1193"/>
      <w:pBdr>
        <w:top w:val="single" w:color="000000" w:sz="4" w:space="1"/>
      </w:pBdr>
      <w:tabs>
        <w:tab w:val="center" w:leader="none" w:pos="3828"/>
        <w:tab w:val="clear" w:leader="none" w:pos="4252"/>
        <w:tab w:val="left" w:leader="none" w:pos="8647"/>
      </w:tabs>
      <w:spacing/>
      <w:ind w:right="27" w:firstLine="993"/>
      <w:jc w:val="center"/>
      <w:rPr>
        <w:rFonts w:ascii="Tahoma" w:hAnsi="Tahoma" w:cs="Tahoma"/>
        <w:b/>
        <w:bCs/>
        <w:sz w:val="16"/>
        <w:szCs w:val="16"/>
      </w:rPr>
    </w:pPr>
    <w:r>
      <w:rPr>
        <w:rFonts w:ascii="Tahoma" w:hAnsi="Tahoma" w:cs="Tahoma"/>
        <w:b/>
        <w:bCs/>
        <w:sz w:val="16"/>
        <w:szCs w:val="16"/>
      </w:rPr>
    </w:r>
    <w:r>
      <w:rPr>
        <w:rFonts w:ascii="Tahoma" w:hAnsi="Tahoma" w:cs="Tahoma"/>
        <w:b/>
        <w:bCs/>
        <w:sz w:val="16"/>
        <w:szCs w:val="16"/>
      </w:rPr>
    </w:r>
    <w:r>
      <w:rPr>
        <w:rFonts w:ascii="Tahoma" w:hAnsi="Tahoma" w:cs="Tahoma"/>
        <w:b/>
        <w:bCs/>
        <w:sz w:val="16"/>
        <w:szCs w:val="16"/>
      </w:rPr>
    </w:r>
  </w:p>
  <w:p w14:paraId="0D852F8F" w14:textId="67187B90">
    <w:pPr>
      <w:pStyle w:val="1193"/>
      <w:pBdr/>
      <w:tabs>
        <w:tab w:val="center" w:leader="none" w:pos="3686"/>
        <w:tab w:val="left" w:leader="none" w:pos="4111"/>
        <w:tab w:val="clear" w:leader="none" w:pos="4252"/>
      </w:tabs>
      <w:spacing/>
      <w:ind w:right="1587" w:firstLine="993"/>
      <w:jc w:val="center"/>
      <w:rPr>
        <w:rFonts w:ascii="Tahoma" w:hAnsi="Tahoma" w:cs="Tahoma"/>
        <w:b/>
        <w:bCs/>
        <w:sz w:val="16"/>
        <w:szCs w:val="16"/>
      </w:rPr>
    </w:pPr>
    <w:r>
      <w:rPr>
        <w:rFonts w:ascii="Tahoma" w:hAnsi="Tahoma" w:cs="Tahoma"/>
        <w:b/>
        <w:bCs/>
        <w:sz w:val="16"/>
        <w:szCs w:val="16"/>
      </w:rPr>
      <mc:AlternateContent>
        <mc:Choice Requires="wpg">
          <w:drawing>
            <wp:inline xmlns:wp="http://schemas.openxmlformats.org/drawingml/2006/wordprocessingDrawing" distT="0" distB="0" distL="0" distR="0">
              <wp:extent cx="325755" cy="294707"/>
              <wp:effectExtent l="0" t="0" r="0" b="0"/>
              <wp:docPr id="12" name="Imagem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24046410" name="Imagem 1824046410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flipH="1">
                        <a:off x="0" y="0"/>
                        <a:ext cx="340391" cy="30794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1" o:spid="_x0000_s11" type="#_x0000_t75" style="width:25.65pt;height:23.21pt;mso-wrap-distance-left:0.00pt;mso-wrap-distance-top:0.00pt;mso-wrap-distance-right:0.00pt;mso-wrap-distance-bottom:0.00pt;flip:x;z-index:1;" stroked="false">
              <v:imagedata r:id="rId1" o:title=""/>
              <o:lock v:ext="edit" rotation="t"/>
            </v:shape>
          </w:pict>
        </mc:Fallback>
      </mc:AlternateContent>
    </w:r>
    <w:r>
      <w:rPr>
        <w:rFonts w:ascii="Tahoma" w:hAnsi="Tahoma" w:cs="Tahoma"/>
        <w:b/>
        <w:bCs/>
        <w:sz w:val="16"/>
        <w:szCs w:val="16"/>
      </w:rPr>
      <w:t xml:space="preserve">Contago@gcj.adv.br</w:t>
    </w:r>
    <w:r>
      <w:rPr>
        <w:rFonts w:ascii="Tahoma" w:hAnsi="Tahoma" w:cs="Tahoma"/>
        <w:b/>
        <w:bCs/>
        <w:sz w:val="16"/>
        <w:szCs w:val="16"/>
      </w:rPr>
      <mc:AlternateContent>
        <mc:Choice Requires="wpg">
          <w:drawing>
            <wp:inline xmlns:wp="http://schemas.openxmlformats.org/drawingml/2006/wordprocessingDrawing" distT="0" distB="0" distL="0" distR="0">
              <wp:extent cx="213995" cy="213995"/>
              <wp:effectExtent l="0" t="0" r="0" b="0"/>
              <wp:docPr id="13" name="Imagem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10713116" name="Imagem 1510713116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 flipV="1">
                        <a:off x="0" y="0"/>
                        <a:ext cx="213995" cy="2139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2" o:spid="_x0000_s12" type="#_x0000_t75" style="width:16.85pt;height:16.85pt;mso-wrap-distance-left:0.00pt;mso-wrap-distance-top:0.00pt;mso-wrap-distance-right:0.00pt;mso-wrap-distance-bottom:0.00pt;flip:y;z-index:1;" stroked="false">
              <v:imagedata r:id="rId2" o:title=""/>
              <o:lock v:ext="edit" rotation="t"/>
            </v:shape>
          </w:pict>
        </mc:Fallback>
      </mc:AlternateContent>
    </w:r>
    <w:r>
      <w:rPr>
        <w:rFonts w:ascii="Tahoma" w:hAnsi="Tahoma" w:cs="Tahoma"/>
        <w:b/>
        <w:bCs/>
        <w:sz w:val="16"/>
        <w:szCs w:val="16"/>
      </w:rPr>
      <w:t xml:space="preserve"> </w:t>
    </w:r>
    <w:r>
      <w:rPr>
        <w:rFonts w:ascii="Tahoma" w:hAnsi="Tahoma" w:cs="Tahoma"/>
        <w:b/>
        <w:bCs/>
        <w:sz w:val="16"/>
        <w:szCs w:val="16"/>
      </w:rPr>
      <w:t xml:space="preserve">(47) 3041-6860</w:t>
    </w:r>
    <w:r>
      <w:rPr>
        <w:rFonts w:ascii="Tahoma" w:hAnsi="Tahoma" w:cs="Tahoma"/>
        <w:b/>
        <w:bCs/>
        <w:sz w:val="16"/>
        <w:szCs w:val="16"/>
      </w:rPr>
      <mc:AlternateContent>
        <mc:Choice Requires="wpg">
          <w:drawing>
            <wp:inline xmlns:wp="http://schemas.openxmlformats.org/drawingml/2006/wordprocessingDrawing" distT="0" distB="0" distL="0" distR="0">
              <wp:extent cx="257175" cy="256813"/>
              <wp:effectExtent l="0" t="0" r="0" b="0"/>
              <wp:docPr id="14" name="Imagem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16752326" name="Imagem 1316752326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 flipV="1">
                        <a:off x="0" y="0"/>
                        <a:ext cx="267401" cy="2670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3" o:spid="_x0000_s13" type="#_x0000_t75" style="width:20.25pt;height:20.22pt;mso-wrap-distance-left:0.00pt;mso-wrap-distance-top:0.00pt;mso-wrap-distance-right:0.00pt;mso-wrap-distance-bottom:0.00pt;flip:y;z-index:1;" stroked="false">
              <v:imagedata r:id="rId3" o:title=""/>
              <o:lock v:ext="edit" rotation="t"/>
            </v:shape>
          </w:pict>
        </mc:Fallback>
      </mc:AlternateContent>
    </w:r>
    <w:r>
      <w:rPr>
        <w:rFonts w:ascii="Tahoma" w:hAnsi="Tahoma" w:cs="Tahoma"/>
        <w:b/>
        <w:bCs/>
        <w:sz w:val="16"/>
        <w:szCs w:val="16"/>
      </w:rPr>
      <w:t xml:space="preserve">(47) 3041-6860</w:t>
    </w:r>
    <w:r>
      <w:rPr>
        <w:rFonts w:ascii="Tahoma" w:hAnsi="Tahoma" w:cs="Tahoma"/>
        <w:b/>
        <w:bCs/>
        <w:sz w:val="16"/>
        <w:szCs w:val="16"/>
      </w:rPr>
    </w:r>
    <w:r>
      <w:rPr>
        <w:rFonts w:ascii="Tahoma" w:hAnsi="Tahoma" w:cs="Tahoma"/>
        <w:b/>
        <w:bCs/>
        <w:sz w:val="16"/>
        <w:szCs w:val="16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B8F4B7E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0BB348B7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6F50B9C" w14:textId="29CEA731">
    <w:pPr>
      <w:pBdr/>
      <w:spacing/>
      <w:ind w:firstLine="567"/>
      <w:rPr>
        <w:rFonts w:ascii="Tahoma" w:hAnsi="Tahoma" w:cs="Tahoma"/>
        <w:b/>
        <w:bCs/>
        <w:sz w:val="44"/>
        <w:szCs w:val="44"/>
      </w:rPr>
    </w:pPr>
    <w:r>
      <w:rPr>
        <w:rFonts w:ascii="Tahoma" w:hAnsi="Tahoma" w:cs="Tahoma"/>
        <w:b/>
        <w:bCs/>
        <w:sz w:val="40"/>
        <w:szCs w:val="4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5487670</wp:posOffset>
              </wp:positionH>
              <wp:positionV relativeFrom="paragraph">
                <wp:posOffset>-409575</wp:posOffset>
              </wp:positionV>
              <wp:extent cx="807085" cy="807085"/>
              <wp:effectExtent l="0" t="0" r="0" b="0"/>
              <wp:wrapSquare wrapText="bothSides"/>
              <wp:docPr id="1" name="Imagem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93895383" name="Imagem 393895383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807085" cy="8070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9264;o:allowoverlap:true;o:allowincell:true;mso-position-horizontal-relative:text;margin-left:432.10pt;mso-position-horizontal:absolute;mso-position-vertical-relative:text;margin-top:-32.25pt;mso-position-vertical:absolute;width:63.55pt;height:63.55pt;mso-wrap-distance-left:9.00pt;mso-wrap-distance-top:0.00pt;mso-wrap-distance-right:9.00pt;mso-wrap-distance-bottom:0.00pt;z-index:1;" stroked="false">
              <w10:wrap type="square"/>
              <v:imagedata r:id="rId1" o:title=""/>
              <o:lock v:ext="edit" rotation="t"/>
            </v:shape>
          </w:pict>
        </mc:Fallback>
      </mc:AlternateContent>
    </w:r>
    <w:r>
      <w:rPr>
        <w:rFonts w:ascii="Tahoma" w:hAnsi="Tahoma" w:cs="Tahoma"/>
        <w:b/>
        <w:bCs/>
        <w:sz w:val="16"/>
        <w:szCs w:val="16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<wp:simplePos x="0" y="0"/>
              <wp:positionH relativeFrom="column">
                <wp:posOffset>6723143</wp:posOffset>
              </wp:positionH>
              <wp:positionV relativeFrom="paragraph">
                <wp:posOffset>-539087</wp:posOffset>
              </wp:positionV>
              <wp:extent cx="549322" cy="10772775"/>
              <wp:effectExtent l="0" t="0" r="3175" b="9525"/>
              <wp:wrapNone/>
              <wp:docPr id="2" name="Retâ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49322" cy="10772775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1" o:spid="_x0000_s1" o:spt="1" type="#_x0000_t1" style="position:absolute;z-index:251662336;o:allowoverlap:true;o:allowincell:true;mso-position-horizontal-relative:text;margin-left:529.38pt;mso-position-horizontal:absolute;mso-position-vertical-relative:text;margin-top:-42.45pt;mso-position-vertical:absolute;width:43.25pt;height:848.25pt;mso-wrap-distance-left:9.00pt;mso-wrap-distance-top:0.00pt;mso-wrap-distance-right:9.00pt;mso-wrap-distance-bottom:0.00pt;visibility:visible;" fillcolor="#933634" stroked="f" strokeweight="2.00pt">
              <v:stroke dashstyle="solid"/>
            </v:shape>
          </w:pict>
        </mc:Fallback>
      </mc:AlternateContent>
    </w:r>
    <w:r>
      <w:rPr>
        <w:rFonts w:ascii="Tahoma" w:hAnsi="Tahoma" w:cs="Tahoma"/>
        <w:b/>
        <w:bCs/>
        <w:sz w:val="16"/>
        <w:szCs w:val="16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<wp:simplePos x="0" y="0"/>
              <wp:positionH relativeFrom="column">
                <wp:posOffset>-74295</wp:posOffset>
              </wp:positionH>
              <wp:positionV relativeFrom="paragraph">
                <wp:posOffset>27940</wp:posOffset>
              </wp:positionV>
              <wp:extent cx="304800" cy="200025"/>
              <wp:effectExtent l="0" t="0" r="0" b="9525"/>
              <wp:wrapNone/>
              <wp:docPr id="3" name="Seta: Divisa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04800" cy="200025"/>
                      </a:xfrm>
                      <a:prstGeom prst="chevron">
                        <a:avLst>
                          <a:gd name="adj" fmla="val 50000"/>
                        </a:avLst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55" type="#_x0000_t55" style="position:absolute;z-index:251664384;o:allowoverlap:true;o:allowincell:true;mso-position-horizontal-relative:text;margin-left:-5.85pt;mso-position-horizontal:absolute;mso-position-vertical-relative:text;margin-top:2.20pt;mso-position-vertical:absolute;width:24.00pt;height:15.75pt;mso-wrap-distance-left:9.00pt;mso-wrap-distance-top:0.00pt;mso-wrap-distance-right:9.00pt;mso-wrap-distance-bottom:0.00pt;visibility:visible;" fillcolor="#933634" stroked="f" strokeweight="2.00pt">
              <v:stroke dashstyle="solid"/>
            </v:shape>
          </w:pict>
        </mc:Fallback>
      </mc:AlternateContent>
    </w:r>
    <w:r>
      <w:rPr>
        <w:rFonts w:ascii="Tahoma" w:hAnsi="Tahoma" w:cs="Tahoma"/>
        <w:b/>
        <w:bCs/>
        <w:sz w:val="16"/>
        <w:szCs w:val="16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<wp:simplePos x="0" y="0"/>
              <wp:positionH relativeFrom="column">
                <wp:posOffset>-331470</wp:posOffset>
              </wp:positionH>
              <wp:positionV relativeFrom="paragraph">
                <wp:posOffset>-38100</wp:posOffset>
              </wp:positionV>
              <wp:extent cx="276225" cy="333375"/>
              <wp:effectExtent l="0" t="0" r="0" b="0"/>
              <wp:wrapNone/>
              <wp:docPr id="4" name="Igual a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276225" cy="333375"/>
                      </a:xfrm>
                      <a:prstGeom prst="mathEqual">
                        <a:avLst>
                          <a:gd name="adj1" fmla="val 23520"/>
                          <a:gd name="adj2" fmla="val 11760"/>
                        </a:avLst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style="position:absolute;z-index:251665408;o:allowoverlap:true;o:allowincell:true;mso-position-horizontal-relative:text;margin-left:-26.10pt;mso-position-horizontal:absolute;mso-position-vertical-relative:text;margin-top:-3.00pt;mso-position-vertical:absolute;width:21.75pt;height:26.25pt;mso-wrap-distance-left:9.00pt;mso-wrap-distance-top:0.00pt;mso-wrap-distance-right:9.00pt;mso-wrap-distance-bottom:0.00pt;visibility:visible;" fillcolor="#933634" stroked="f" strokeweight="2.00pt">
              <v:stroke dashstyle="solid"/>
            </v:shape>
          </w:pict>
        </mc:Fallback>
      </mc:AlternateContent>
    </w:r>
    <w:r>
      <w:rPr>
        <w:rFonts w:ascii="Tahoma" w:hAnsi="Tahoma" w:cs="Tahoma"/>
        <w:b/>
        <w:bCs/>
        <w:sz w:val="44"/>
        <w:szCs w:val="44"/>
      </w:rPr>
    </w:r>
    <w:r>
      <w:rPr>
        <w:rFonts w:ascii="Tahoma" w:hAnsi="Tahoma" w:cs="Tahoma"/>
        <w:b/>
        <w:bCs/>
        <w:sz w:val="44"/>
        <w:szCs w:val="44"/>
      </w:rPr>
    </w:r>
  </w:p>
  <w:p w14:paraId="4896EB0C" w14:textId="5CBB6909">
    <w:pPr>
      <w:pStyle w:val="1191"/>
      <w:pBdr/>
      <w:tabs>
        <w:tab w:val="clear" w:leader="none" w:pos="4252"/>
        <w:tab w:val="clear" w:leader="none" w:pos="8504"/>
        <w:tab w:val="right" w:leader="none" w:pos="8835"/>
      </w:tabs>
      <w:spacing/>
      <w:ind/>
      <w:rPr/>
    </w:pPr>
    <w:r/>
    <w:r/>
  </w:p>
  <w:p w14:paraId="798E3BA1" w14:textId="1017C285">
    <w:pPr>
      <w:pStyle w:val="1191"/>
      <w:pBdr>
        <w:top w:val="single" w:color="000000" w:sz="4" w:space="1"/>
      </w:pBdr>
      <w:tabs>
        <w:tab w:val="clear" w:leader="none" w:pos="4252"/>
        <w:tab w:val="clear" w:leader="none" w:pos="8504"/>
        <w:tab w:val="right" w:leader="none" w:pos="8835"/>
      </w:tabs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7F3396B" w14:textId="0C0DB5F2">
    <w:pPr>
      <w:pStyle w:val="119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<wp:simplePos x="0" y="0"/>
              <wp:positionH relativeFrom="column">
                <wp:posOffset>-264795</wp:posOffset>
              </wp:positionH>
              <wp:positionV relativeFrom="paragraph">
                <wp:posOffset>-28575</wp:posOffset>
              </wp:positionV>
              <wp:extent cx="514350" cy="168910"/>
              <wp:effectExtent l="0" t="0" r="0" b="2540"/>
              <wp:wrapNone/>
              <wp:docPr id="5" name="Seta: Divisa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14350" cy="168910"/>
                      </a:xfrm>
                      <a:prstGeom prst="chevron">
                        <a:avLst>
                          <a:gd name="adj" fmla="val 50000"/>
                        </a:avLst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55" type="#_x0000_t55" style="position:absolute;z-index:251660288;o:allowoverlap:true;o:allowincell:true;mso-position-horizontal-relative:text;margin-left:-20.85pt;mso-position-horizontal:absolute;mso-position-vertical-relative:text;margin-top:-2.25pt;mso-position-vertical:absolute;width:40.50pt;height:13.30pt;mso-wrap-distance-left:9.00pt;mso-wrap-distance-top:0.00pt;mso-wrap-distance-right:9.00pt;mso-wrap-distance-bottom:0.00pt;visibility:visible;" fillcolor="#933634" stroked="f" strokeweight="2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49024" behindDoc="0" locked="0" layoutInCell="0" allowOverlap="1">
              <wp:simplePos x="0" y="0"/>
              <wp:positionH relativeFrom="margin">
                <wp:posOffset>87630</wp:posOffset>
              </wp:positionH>
              <wp:positionV relativeFrom="topMargin">
                <wp:posOffset>381000</wp:posOffset>
              </wp:positionV>
              <wp:extent cx="4905375" cy="170815"/>
              <wp:effectExtent l="0" t="0" r="0" b="5715"/>
              <wp:wrapNone/>
              <wp:docPr id="6" name="Caixa de Texto 2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05375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sdt>
                          <w:sdtPr>
                            <w:alias w:val="Título"/>
                            <w15:appearance w15:val="boundingBox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rPr>
                              <w:rFonts w:ascii="Tahoma" w:hAnsi="Tahoma" w:cs="Tahoma"/>
                              <w:b/>
                              <w:bCs/>
                              <w:sz w:val="36"/>
                              <w:szCs w:val="36"/>
                            </w:rPr>
                          </w:sdtPr>
                          <w:sdtContent>
                            <w:p w14:paraId="14D0ECB9" w14:textId="7AE26160">
                              <w:pPr>
                                <w:pBdr/>
                                <w:spacing/>
                                <w:ind w:firstLine="568" w:left="-284"/>
                                <w:rPr>
                                  <w:rFonts w:ascii="Tahoma" w:hAnsi="Tahoma" w:cs="Tahoma"/>
                                  <w:b/>
                                  <w:bCs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CONTRATO DE HONORÁRIOS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sz w:val="44"/>
                                  <w:szCs w:val="44"/>
                                </w:rPr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sz w:val="44"/>
                                  <w:szCs w:val="44"/>
                                </w:rPr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49024;o:allowoverlap:true;o:allowincell:false;mso-position-horizontal-relative:margin;margin-left:6.90pt;mso-position-horizontal:absolute;mso-position-vertical-relative:top-margin-area;margin-top:30.00pt;mso-position-vertical:absolute;width:386.25pt;height:13.45pt;mso-wrap-distance-left:9.00pt;mso-wrap-distance-top:0.00pt;mso-wrap-distance-right:9.00pt;mso-wrap-distance-bottom:0.00pt;v-text-anchor:middle;visibility:visible;" filled="f" stroked="f">
              <v:textbox inset="0,0,0,0">
                <w:txbxContent>
                  <w:sdt>
                    <w:sdtPr>
                      <w:alias w:val="Título"/>
                      <w15:appearance w15:val="boundingBox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rPr>
                        <w:rFonts w:ascii="Tahoma" w:hAnsi="Tahoma" w:cs="Tahoma"/>
                        <w:b/>
                        <w:bCs/>
                        <w:sz w:val="36"/>
                        <w:szCs w:val="36"/>
                      </w:rPr>
                    </w:sdtPr>
                    <w:sdtContent>
                      <w:p w14:paraId="14D0ECB9" w14:textId="7AE26160">
                        <w:pPr>
                          <w:pBdr/>
                          <w:spacing/>
                          <w:ind w:firstLine="568" w:left="-284"/>
                          <w:rPr>
                            <w:rFonts w:ascii="Tahoma" w:hAnsi="Tahoma" w:cs="Tahoma"/>
                            <w:b/>
                            <w:bCs/>
                            <w:sz w:val="44"/>
                            <w:szCs w:val="44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sz w:val="36"/>
                            <w:szCs w:val="36"/>
                          </w:rPr>
                          <w:t xml:space="preserve">CONTRATO DE HONORÁRIOS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sz w:val="44"/>
                            <w:szCs w:val="44"/>
                          </w:rPr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sz w:val="44"/>
                            <w:szCs w:val="44"/>
                          </w:rPr>
                        </w:r>
                      </w:p>
                    </w:sdtContent>
                  </w:sdt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5438775</wp:posOffset>
              </wp:positionH>
              <wp:positionV relativeFrom="paragraph">
                <wp:posOffset>-361950</wp:posOffset>
              </wp:positionV>
              <wp:extent cx="685800" cy="685800"/>
              <wp:effectExtent l="0" t="0" r="0" b="0"/>
              <wp:wrapSquare wrapText="bothSides"/>
              <wp:docPr id="7" name="Imagem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05438162" name="Imagem 30543816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685800" cy="685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6" o:spid="_x0000_s6" type="#_x0000_t75" style="position:absolute;z-index:251658240;o:allowoverlap:true;o:allowincell:true;mso-position-horizontal-relative:text;margin-left:428.25pt;mso-position-horizontal:absolute;mso-position-vertical-relative:text;margin-top:-28.50pt;mso-position-vertical:absolute;width:54.00pt;height:54.00pt;mso-wrap-distance-left:9.00pt;mso-wrap-distance-top:0.00pt;mso-wrap-distance-right:9.00pt;mso-wrap-distance-bottom:0.00pt;z-index:1;" stroked="false">
              <w10:wrap type="square"/>
              <v:imagedata r:id="rId1" o:title=""/>
              <o:lock v:ext="edit" rotation="t"/>
            </v:shape>
          </w:pict>
        </mc:Fallback>
      </mc:AlternateContent>
    </w:r>
    <w:r/>
  </w:p>
  <w:p w14:paraId="6E68E879" w14:textId="75C0B644">
    <w:pPr>
      <w:pStyle w:val="1191"/>
      <w:pBdr>
        <w:bottom w:val="single" w:color="000000" w:sz="4" w:space="0"/>
      </w:pBdr>
      <w:spacing/>
      <w:ind/>
      <w:rPr/>
    </w:pPr>
    <w:r/>
    <w:r/>
  </w:p>
  <w:p w14:paraId="35A9285D" w14:textId="62239EA4">
    <w:pPr>
      <w:pStyle w:val="1191"/>
      <w:pBdr>
        <w:bottom w:val="single" w:color="000000" w:sz="4" w:space="0"/>
      </w:pBdr>
      <w:tabs>
        <w:tab w:val="clear" w:leader="none" w:pos="4252"/>
        <w:tab w:val="left" w:leader="none" w:pos="7200"/>
        <w:tab w:val="clear" w:leader="none" w:pos="8504"/>
      </w:tabs>
      <w:spacing/>
      <w:ind/>
      <w:rPr/>
    </w:pPr>
    <w:r>
      <w:tab/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D04087"/>
    <w:lvl w:ilvl="0">
      <w:isLgl w:val="false"/>
      <w:lvlJc w:val="left"/>
      <w:lvlText w:val="%1."/>
      <w:numFmt w:val="decimal"/>
      <w:pPr>
        <w:pBdr/>
        <w:tabs>
          <w:tab w:val="num" w:leader="none" w:pos="928"/>
        </w:tabs>
        <w:spacing/>
        <w:ind w:hanging="360" w:left="928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648"/>
        </w:tabs>
        <w:spacing/>
        <w:ind w:hanging="360" w:left="164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368"/>
        </w:tabs>
        <w:spacing/>
        <w:ind w:hanging="360" w:left="23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088"/>
        </w:tabs>
        <w:spacing/>
        <w:ind w:hanging="360" w:left="3088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808"/>
        </w:tabs>
        <w:spacing/>
        <w:ind w:hanging="360" w:left="3808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528"/>
        </w:tabs>
        <w:spacing/>
        <w:ind w:hanging="360" w:left="45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248"/>
        </w:tabs>
        <w:spacing/>
        <w:ind w:hanging="360" w:left="5248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968"/>
        </w:tabs>
        <w:spacing/>
        <w:ind w:hanging="360" w:left="5968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688"/>
        </w:tabs>
        <w:spacing/>
        <w:ind w:hanging="360" w:left="6688"/>
      </w:pPr>
      <w:rPr/>
      <w:start w:val="1"/>
      <w:suff w:val="tab"/>
    </w:lvl>
  </w:abstractNum>
  <w:abstractNum w:abstractNumId="1">
    <w:nsid w:val="0C44351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1382234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16C65EA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1CC020DA"/>
    <w:lvl w:ilvl="0">
      <w:isLgl w:val="false"/>
      <w:lvlJc w:val="left"/>
      <w:lvlText w:val="%1)"/>
      <w:numFmt w:val="lowerLetter"/>
      <w:pPr>
        <w:pBdr/>
        <w:spacing/>
        <w:ind w:hanging="360" w:left="2061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78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0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2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94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66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38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0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21"/>
      </w:pPr>
      <w:rPr/>
      <w:start w:val="1"/>
      <w:suff w:val="tab"/>
    </w:lvl>
  </w:abstractNum>
  <w:abstractNum w:abstractNumId="5">
    <w:nsid w:val="2D6657DE"/>
    <w:lvl w:ilvl="0">
      <w:isLgl w:val="false"/>
      <w:lvlJc w:val="left"/>
      <w:lvlText w:val="(%1)"/>
      <w:numFmt w:val="lowerRoman"/>
      <w:pPr>
        <w:pBdr/>
        <w:spacing/>
        <w:ind w:hanging="720" w:left="2421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78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0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2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94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66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38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0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21"/>
      </w:pPr>
      <w:rPr/>
      <w:start w:val="1"/>
      <w:suff w:val="tab"/>
    </w:lvl>
  </w:abstractNum>
  <w:abstractNum w:abstractNumId="6">
    <w:nsid w:val="33CC4E1A"/>
    <w:lvl w:ilvl="0">
      <w:isLgl w:val="false"/>
      <w:lvlJc w:val="left"/>
      <w:lvlText w:val="%1)"/>
      <w:numFmt w:val="lowerLetter"/>
      <w:pPr>
        <w:pBdr/>
        <w:spacing/>
        <w:ind w:hanging="360" w:left="2061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78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0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2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94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66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38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0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21"/>
      </w:pPr>
      <w:rPr/>
      <w:start w:val="1"/>
      <w:suff w:val="tab"/>
    </w:lvl>
  </w:abstractNum>
  <w:abstractNum w:abstractNumId="7">
    <w:nsid w:val="4681773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47610F09"/>
    <w:lvl w:ilvl="0">
      <w:isLgl w:val="false"/>
      <w:lvlJc w:val="left"/>
      <w:lvlText w:val="%1."/>
      <w:numFmt w:val="decimal"/>
      <w:pPr>
        <w:pBdr/>
        <w:spacing/>
        <w:ind w:hanging="360" w:left="242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314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86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58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30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602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74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46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181"/>
      </w:pPr>
      <w:rPr/>
      <w:start w:val="1"/>
      <w:suff w:val="tab"/>
    </w:lvl>
  </w:abstractNum>
  <w:abstractNum w:abstractNumId="9">
    <w:nsid w:val="4B96091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4C134A7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1">
    <w:nsid w:val="4E51443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2">
    <w:nsid w:val="514B6B8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3">
    <w:nsid w:val="596F48E2"/>
    <w:lvl w:ilvl="0">
      <w:isLgl w:val="false"/>
      <w:lvlJc w:val="left"/>
      <w:lvlText w:val="%1)"/>
      <w:numFmt w:val="lowerLetter"/>
      <w:pPr>
        <w:pBdr/>
        <w:spacing/>
        <w:ind w:hanging="720" w:left="2421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78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0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2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94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66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38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0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21"/>
      </w:pPr>
      <w:rPr/>
      <w:start w:val="1"/>
      <w:suff w:val="tab"/>
    </w:lvl>
  </w:abstractNum>
  <w:abstractNum w:abstractNumId="14">
    <w:nsid w:val="5E8906F7"/>
    <w:lvl w:ilvl="0">
      <w:isLgl w:val="false"/>
      <w:lvlJc w:val="left"/>
      <w:lvlText w:val="%1)"/>
      <w:numFmt w:val="lowerLetter"/>
      <w:pPr>
        <w:pBdr/>
        <w:spacing/>
        <w:ind w:hanging="360" w:left="25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32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9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6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4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61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8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5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280"/>
      </w:pPr>
      <w:rPr/>
      <w:start w:val="1"/>
      <w:suff w:val="tab"/>
    </w:lvl>
  </w:abstractNum>
  <w:abstractNum w:abstractNumId="15">
    <w:nsid w:val="62C7300B"/>
    <w:lvl w:ilvl="0">
      <w:isLgl w:val="false"/>
      <w:lvlJc w:val="left"/>
      <w:lvlText w:val="(%1)"/>
      <w:numFmt w:val="lowerRoman"/>
      <w:pPr>
        <w:pBdr/>
        <w:spacing/>
        <w:ind w:hanging="720" w:left="2421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78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0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2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94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66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38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0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21"/>
      </w:pPr>
      <w:rPr/>
      <w:start w:val="1"/>
      <w:suff w:val="tab"/>
    </w:lvl>
  </w:abstractNum>
  <w:abstractNum w:abstractNumId="16">
    <w:nsid w:val="7EC2363D"/>
    <w:lvl w:ilvl="0">
      <w:isLgl w:val="false"/>
      <w:lvlJc w:val="left"/>
      <w:lvlText w:val="%1)"/>
      <w:numFmt w:val="lowerLetter"/>
      <w:pPr>
        <w:pBdr/>
        <w:spacing/>
        <w:ind w:hanging="360" w:left="2061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78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0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2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94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66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38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0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21"/>
      </w:pPr>
      <w:rPr/>
      <w:start w:val="1"/>
      <w:suff w:val="tab"/>
    </w:lvl>
  </w:abstractNum>
  <w:num w:numId="1">
    <w:abstractNumId w:val="3"/>
  </w:num>
  <w:num w:numId="2">
    <w:abstractNumId w:val="6"/>
  </w:num>
  <w:num w:numId="3">
    <w:abstractNumId w:val="14"/>
  </w:num>
  <w:num w:numId="4">
    <w:abstractNumId w:val="8"/>
  </w:num>
  <w:num w:numId="5">
    <w:abstractNumId w:val="10"/>
  </w:num>
  <w:num w:numId="6">
    <w:abstractNumId w:val="0"/>
  </w:num>
  <w:num w:numId="7">
    <w:abstractNumId w:val="7"/>
  </w:num>
  <w:num w:numId="8">
    <w:abstractNumId w:val="1"/>
  </w:num>
  <w:num w:numId="9">
    <w:abstractNumId w:val="15"/>
  </w:num>
  <w:num w:numId="10">
    <w:abstractNumId w:val="5"/>
  </w:num>
  <w:num w:numId="11">
    <w:abstractNumId w:val="13"/>
  </w:num>
  <w:num w:numId="12">
    <w:abstractNumId w:val="9"/>
  </w:num>
  <w:num w:numId="13">
    <w:abstractNumId w:val="16"/>
  </w:num>
  <w:num w:numId="14">
    <w:abstractNumId w:val="4"/>
  </w:num>
  <w:num w:numId="15">
    <w:abstractNumId w:val="2"/>
  </w:num>
  <w:num w:numId="16">
    <w:abstractNumId w:val="12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06">
    <w:name w:val="Table Grid"/>
    <w:basedOn w:val="11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Table Grid Light"/>
    <w:basedOn w:val="11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Plain Table 1"/>
    <w:basedOn w:val="11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Plain Table 2"/>
    <w:basedOn w:val="11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Plain Table 3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Plain Table 4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Plain Table 5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Grid Table 1 Light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Grid Table 1 Light - Accent 1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Grid Table 1 Light - Accent 2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Grid Table 1 Light - Accent 3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Grid Table 1 Light - Accent 4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Grid Table 1 Light - Accent 5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Grid Table 1 Light - Accent 6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Grid Table 2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Grid Table 2 - Accent 1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Grid Table 2 - Accent 2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Grid Table 2 - Accent 3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Grid Table 2 - Accent 4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Grid Table 2 - Accent 5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Grid Table 2 - Accent 6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Grid Table 3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Grid Table 3 - Accent 1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Grid Table 3 - Accent 2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Grid Table 3 - Accent 3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Grid Table 3 - Accent 4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Grid Table 3 - Accent 5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Grid Table 3 - Accent 6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Grid Table 4"/>
    <w:basedOn w:val="11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Grid Table 4 - Accent 1"/>
    <w:basedOn w:val="11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Grid Table 4 - Accent 2"/>
    <w:basedOn w:val="11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Grid Table 4 - Accent 3"/>
    <w:basedOn w:val="11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Grid Table 4 - Accent 4"/>
    <w:basedOn w:val="11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Grid Table 4 - Accent 5"/>
    <w:basedOn w:val="11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Grid Table 4 - Accent 6"/>
    <w:basedOn w:val="11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Grid Table 5 Dark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Grid Table 5 Dark- Accent 1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Grid Table 5 Dark - Accent 2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Grid Table 5 Dark - Accent 3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Grid Table 5 Dark- Accent 4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Grid Table 5 Dark - Accent 5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Grid Table 5 Dark - Accent 6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Grid Table 6 Colorful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Grid Table 6 Colorful - Accent 1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Grid Table 6 Colorful - Accent 2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Grid Table 6 Colorful - Accent 3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Grid Table 6 Colorful - Accent 4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Grid Table 6 Colorful - Accent 5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Grid Table 6 Colorful - Accent 6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Grid Table 7 Colorful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Grid Table 7 Colorful - Accent 1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Grid Table 7 Colorful - Accent 2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Grid Table 7 Colorful - Accent 3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Grid Table 7 Colorful - Accent 4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Grid Table 7 Colorful - Accent 5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Grid Table 7 Colorful - Accent 6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List Table 1 Light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List Table 1 Light - Accent 1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List Table 1 Light - Accent 2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List Table 1 Light - Accent 3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List Table 1 Light - Accent 4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List Table 1 Light - Accent 5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List Table 1 Light - Accent 6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List Table 2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List Table 2 - Accent 1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List Table 2 - Accent 2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List Table 2 - Accent 3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List Table 2 - Accent 4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List Table 2 - Accent 5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List Table 2 - Accent 6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List Table 3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List Table 3 - Accent 1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List Table 3 - Accent 2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List Table 3 - Accent 3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List Table 3 - Accent 4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List Table 3 - Accent 5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List Table 3 - Accent 6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List Table 4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List Table 4 - Accent 1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List Table 4 - Accent 2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List Table 4 - Accent 3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List Table 4 - Accent 4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List Table 4 - Accent 5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List Table 4 - Accent 6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List Table 5 Dark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List Table 5 Dark - Accent 1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List Table 5 Dark - Accent 2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List Table 5 Dark - Accent 3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List Table 5 Dark - Accent 4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List Table 5 Dark - Accent 5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List Table 5 Dark - Accent 6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List Table 6 Colorful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List Table 6 Colorful - Accent 1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List Table 6 Colorful - Accent 2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List Table 6 Colorful - Accent 3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List Table 6 Colorful - Accent 4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List Table 6 Colorful - Accent 5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List Table 6 Colorful - Accent 6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List Table 7 Colorful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List Table 7 Colorful - Accent 1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List Table 7 Colorful - Accent 2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List Table 7 Colorful - Accent 3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List Table 7 Colorful - Accent 4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List Table 7 Colorful - Accent 5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List Table 7 Colorful - Accent 6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Lined - Accent"/>
    <w:basedOn w:val="11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Lined - Accent 1"/>
    <w:basedOn w:val="11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Lined - Accent 2"/>
    <w:basedOn w:val="11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Lined - Accent 3"/>
    <w:basedOn w:val="11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Lined - Accent 4"/>
    <w:basedOn w:val="11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Lined - Accent 5"/>
    <w:basedOn w:val="11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Lined - Accent 6"/>
    <w:basedOn w:val="11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Bordered &amp; Lined - Accent"/>
    <w:basedOn w:val="11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Bordered &amp; Lined - Accent 1"/>
    <w:basedOn w:val="11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Bordered &amp; Lined - Accent 2"/>
    <w:basedOn w:val="11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Bordered &amp; Lined - Accent 3"/>
    <w:basedOn w:val="11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Bordered &amp; Lined - Accent 4"/>
    <w:basedOn w:val="11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Bordered &amp; Lined - Accent 5"/>
    <w:basedOn w:val="11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Bordered &amp; Lined - Accent 6"/>
    <w:basedOn w:val="11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>
    <w:name w:val="Bordered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>
    <w:name w:val="Bordered - Accent 1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Bordered - Accent 2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Bordered - Accent 3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Bordered - Accent 4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Bordered - Accent 5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Bordered - Accent 6"/>
    <w:basedOn w:val="11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32">
    <w:name w:val="Heading 6"/>
    <w:basedOn w:val="1178"/>
    <w:next w:val="1178"/>
    <w:link w:val="11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133">
    <w:name w:val="Heading 7"/>
    <w:basedOn w:val="1178"/>
    <w:next w:val="1178"/>
    <w:link w:val="11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134">
    <w:name w:val="Heading 8"/>
    <w:basedOn w:val="1178"/>
    <w:next w:val="1178"/>
    <w:link w:val="11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135">
    <w:name w:val="Heading 9"/>
    <w:basedOn w:val="1178"/>
    <w:next w:val="1178"/>
    <w:link w:val="11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136">
    <w:name w:val="Heading 1 Char"/>
    <w:basedOn w:val="1184"/>
    <w:link w:val="11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137">
    <w:name w:val="Heading 2 Char"/>
    <w:basedOn w:val="1184"/>
    <w:link w:val="11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138">
    <w:name w:val="Heading 3 Char"/>
    <w:basedOn w:val="1184"/>
    <w:link w:val="11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139">
    <w:name w:val="Heading 4 Char"/>
    <w:basedOn w:val="1184"/>
    <w:link w:val="118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140">
    <w:name w:val="Heading 5 Char"/>
    <w:basedOn w:val="1184"/>
    <w:link w:val="11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141">
    <w:name w:val="Heading 6 Char"/>
    <w:basedOn w:val="1184"/>
    <w:link w:val="11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42">
    <w:name w:val="Heading 7 Char"/>
    <w:basedOn w:val="1184"/>
    <w:link w:val="11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43">
    <w:name w:val="Heading 8 Char"/>
    <w:basedOn w:val="1184"/>
    <w:link w:val="11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44">
    <w:name w:val="Heading 9 Char"/>
    <w:basedOn w:val="1184"/>
    <w:link w:val="11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145">
    <w:name w:val="Title"/>
    <w:basedOn w:val="1178"/>
    <w:next w:val="1178"/>
    <w:link w:val="11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146">
    <w:name w:val="Title Char"/>
    <w:basedOn w:val="1184"/>
    <w:link w:val="11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147">
    <w:name w:val="Subtitle"/>
    <w:basedOn w:val="1178"/>
    <w:next w:val="1178"/>
    <w:link w:val="11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148">
    <w:name w:val="Subtitle Char"/>
    <w:basedOn w:val="1184"/>
    <w:link w:val="11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149">
    <w:name w:val="Quote Char"/>
    <w:basedOn w:val="1184"/>
    <w:link w:val="120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50">
    <w:name w:val="Intense Emphasis"/>
    <w:basedOn w:val="11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51">
    <w:name w:val="Intense Quote"/>
    <w:basedOn w:val="1178"/>
    <w:next w:val="1178"/>
    <w:link w:val="11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52">
    <w:name w:val="Intense Quote Char"/>
    <w:basedOn w:val="1184"/>
    <w:link w:val="11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53">
    <w:name w:val="Intense Reference"/>
    <w:basedOn w:val="11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154">
    <w:name w:val="No Spacing"/>
    <w:basedOn w:val="1178"/>
    <w:uiPriority w:val="1"/>
    <w:qFormat/>
    <w:pPr>
      <w:pBdr/>
      <w:spacing w:after="0" w:line="240" w:lineRule="auto"/>
      <w:ind/>
    </w:pPr>
  </w:style>
  <w:style w:type="character" w:styleId="1155">
    <w:name w:val="Subtle Emphasis"/>
    <w:basedOn w:val="11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56">
    <w:name w:val="Emphasis"/>
    <w:basedOn w:val="1184"/>
    <w:uiPriority w:val="20"/>
    <w:qFormat/>
    <w:pPr>
      <w:pBdr/>
      <w:spacing/>
      <w:ind/>
    </w:pPr>
    <w:rPr>
      <w:i/>
      <w:iCs/>
    </w:rPr>
  </w:style>
  <w:style w:type="character" w:styleId="1157">
    <w:name w:val="Subtle Reference"/>
    <w:basedOn w:val="11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58">
    <w:name w:val="Book Title"/>
    <w:basedOn w:val="118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159">
    <w:name w:val="Header Char"/>
    <w:basedOn w:val="1184"/>
    <w:link w:val="1191"/>
    <w:uiPriority w:val="99"/>
    <w:pPr>
      <w:pBdr/>
      <w:spacing/>
      <w:ind/>
    </w:pPr>
  </w:style>
  <w:style w:type="character" w:styleId="1160">
    <w:name w:val="Footer Char"/>
    <w:basedOn w:val="1184"/>
    <w:link w:val="1193"/>
    <w:uiPriority w:val="99"/>
    <w:pPr>
      <w:pBdr/>
      <w:spacing/>
      <w:ind/>
    </w:pPr>
  </w:style>
  <w:style w:type="paragraph" w:styleId="1161">
    <w:name w:val="Caption"/>
    <w:basedOn w:val="1178"/>
    <w:next w:val="117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162">
    <w:name w:val="Footnote Text Char"/>
    <w:basedOn w:val="1184"/>
    <w:link w:val="1199"/>
    <w:uiPriority w:val="99"/>
    <w:semiHidden/>
    <w:pPr>
      <w:pBdr/>
      <w:spacing/>
      <w:ind/>
    </w:pPr>
    <w:rPr>
      <w:sz w:val="20"/>
      <w:szCs w:val="20"/>
    </w:rPr>
  </w:style>
  <w:style w:type="paragraph" w:styleId="1163">
    <w:name w:val="endnote text"/>
    <w:basedOn w:val="1178"/>
    <w:link w:val="11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64">
    <w:name w:val="Endnote Text Char"/>
    <w:basedOn w:val="1184"/>
    <w:link w:val="1163"/>
    <w:uiPriority w:val="99"/>
    <w:semiHidden/>
    <w:pPr>
      <w:pBdr/>
      <w:spacing/>
      <w:ind/>
    </w:pPr>
    <w:rPr>
      <w:sz w:val="20"/>
      <w:szCs w:val="20"/>
    </w:rPr>
  </w:style>
  <w:style w:type="character" w:styleId="1165">
    <w:name w:val="endnote reference"/>
    <w:basedOn w:val="1184"/>
    <w:uiPriority w:val="99"/>
    <w:semiHidden/>
    <w:unhideWhenUsed/>
    <w:pPr>
      <w:pBdr/>
      <w:spacing/>
      <w:ind/>
    </w:pPr>
    <w:rPr>
      <w:vertAlign w:val="superscript"/>
    </w:rPr>
  </w:style>
  <w:style w:type="character" w:styleId="1166">
    <w:name w:val="FollowedHyperlink"/>
    <w:basedOn w:val="11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67">
    <w:name w:val="toc 1"/>
    <w:basedOn w:val="1178"/>
    <w:next w:val="1178"/>
    <w:uiPriority w:val="39"/>
    <w:unhideWhenUsed/>
    <w:pPr>
      <w:pBdr/>
      <w:spacing w:after="100"/>
      <w:ind/>
    </w:pPr>
  </w:style>
  <w:style w:type="paragraph" w:styleId="1168">
    <w:name w:val="toc 2"/>
    <w:basedOn w:val="1178"/>
    <w:next w:val="1178"/>
    <w:uiPriority w:val="39"/>
    <w:unhideWhenUsed/>
    <w:pPr>
      <w:pBdr/>
      <w:spacing w:after="100"/>
      <w:ind w:left="220"/>
    </w:pPr>
  </w:style>
  <w:style w:type="paragraph" w:styleId="1169">
    <w:name w:val="toc 3"/>
    <w:basedOn w:val="1178"/>
    <w:next w:val="1178"/>
    <w:uiPriority w:val="39"/>
    <w:unhideWhenUsed/>
    <w:pPr>
      <w:pBdr/>
      <w:spacing w:after="100"/>
      <w:ind w:left="440"/>
    </w:pPr>
  </w:style>
  <w:style w:type="paragraph" w:styleId="1170">
    <w:name w:val="toc 4"/>
    <w:basedOn w:val="1178"/>
    <w:next w:val="1178"/>
    <w:uiPriority w:val="39"/>
    <w:unhideWhenUsed/>
    <w:pPr>
      <w:pBdr/>
      <w:spacing w:after="100"/>
      <w:ind w:left="660"/>
    </w:pPr>
  </w:style>
  <w:style w:type="paragraph" w:styleId="1171">
    <w:name w:val="toc 5"/>
    <w:basedOn w:val="1178"/>
    <w:next w:val="1178"/>
    <w:uiPriority w:val="39"/>
    <w:unhideWhenUsed/>
    <w:pPr>
      <w:pBdr/>
      <w:spacing w:after="100"/>
      <w:ind w:left="880"/>
    </w:pPr>
  </w:style>
  <w:style w:type="paragraph" w:styleId="1172">
    <w:name w:val="toc 6"/>
    <w:basedOn w:val="1178"/>
    <w:next w:val="1178"/>
    <w:uiPriority w:val="39"/>
    <w:unhideWhenUsed/>
    <w:pPr>
      <w:pBdr/>
      <w:spacing w:after="100"/>
      <w:ind w:left="1100"/>
    </w:pPr>
  </w:style>
  <w:style w:type="paragraph" w:styleId="1173">
    <w:name w:val="toc 7"/>
    <w:basedOn w:val="1178"/>
    <w:next w:val="1178"/>
    <w:uiPriority w:val="39"/>
    <w:unhideWhenUsed/>
    <w:pPr>
      <w:pBdr/>
      <w:spacing w:after="100"/>
      <w:ind w:left="1320"/>
    </w:pPr>
  </w:style>
  <w:style w:type="paragraph" w:styleId="1174">
    <w:name w:val="toc 8"/>
    <w:basedOn w:val="1178"/>
    <w:next w:val="1178"/>
    <w:uiPriority w:val="39"/>
    <w:unhideWhenUsed/>
    <w:pPr>
      <w:pBdr/>
      <w:spacing w:after="100"/>
      <w:ind w:left="1540"/>
    </w:pPr>
  </w:style>
  <w:style w:type="paragraph" w:styleId="1175">
    <w:name w:val="toc 9"/>
    <w:basedOn w:val="1178"/>
    <w:next w:val="1178"/>
    <w:uiPriority w:val="39"/>
    <w:unhideWhenUsed/>
    <w:pPr>
      <w:pBdr/>
      <w:spacing w:after="100"/>
      <w:ind w:left="1760"/>
    </w:pPr>
  </w:style>
  <w:style w:type="character" w:styleId="1176">
    <w:name w:val="Placeholder Text"/>
    <w:basedOn w:val="1184"/>
    <w:uiPriority w:val="99"/>
    <w:semiHidden/>
    <w:pPr>
      <w:pBdr/>
      <w:spacing/>
      <w:ind/>
    </w:pPr>
    <w:rPr>
      <w:color w:val="666666"/>
    </w:rPr>
  </w:style>
  <w:style w:type="paragraph" w:styleId="1177">
    <w:name w:val="table of figures"/>
    <w:basedOn w:val="1178"/>
    <w:next w:val="1178"/>
    <w:uiPriority w:val="99"/>
    <w:unhideWhenUsed/>
    <w:pPr>
      <w:pBdr/>
      <w:spacing w:after="0" w:afterAutospacing="0"/>
      <w:ind/>
    </w:pPr>
  </w:style>
  <w:style w:type="paragraph" w:styleId="1178" w:default="1">
    <w:name w:val="Normal"/>
    <w:qFormat/>
    <w:pPr>
      <w:pBdr/>
      <w:spacing/>
      <w:ind/>
    </w:pPr>
    <w:rPr>
      <w:rFonts w:ascii="Gill Sans MT" w:hAnsi="Gill Sans MT" w:eastAsia="Gill Sans MT" w:cs="Gill Sans MT"/>
      <w:lang w:val="pt-PT"/>
    </w:rPr>
  </w:style>
  <w:style w:type="paragraph" w:styleId="1179">
    <w:name w:val="Heading 1"/>
    <w:basedOn w:val="1178"/>
    <w:uiPriority w:val="9"/>
    <w:qFormat/>
    <w:pPr>
      <w:pBdr/>
      <w:spacing/>
      <w:ind w:left="477"/>
      <w:outlineLvl w:val="0"/>
    </w:pPr>
    <w:rPr>
      <w:rFonts w:ascii="Trebuchet MS" w:hAnsi="Trebuchet MS" w:eastAsia="Trebuchet MS" w:cs="Trebuchet MS"/>
      <w:sz w:val="30"/>
      <w:szCs w:val="30"/>
      <w:u w:val="single"/>
    </w:rPr>
  </w:style>
  <w:style w:type="paragraph" w:styleId="1180">
    <w:name w:val="Heading 2"/>
    <w:basedOn w:val="1178"/>
    <w:uiPriority w:val="9"/>
    <w:unhideWhenUsed/>
    <w:qFormat/>
    <w:pPr>
      <w:pBdr/>
      <w:spacing/>
      <w:ind w:left="717"/>
      <w:outlineLvl w:val="1"/>
    </w:pPr>
    <w:rPr>
      <w:rFonts w:ascii="Lucida Sans" w:hAnsi="Lucida Sans" w:eastAsia="Lucida Sans" w:cs="Lucida Sans"/>
      <w:sz w:val="29"/>
      <w:szCs w:val="29"/>
      <w:u w:val="single"/>
    </w:rPr>
  </w:style>
  <w:style w:type="paragraph" w:styleId="1181">
    <w:name w:val="Heading 3"/>
    <w:basedOn w:val="1178"/>
    <w:uiPriority w:val="9"/>
    <w:unhideWhenUsed/>
    <w:qFormat/>
    <w:pPr>
      <w:pBdr/>
      <w:spacing/>
      <w:ind w:left="617"/>
      <w:outlineLvl w:val="2"/>
    </w:pPr>
    <w:rPr>
      <w:rFonts w:ascii="Lucida Sans" w:hAnsi="Lucida Sans" w:eastAsia="Lucida Sans" w:cs="Lucida Sans"/>
      <w:sz w:val="26"/>
      <w:szCs w:val="26"/>
      <w:u w:val="single"/>
    </w:rPr>
  </w:style>
  <w:style w:type="paragraph" w:styleId="1182">
    <w:name w:val="Heading 4"/>
    <w:basedOn w:val="1178"/>
    <w:uiPriority w:val="9"/>
    <w:unhideWhenUsed/>
    <w:qFormat/>
    <w:pPr>
      <w:pBdr/>
      <w:spacing/>
      <w:ind/>
      <w:outlineLvl w:val="3"/>
    </w:pPr>
    <w:rPr>
      <w:rFonts w:ascii="Lucida Sans" w:hAnsi="Lucida Sans" w:eastAsia="Lucida Sans" w:cs="Lucida Sans"/>
      <w:sz w:val="25"/>
      <w:szCs w:val="25"/>
      <w:u w:val="single"/>
    </w:rPr>
  </w:style>
  <w:style w:type="paragraph" w:styleId="1183">
    <w:name w:val="Heading 5"/>
    <w:basedOn w:val="1178"/>
    <w:uiPriority w:val="9"/>
    <w:unhideWhenUsed/>
    <w:qFormat/>
    <w:pPr>
      <w:pBdr/>
      <w:spacing/>
      <w:ind/>
      <w:outlineLvl w:val="4"/>
    </w:pPr>
    <w:rPr>
      <w:sz w:val="20"/>
      <w:szCs w:val="20"/>
    </w:rPr>
  </w:style>
  <w:style w:type="character" w:styleId="1184" w:default="1">
    <w:name w:val="Default Paragraph Font"/>
    <w:uiPriority w:val="1"/>
    <w:semiHidden/>
    <w:unhideWhenUsed/>
    <w:pPr>
      <w:pBdr/>
      <w:spacing/>
      <w:ind/>
    </w:pPr>
  </w:style>
  <w:style w:type="table" w:styleId="118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86" w:default="1">
    <w:name w:val="No List"/>
    <w:uiPriority w:val="99"/>
    <w:semiHidden/>
    <w:unhideWhenUsed/>
    <w:pPr>
      <w:pBdr/>
      <w:spacing/>
      <w:ind/>
    </w:pPr>
  </w:style>
  <w:style w:type="table" w:styleId="1187" w:customStyle="1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88">
    <w:name w:val="Body Text"/>
    <w:basedOn w:val="1178"/>
    <w:link w:val="1207"/>
    <w:qFormat/>
    <w:pPr>
      <w:pBdr/>
      <w:spacing/>
      <w:ind/>
    </w:pPr>
    <w:rPr>
      <w:sz w:val="18"/>
      <w:szCs w:val="18"/>
    </w:rPr>
  </w:style>
  <w:style w:type="paragraph" w:styleId="1189">
    <w:name w:val="List Paragraph"/>
    <w:basedOn w:val="1178"/>
    <w:uiPriority w:val="1"/>
    <w:qFormat/>
    <w:pPr>
      <w:pBdr/>
      <w:spacing/>
      <w:ind/>
    </w:pPr>
  </w:style>
  <w:style w:type="paragraph" w:styleId="1190" w:customStyle="1">
    <w:name w:val="Table Paragraph"/>
    <w:basedOn w:val="1178"/>
    <w:uiPriority w:val="1"/>
    <w:qFormat/>
    <w:pPr>
      <w:pBdr/>
      <w:spacing/>
      <w:ind/>
    </w:pPr>
  </w:style>
  <w:style w:type="paragraph" w:styleId="1191">
    <w:name w:val="Header"/>
    <w:basedOn w:val="1178"/>
    <w:link w:val="1192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1192" w:customStyle="1">
    <w:name w:val="Cabeçalho Char"/>
    <w:basedOn w:val="1184"/>
    <w:link w:val="1191"/>
    <w:pPr>
      <w:pBdr/>
      <w:spacing/>
      <w:ind/>
    </w:pPr>
    <w:rPr>
      <w:rFonts w:ascii="Gill Sans MT" w:hAnsi="Gill Sans MT" w:eastAsia="Gill Sans MT" w:cs="Gill Sans MT"/>
      <w:lang w:val="pt-PT"/>
    </w:rPr>
  </w:style>
  <w:style w:type="paragraph" w:styleId="1193">
    <w:name w:val="Footer"/>
    <w:basedOn w:val="1178"/>
    <w:link w:val="1194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1194" w:customStyle="1">
    <w:name w:val="Rodapé Char"/>
    <w:basedOn w:val="1184"/>
    <w:link w:val="1193"/>
    <w:uiPriority w:val="99"/>
    <w:pPr>
      <w:pBdr/>
      <w:spacing/>
      <w:ind/>
    </w:pPr>
    <w:rPr>
      <w:rFonts w:ascii="Gill Sans MT" w:hAnsi="Gill Sans MT" w:eastAsia="Gill Sans MT" w:cs="Gill Sans MT"/>
      <w:lang w:val="pt-PT"/>
    </w:rPr>
  </w:style>
  <w:style w:type="character" w:styleId="1195">
    <w:name w:val="Hyperlink"/>
    <w:basedOn w:val="1184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1196">
    <w:name w:val="Unresolved Mention"/>
    <w:basedOn w:val="118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197">
    <w:name w:val="TOC Heading"/>
    <w:basedOn w:val="1179"/>
    <w:next w:val="1178"/>
    <w:uiPriority w:val="39"/>
    <w:unhideWhenUsed/>
    <w:qFormat/>
    <w:pPr>
      <w:keepNext w:val="true"/>
      <w:keepLines w:val="true"/>
      <w:widowControl w:val="true"/>
      <w:pBdr/>
      <w:spacing w:before="240" w:line="259" w:lineRule="auto"/>
      <w:ind w:left="0"/>
      <w:outlineLvl w:val="9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  <w:u w:val="none"/>
      <w:lang w:val="pt-BR" w:eastAsia="pt-BR"/>
    </w:rPr>
  </w:style>
  <w:style w:type="paragraph" w:styleId="1198">
    <w:name w:val="Normal (Web)"/>
    <w:basedOn w:val="1178"/>
    <w:uiPriority w:val="99"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val="pt-BR" w:eastAsia="pt-BR"/>
    </w:rPr>
  </w:style>
  <w:style w:type="paragraph" w:styleId="1199">
    <w:name w:val="footnote text"/>
    <w:basedOn w:val="1178"/>
    <w:link w:val="1200"/>
    <w:pPr>
      <w:widowControl w:val="true"/>
      <w:pBdr/>
      <w:spacing/>
      <w:ind/>
    </w:pPr>
    <w:rPr>
      <w:rFonts w:ascii="Times New Roman" w:hAnsi="Times New Roman" w:eastAsia="Times New Roman" w:cs="Times New Roman"/>
      <w:sz w:val="20"/>
      <w:szCs w:val="20"/>
      <w:lang w:val="pt-BR" w:eastAsia="pt-BR"/>
    </w:rPr>
  </w:style>
  <w:style w:type="character" w:styleId="1200" w:customStyle="1">
    <w:name w:val="Texto de nota de rodapé Char"/>
    <w:basedOn w:val="1184"/>
    <w:link w:val="1199"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pt-BR" w:eastAsia="pt-BR"/>
    </w:rPr>
  </w:style>
  <w:style w:type="character" w:styleId="1201">
    <w:name w:val="footnote reference"/>
    <w:uiPriority w:val="99"/>
    <w:pPr>
      <w:pBdr/>
      <w:spacing/>
      <w:ind/>
    </w:pPr>
    <w:rPr>
      <w:vertAlign w:val="superscript"/>
    </w:rPr>
  </w:style>
  <w:style w:type="character" w:styleId="1202">
    <w:name w:val="Strong"/>
    <w:uiPriority w:val="22"/>
    <w:qFormat/>
    <w:pPr>
      <w:pBdr/>
      <w:spacing/>
      <w:ind/>
    </w:pPr>
    <w:rPr>
      <w:b/>
      <w:bCs/>
    </w:rPr>
  </w:style>
  <w:style w:type="paragraph" w:styleId="1203">
    <w:name w:val="Quote"/>
    <w:basedOn w:val="1178"/>
    <w:next w:val="1178"/>
    <w:link w:val="1204"/>
    <w:uiPriority w:val="29"/>
    <w:qFormat/>
    <w:pPr>
      <w:widowControl w:val="true"/>
      <w:pBdr/>
      <w:spacing w:after="160" w:before="200"/>
      <w:ind w:right="864" w:left="864"/>
      <w:jc w:val="center"/>
    </w:pPr>
    <w:rPr>
      <w:rFonts w:ascii="Times New Roman" w:hAnsi="Times New Roman" w:eastAsia="Times New Roman" w:cs="Times New Roman"/>
      <w:i/>
      <w:iCs/>
      <w:color w:val="404040"/>
      <w:sz w:val="24"/>
      <w:szCs w:val="24"/>
      <w:lang w:val="pt-BR" w:eastAsia="pt-BR"/>
    </w:rPr>
  </w:style>
  <w:style w:type="character" w:styleId="1204" w:customStyle="1">
    <w:name w:val="Citação Char"/>
    <w:basedOn w:val="1184"/>
    <w:link w:val="1203"/>
    <w:uiPriority w:val="29"/>
    <w:pPr>
      <w:pBdr/>
      <w:spacing/>
      <w:ind/>
    </w:pPr>
    <w:rPr>
      <w:rFonts w:ascii="Times New Roman" w:hAnsi="Times New Roman" w:eastAsia="Times New Roman" w:cs="Times New Roman"/>
      <w:i/>
      <w:iCs/>
      <w:color w:val="404040"/>
      <w:sz w:val="24"/>
      <w:szCs w:val="24"/>
      <w:lang w:val="pt-BR" w:eastAsia="pt-BR"/>
    </w:rPr>
  </w:style>
  <w:style w:type="paragraph" w:styleId="1205" w:customStyle="1">
    <w:name w:val="paragrafopadrao"/>
    <w:basedOn w:val="1178"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val="pt-BR" w:eastAsia="pt-BR"/>
    </w:rPr>
  </w:style>
  <w:style w:type="paragraph" w:styleId="1206" w:customStyle="1">
    <w:name w:val="docdata"/>
    <w:basedOn w:val="1178"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val="pt-BR" w:eastAsia="pt-BR"/>
    </w:rPr>
  </w:style>
  <w:style w:type="character" w:styleId="1207" w:customStyle="1">
    <w:name w:val="Corpo de texto Char"/>
    <w:link w:val="1188"/>
    <w:pPr>
      <w:pBdr/>
      <w:spacing/>
      <w:ind/>
    </w:pPr>
    <w:rPr>
      <w:rFonts w:ascii="Gill Sans MT" w:hAnsi="Gill Sans MT" w:eastAsia="Gill Sans MT" w:cs="Gill Sans MT"/>
      <w:sz w:val="18"/>
      <w:szCs w:val="18"/>
      <w:lang w:val="pt-PT"/>
    </w:rPr>
  </w:style>
  <w:style w:type="paragraph" w:styleId="1208">
    <w:name w:val="Plain Text"/>
    <w:basedOn w:val="1178"/>
    <w:link w:val="1209"/>
    <w:uiPriority w:val="99"/>
    <w:pPr>
      <w:widowControl w:val="true"/>
      <w:pBdr/>
      <w:spacing/>
      <w:ind/>
    </w:pPr>
    <w:rPr>
      <w:rFonts w:ascii="Courier New" w:hAnsi="Courier New" w:eastAsia="Times New Roman" w:cs="Times New Roman"/>
      <w:sz w:val="20"/>
      <w:szCs w:val="20"/>
      <w:lang w:val="pt-BR" w:eastAsia="pt-BR"/>
    </w:rPr>
  </w:style>
  <w:style w:type="character" w:styleId="1209" w:customStyle="1">
    <w:name w:val="Texto sem Formatação Char"/>
    <w:basedOn w:val="1184"/>
    <w:link w:val="1208"/>
    <w:uiPriority w:val="99"/>
    <w:pPr>
      <w:pBdr/>
      <w:spacing/>
      <w:ind/>
    </w:pPr>
    <w:rPr>
      <w:rFonts w:ascii="Courier New" w:hAnsi="Courier New" w:eastAsia="Times New Roman" w:cs="Times New Roman"/>
      <w:sz w:val="20"/>
      <w:szCs w:val="20"/>
      <w:lang w:val="pt-BR" w:eastAsia="pt-B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7DF60-CF9B-4E2C-8087-8C87C612D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HONORÁRIOS</dc:title>
  <dc:creator>Sandra</dc:creator>
  <cp:revision>21</cp:revision>
  <dcterms:created xsi:type="dcterms:W3CDTF">2025-11-12T11:55:00Z</dcterms:created>
  <dcterms:modified xsi:type="dcterms:W3CDTF">2026-04-28T13:53:40Z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2024-11-07T00:00:00Z</vt:filetime>
  </property>
  <property fmtid="{D5CDD505-2E9C-101B-9397-08002B2CF9AE}" pid="3" name="LastSaved">
    <vt:filetime>2024-11-07T00:00:00Z</vt:filetime>
  </property>
  <property fmtid="{D5CDD505-2E9C-101B-9397-08002B2CF9AE}" pid="4" name="Producer">
    <vt:lpwstr>GPL Ghostscript 9.26</vt:lpwstr>
  </property>
</Properties>
</file>