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B18C5E">
      <w:pPr>
        <w:spacing w:before="0" w:after="320" w:line="760" w:lineRule="exact"/>
        <w:jc w:val="center"/>
      </w:pPr>
      <w:r>
        <w:rPr>
          <w:rFonts w:ascii="方正小标宋简体" w:hAnsi="方正小标宋简体" w:eastAsia="方正小标宋简体"/>
          <w:b w:val="0"/>
          <w:sz w:val="44"/>
        </w:rPr>
        <w:t>关于“培小e”培训管理智能体建设进展情况的报告</w:t>
      </w:r>
    </w:p>
    <w:p w14:paraId="37A2025F">
      <w:pPr>
        <w:spacing w:before="0" w:after="0" w:line="560" w:lineRule="exact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公司领导：</w:t>
      </w:r>
    </w:p>
    <w:p w14:paraId="591F5373">
      <w:pPr>
        <w:spacing w:before="0" w:after="0" w:line="560" w:lineRule="exact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按照公司数字化转型工作部署，现就“培小e”培训管理智能体建设进展情况报告如下。</w:t>
      </w:r>
    </w:p>
    <w:p w14:paraId="29628BBB">
      <w:pPr>
        <w:spacing w:before="120" w:after="0" w:line="560" w:lineRule="exact"/>
        <w:ind w:firstLine="640"/>
        <w:jc w:val="both"/>
      </w:pPr>
      <w:r>
        <w:rPr>
          <w:rFonts w:ascii="黑体" w:hAnsi="黑体" w:eastAsia="黑体"/>
          <w:b w:val="0"/>
          <w:sz w:val="32"/>
        </w:rPr>
        <w:t>一、工作进展情况</w:t>
      </w:r>
    </w:p>
    <w:p w14:paraId="74AB4B76">
      <w:pPr>
        <w:spacing w:before="0" w:after="0" w:line="560" w:lineRule="exact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（一）后端统一承担数据管理和业务接口处理。人员信息、培训计划、名额分配、培训记录及通用规则等业务数据由后端管理。Skill 根据业务需要向后端接口传递查询条件、筛选范围、分页和数据更新等参数，由后端内置 SQL 完成数据查询与保存；Skill 不直接连接数据库，也不在运行时拼接或执行 SQL。新增、修改和查询均通过接口办理，删除按标记停用的方式保留数据；批量处理设有数量限制，接口认证信息按项目配置读取。</w:t>
      </w:r>
    </w:p>
    <w:p w14:paraId="40262766">
      <w:pPr>
        <w:spacing w:before="0" w:after="0" w:line="560" w:lineRule="exact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（二）Skill 按固定流程处理培训业务需求。用户提出数据导入、查询、维护、名单建议或看板统计等需求后，Skill 根据内置说明进入对应流程。流程固化了任务判断、资料读取、规则检查、后端接口参数组织、结果校验和文件生成步骤；用户只需描述业务需求，无需输入命令或编写代码。具体处理程序随 Skill 一并配置，按既定流程执行，不由模型临时拼写或修改程序。</w:t>
      </w:r>
    </w:p>
    <w:p w14:paraId="5E70B8C8">
      <w:pPr>
        <w:spacing w:before="0" w:after="0" w:line="560" w:lineRule="exact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（三）表格导入、导出由 Skill 内置程序按固定流程完成。导入时自动检查工作簿和工作表，识别表头并匹配人员、计划、名额、培训记录等字段；对日期、期次及编号等内容进行格式统一，对必填信息缺失的行提示原因并跳过。名额交叉表会按班次、期次和单位整理为逐条记录，再通过后端接口分批写入。导出时按预设字段顺序生成 Excel；人员、计划、记录和规则等导入模板随 Skill 内置，包含规范表头、字段说明及必要示例。处理结果和提示统一保存到“输出”目录。</w:t>
      </w:r>
    </w:p>
    <w:p w14:paraId="1FDF5EC1">
      <w:pPr>
        <w:spacing w:before="0" w:after="0" w:line="560" w:lineRule="exact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（四）建议名单按 Skill 内置规则自动筛选和排序。系统结合培训计划、人员信息、既往培训记录和通用规则，先检查年龄、任职条件、重复参训及培训时段冲突等限制，再对符合条件人员按基层经历、累计学时和单位优先等条件评分排序，并结合单位名额生成建议名单。规则按预设优先级依次执行；无法对应的规则会提示核验，不自动猜测。结果同时列出建议人员、未入选原因及顺延人员，便于复核。</w:t>
      </w:r>
    </w:p>
    <w:p w14:paraId="1FDF5EC1">
      <w:pPr>
        <w:keepLines/>
        <w:spacing w:before="0" w:after="0" w:line="560" w:lineRule="exact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（五）建议名单和网页看板使用 Skill 内置模板生成。建议名单导出为 Excel，分列建议人员、剔除与顺延情况及期次汇总。看板根据后端查询结果统计年度、级别、期次、单位和培训记录等指标，并填入内置网页模板形成页面；页面结构和图表位置预先设置，程序自动填入数据并处理特殊字符，保证页面正常展示。所有文件统一保存至“输出”目录。</w:t>
      </w:r>
    </w:p>
    <w:p w14:paraId="278C3526">
      <w:pPr>
        <w:keepNext/>
        <w:spacing w:before="120" w:after="0" w:line="560" w:lineRule="exact"/>
        <w:ind w:firstLine="640"/>
        <w:jc w:val="both"/>
      </w:pPr>
      <w:r>
        <w:rPr>
          <w:rFonts w:ascii="黑体" w:hAnsi="黑体" w:eastAsia="黑体"/>
          <w:b w:val="0"/>
          <w:sz w:val="32"/>
        </w:rPr>
        <w:t>二、存在的疑问</w:t>
      </w:r>
    </w:p>
    <w:p w14:paraId="4323AEDF">
      <w:pPr>
        <w:spacing w:before="0" w:after="0" w:line="520" w:lineRule="exact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（一）交互规范有待明确。通过自然语言提问的格式是否需要统一固定，尚需进一步研究确定。</w:t>
      </w:r>
    </w:p>
    <w:p w14:paraId="24E0B9AB">
      <w:pPr>
        <w:spacing w:before="0" w:after="0" w:line="520" w:lineRule="exact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（二）模板字段有待完善。数据导入模板的字段设置需进一步调整优化，力求各类模板统一规范。</w:t>
      </w:r>
    </w:p>
    <w:p w14:paraId="18BB3885">
      <w:pPr>
        <w:spacing w:before="0" w:after="0" w:line="520" w:lineRule="exact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 xml:space="preserve">（三）文件识别有待验证。任免文件的自动识别功能，尚需收集实际文件验证其可行性。</w:t>
      </w:r>
    </w:p>
    <w:p w14:paraId="79046B9F">
      <w:pPr>
        <w:keepNext/>
        <w:spacing w:before="0" w:after="0" w:line="520" w:lineRule="exact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（四）规则触发有待检验。通用规则库中各项规则能否</w:t>
      </w:r>
      <w:bookmarkStart w:id="0" w:name="_GoBack"/>
      <w:bookmarkEnd w:id="0"/>
      <w:r>
        <w:rPr>
          <w:rFonts w:ascii="仿宋_GB2312" w:hAnsi="仿宋_GB2312" w:eastAsia="仿宋_GB2312"/>
          <w:b w:val="0"/>
          <w:sz w:val="32"/>
        </w:rPr>
        <w:t>完整触发，尚需开展专项验证工作。</w:t>
      </w:r>
    </w:p>
    <w:p w14:paraId="71EC30E5">
      <w:pPr>
        <w:spacing w:before="0" w:after="0" w:line="520" w:lineRule="exact"/>
        <w:ind w:firstLine="640"/>
        <w:jc w:val="both"/>
        <w:rPr>
          <w:rFonts w:ascii="仿宋_GB2312" w:hAnsi="仿宋_GB2312" w:eastAsia="仿宋_GB2312"/>
          <w:b w:val="0"/>
          <w:sz w:val="32"/>
        </w:rPr>
      </w:pPr>
      <w:r>
        <w:rPr>
          <w:rFonts w:ascii="仿宋_GB2312" w:hAnsi="仿宋_GB2312" w:eastAsia="仿宋_GB2312"/>
          <w:b w:val="0"/>
          <w:sz w:val="32"/>
        </w:rPr>
        <w:t>特此报告。</w:t>
      </w:r>
    </w:p>
    <w:sectPr>
      <w:pgSz w:w="11906" w:h="16838"/>
      <w:pgMar w:top="2098" w:right="1474" w:bottom="1984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简体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EF1A15"/>
    <w:rsid w:val="05F31C91"/>
    <w:rsid w:val="0E975954"/>
    <w:rsid w:val="0F297DF6"/>
    <w:rsid w:val="155B33AF"/>
    <w:rsid w:val="1F2962CC"/>
    <w:rsid w:val="21B52099"/>
    <w:rsid w:val="256718FC"/>
    <w:rsid w:val="26377520"/>
    <w:rsid w:val="28C332ED"/>
    <w:rsid w:val="43EE526A"/>
    <w:rsid w:val="44A973E3"/>
    <w:rsid w:val="4ABD5996"/>
    <w:rsid w:val="656C203B"/>
    <w:rsid w:val="6A8E783E"/>
    <w:rsid w:val="755E374E"/>
    <w:rsid w:val="77195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1294</Words>
  <Characters>1354</Characters>
  <Lines>0</Lines>
  <Paragraphs>0</Paragraphs>
  <TotalTime>2</TotalTime>
  <ScaleCrop>false</ScaleCrop>
  <LinksUpToDate>false</LinksUpToDate>
  <CharactersWithSpaces>1382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数据化工作部</dc:creator>
  <cp:lastModifiedBy>和煦</cp:lastModifiedBy>
  <dcterms:modified xsi:type="dcterms:W3CDTF">2026-10-12T08:34:51Z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eyJoZGlkIjoiMzY3NjJkYWNlODQ5YmU0OTJmYmI3ZTVhNjNiYmI0YzEiLCJ1c2VySWQiOiI5MTgyMDM4NjUifQ==</vt:lpwstr>
  </property>
  <property fmtid="{D5CDD505-2E9C-101B-9397-08002B2CF9AE}" pid="3" name="KSOProductBuildVer">
    <vt:lpwstr>2052-12.1.0.21915</vt:lpwstr>
  </property>
  <property fmtid="{D5CDD505-2E9C-101B-9397-08002B2CF9AE}" pid="4" name="ICV">
    <vt:lpwstr>CD98B70215C04EA5857A710D8782A058_12</vt:lpwstr>
  </property>
</Properties>
</file>