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2026年9月23日安全承载力分析报告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highlight w:val="none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一、工作计划概况</w:t>
      </w:r>
    </w:p>
    <w:p>
      <w:pPr>
        <w:pStyle w:val="Style15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"/>
        </w:rPr>
        <w:t>2026年9月23日，公司各单位共安排日计划736项，其中二级风险作业0项、三级风险作业4项。三级及以上风险工作明细表如下：</w:t>
      </w:r>
    </w:p>
    <w:tbl>
      <w:tblPr>
        <w:tblW w:w="27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460"/>
        <w:gridCol w:w="460"/>
        <w:gridCol w:w="460"/>
        <w:gridCol w:w="460"/>
        <w:gridCol w:w="460"/>
        <w:gridCol w:w="460"/>
      </w:tblGrid>
      <w:tr>
        <w:trPr>
          <w:trHeight w:val="838" w:hRule="atLeast"/>
          <w:tblHeader/>
        </w:trPr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作业内容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风险等级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highlight w:val="none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工作负责人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highlight w:val="none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班组成员人数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蔚蓝海岸二期35kV输变电工程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</w:tr>
    </w:tbl>
    <w:p>
      <w:pPr>
        <w:pStyle w:val="Style15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190500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二、各单位承载力分析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ascii="方正仿宋_GBK" w:hAnsi="方正仿宋_GBK" w:eastAsia="方正仿宋_GBK" w:cs="方正仿宋_GBK"/>
          <w:b w:val="false"/>
          <w:bCs w:val="false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b w:val="false"/>
          <w:bCs w:val="false"/>
          <w:lang w:val="en-US" w:eastAsia="zh-CN"/>
        </w:rPr>
        <w:t>1.</w:t>
      </w:r>
      <w:r>
        <w:rPr>
          <w:b w:val="false"/>
          <w:bCs w:val="false"/>
          <w:lang w:val="en-US" w:eastAsia="zh-CN"/>
        </w:rPr>
        <w:t>日作业</w:t>
      </w:r>
      <w:r>
        <w:rPr>
          <w:rFonts w:ascii="方正仿宋_GBK" w:hAnsi="方正仿宋_GBK"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承载力如</w:t>
      </w:r>
      <w:r>
        <w:rPr>
          <w:rFonts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图</w:t>
      </w:r>
      <w:r>
        <w:rPr>
          <w:rFonts w:ascii="方正仿宋_GBK" w:hAnsi="方正仿宋_GBK"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所示</w:t>
      </w:r>
      <w:r>
        <w:rPr>
          <w:rFonts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/>
        <w:drawing>
          <wp:inline distT="0" distB="0" distL="0" distR="0">
            <wp:extent cx="5524500" cy="150368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电缆中心作业承载力满载（90%以上），主要开展/等工作。平度公司作业承载力重载（75%以上），主要开展作业计划23、国网山东青岛平度供电公司2026年智能表业扩新增、作业计划1877、国网山东青岛平度供电公司2026年智能电能表功能性更换、作业计划2982、国网山东青岛平度供电公司2026年智能电能表周期轮换、作业计划3304、作业计划3554等工作。</w:t>
      </w:r>
    </w:p>
    <w:p>
      <w:pPr>
        <w:pStyle w:val="HY-"/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"/>
        </w:rPr>
        <w:t>2.本日管理承载力为17%，现场管理人员满足作业管控需求。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150368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pStyle w:val="HY-"/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当日日计划736项，三级风险4项。单位承载力居前的是电缆中心117.4%、平度公司76.5%、即墨公司55.8%。峰值单位电缆中心为117.4%，已达满载，请压缩该单位同期作业。管理承载力为17%。请各单位按实际承载力安排现场作业。</w:t>
      </w:r>
    </w:p>
    <w:p>
      <w:pPr>
        <w:pStyle w:val="HY-"/>
        <w:ind w:hanging="0" w:end="0"/>
        <w:rPr>
          <w:lang w:val="en-US" w:eastAsia="zh-CN"/>
        </w:rPr>
      </w:pPr>
      <w:r>
        <w:rPr>
          <w:lang w:val="en-US" w:eastAsia="zh-CN"/>
        </w:rPr>
      </w:r>
    </w:p>
    <w:sectPr>
      <w:footerReference w:type="default" r:id="rId3"/>
      <w:type w:val="nextPage"/>
      <w:pgSz w:orient="landscape"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86"/>
    <w:family w:val="auto"/>
    <w:pitch w:val="default"/>
  </w:font>
  <w:font w:name="方正楷体_GBK">
    <w:charset w:val="86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仿宋_GB2312">
    <w:charset w:val="86"/>
    <w:family w:val="modern"/>
    <w:pitch w:val="default"/>
  </w:font>
  <w:font w:name="宋体">
    <w:charset w:val="86"/>
    <w:family w:val="auto"/>
    <w:pitch w:val="default"/>
  </w:font>
  <w:font w:name="Calibri">
    <w:charset w:val="00" w:characterSet="windows-1252"/>
    <w:family w:val="swiss"/>
    <w:pitch w:val="default"/>
  </w:font>
  <w:font w:name="方正小标宋_GBK">
    <w:charset w:val="86"/>
    <w:family w:val="auto"/>
    <w:pitch w:val="default"/>
  </w:font>
  <w:font w:name="方正黑体_GBK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</w:r>
    <w:r>
      <mc:AlternateContent>
        <mc:Choice Requires="wps">
          <w:drawing>
            <wp:anchor behindDoc="1" distT="0" distB="0" distL="114935" distR="114935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9570"/>
              <wp:effectExtent l="0" t="0" r="0" b="0"/>
              <wp:wrapNone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240" cy="36957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2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pt;height:29.1pt;mso-wrap-distance-left:9.05pt;mso-wrap-distance-right:9.05pt;mso-wrap-distance-top:0pt;mso-wrap-distance-bottom:0pt;margin-top:0pt;mso-position-vertical-relative:text;margin-left:180.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2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bidi w:val="0"/>
      <w:spacing w:lineRule="exact" w:line="58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next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" w:hAnsi="仿宋_GB2312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next w:val="Style17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Style17">
    <w:name w:val="正文首行缩进"/>
    <w:basedOn w:val="BodyText"/>
    <w:next w:val="Normal"/>
    <w:qFormat/>
    <w:pPr>
      <w:ind w:firstLine="420" w:start="0" w:end="0"/>
    </w:pPr>
    <w:rPr/>
  </w:style>
  <w:style w:type="paragraph" w:styleId="Header">
    <w:name w:val="Header"/>
    <w:basedOn w:val="Normal"/>
    <w:next w:val="Footer"/>
    <w:pPr>
      <w:pBdr/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"/>
    </w:rPr>
  </w:style>
  <w:style w:type="paragraph" w:styleId="Style18">
    <w:name w:val="普通(网站)"/>
    <w:basedOn w:val="Normal"/>
    <w:qFormat/>
    <w:pPr/>
    <w:rPr>
      <w:sz w:val="24"/>
    </w:rPr>
  </w:style>
  <w:style w:type="paragraph" w:styleId="Style19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20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1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2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3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电缆中</c:v>
                </c:pt>
                <c:pt idx="1">
                  <c:v>平度公</c:v>
                </c:pt>
                <c:pt idx="2">
                  <c:v>即墨公</c:v>
                </c:pt>
                <c:pt idx="3">
                  <c:v>莱西公</c:v>
                </c:pt>
                <c:pt idx="4">
                  <c:v>变电运</c:v>
                </c:pt>
                <c:pt idx="5">
                  <c:v>输电中</c:v>
                </c:pt>
                <c:pt idx="6">
                  <c:v>李沧中</c:v>
                </c:pt>
                <c:pt idx="7">
                  <c:v>安装公</c:v>
                </c:pt>
                <c:pt idx="8">
                  <c:v>城阳中</c:v>
                </c:pt>
                <c:pt idx="9">
                  <c:v>崂山中</c:v>
                </c:pt>
                <c:pt idx="10">
                  <c:v>变电检</c:v>
                </c:pt>
                <c:pt idx="11">
                  <c:v>黄岛公</c:v>
                </c:pt>
                <c:pt idx="12">
                  <c:v>胶州公</c:v>
                </c:pt>
                <c:pt idx="13">
                  <c:v>市北中</c:v>
                </c:pt>
                <c:pt idx="14">
                  <c:v>市南中</c:v>
                </c:pt>
                <c:pt idx="15">
                  <c:v>带电中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117</c:v>
                </c:pt>
                <c:pt idx="1">
                  <c:v>76</c:v>
                </c:pt>
                <c:pt idx="2">
                  <c:v>56</c:v>
                </c:pt>
                <c:pt idx="3">
                  <c:v>47</c:v>
                </c:pt>
                <c:pt idx="4">
                  <c:v>44</c:v>
                </c:pt>
                <c:pt idx="5">
                  <c:v>43</c:v>
                </c:pt>
                <c:pt idx="6">
                  <c:v>24</c:v>
                </c:pt>
                <c:pt idx="7">
                  <c:v>23</c:v>
                </c:pt>
                <c:pt idx="8">
                  <c:v>22</c:v>
                </c:pt>
                <c:pt idx="9">
                  <c:v>20</c:v>
                </c:pt>
                <c:pt idx="10">
                  <c:v>18</c:v>
                </c:pt>
                <c:pt idx="11">
                  <c:v>16</c:v>
                </c:pt>
                <c:pt idx="12">
                  <c:v>15</c:v>
                </c:pt>
                <c:pt idx="13">
                  <c:v>14</c:v>
                </c:pt>
                <c:pt idx="14">
                  <c:v>14</c:v>
                </c:pt>
                <c:pt idx="15">
                  <c:v>4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25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4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1ADD9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CA9D7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8A6D5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3A2D3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6E9ED1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A9ACF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597CD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093CA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B8FC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78CC6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288C4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981C0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Sheet1!$A$2:$A$18</c:f>
              <c:strCache>
                <c:ptCount val="17"/>
                <c:pt idx="0">
                  <c:v>巡视</c:v>
                </c:pt>
                <c:pt idx="1">
                  <c:v>装表接</c:v>
                </c:pt>
                <c:pt idx="2">
                  <c:v>大修</c:v>
                </c:pt>
                <c:pt idx="3">
                  <c:v>配农网</c:v>
                </c:pt>
                <c:pt idx="4">
                  <c:v>倒闸</c:v>
                </c:pt>
                <c:pt idx="5">
                  <c:v>带电作</c:v>
                </c:pt>
                <c:pt idx="6">
                  <c:v>技改</c:v>
                </c:pt>
                <c:pt idx="7">
                  <c:v>其他</c:v>
                </c:pt>
                <c:pt idx="8">
                  <c:v>无人机</c:v>
                </c:pt>
                <c:pt idx="9">
                  <c:v>试验检</c:v>
                </c:pt>
                <c:pt idx="10">
                  <c:v>树木修</c:v>
                </c:pt>
                <c:pt idx="11">
                  <c:v>业扩工</c:v>
                </c:pt>
                <c:pt idx="12">
                  <c:v>迁改工</c:v>
                </c:pt>
                <c:pt idx="13">
                  <c:v>输变电</c:v>
                </c:pt>
                <c:pt idx="14">
                  <c:v>常规检</c:v>
                </c:pt>
                <c:pt idx="15">
                  <c:v>消缺</c:v>
                </c:pt>
                <c:pt idx="16">
                  <c:v>通信检</c:v>
                </c:pt>
              </c:strCache>
            </c:strRef>
          </c:cat>
          <c:val>
            <c:numRef>
              <c:f>Sheet1!$B$2:$B$18</c:f>
              <c:numCache>
                <c:formatCode>0</c:formatCode>
                <c:ptCount val="17"/>
                <c:pt idx="0">
                  <c:v>180</c:v>
                </c:pt>
                <c:pt idx="1">
                  <c:v>147</c:v>
                </c:pt>
                <c:pt idx="2">
                  <c:v>64</c:v>
                </c:pt>
                <c:pt idx="3">
                  <c:v>31</c:v>
                </c:pt>
                <c:pt idx="4">
                  <c:v>22</c:v>
                </c:pt>
                <c:pt idx="5">
                  <c:v>22</c:v>
                </c:pt>
                <c:pt idx="6">
                  <c:v>17</c:v>
                </c:pt>
                <c:pt idx="7">
                  <c:v>9</c:v>
                </c:pt>
                <c:pt idx="8">
                  <c:v>8</c:v>
                </c:pt>
                <c:pt idx="9">
                  <c:v>6</c:v>
                </c:pt>
                <c:pt idx="10">
                  <c:v>4</c:v>
                </c:pt>
                <c:pt idx="11">
                  <c:v>4</c:v>
                </c:pt>
                <c:pt idx="12">
                  <c:v>4</c:v>
                </c:pt>
                <c:pt idx="13">
                  <c:v>3</c:v>
                </c:pt>
                <c:pt idx="14">
                  <c:v>2</c:v>
                </c:pt>
                <c:pt idx="15">
                  <c:v>1</c:v>
                </c:pt>
                <c:pt idx="16">
                  <c:v>1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5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项</a:t>
                </a:r>
                <a:endParaRPr lang="zh-CN" sz="1200"/>
              </a:p>
            </c:rich>
          </c:tx>
          <c:layout/>
          <c:overlay val="0"/>
        </c:title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市北中</c:v>
                </c:pt>
                <c:pt idx="1">
                  <c:v>城阳中</c:v>
                </c:pt>
                <c:pt idx="2">
                  <c:v>变电运</c:v>
                </c:pt>
                <c:pt idx="3">
                  <c:v>李沧中</c:v>
                </c:pt>
                <c:pt idx="4">
                  <c:v>市南中</c:v>
                </c:pt>
                <c:pt idx="5">
                  <c:v>崂山中</c:v>
                </c:pt>
                <c:pt idx="6">
                  <c:v>黄岛公</c:v>
                </c:pt>
                <c:pt idx="7">
                  <c:v>输电中</c:v>
                </c:pt>
                <c:pt idx="8">
                  <c:v>胶州公</c:v>
                </c:pt>
                <c:pt idx="9">
                  <c:v>安装公</c:v>
                </c:pt>
                <c:pt idx="10">
                  <c:v>电缆中</c:v>
                </c:pt>
                <c:pt idx="11">
                  <c:v>变电检</c:v>
                </c:pt>
                <c:pt idx="12">
                  <c:v>平度公</c:v>
                </c:pt>
                <c:pt idx="13">
                  <c:v>莱西公</c:v>
                </c:pt>
                <c:pt idx="14">
                  <c:v>即墨公</c:v>
                </c:pt>
                <c:pt idx="15">
                  <c:v>其他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61</c:v>
                </c:pt>
                <c:pt idx="1">
                  <c:v>58</c:v>
                </c:pt>
                <c:pt idx="2">
                  <c:v>48</c:v>
                </c:pt>
                <c:pt idx="3">
                  <c:v>47</c:v>
                </c:pt>
                <c:pt idx="4">
                  <c:v>39</c:v>
                </c:pt>
                <c:pt idx="5">
                  <c:v>38</c:v>
                </c:pt>
                <c:pt idx="6">
                  <c:v>23</c:v>
                </c:pt>
                <c:pt idx="7">
                  <c:v>21</c:v>
                </c:pt>
                <c:pt idx="8">
                  <c:v>16</c:v>
                </c:pt>
                <c:pt idx="9">
                  <c:v>15</c:v>
                </c:pt>
                <c:pt idx="10">
                  <c:v>14</c:v>
                </c:pt>
                <c:pt idx="11">
                  <c:v>11</c:v>
                </c:pt>
                <c:pt idx="12">
                  <c:v>11</c:v>
                </c:pt>
                <c:pt idx="13">
                  <c:v>10</c:v>
                </c:pt>
                <c:pt idx="14">
                  <c:v>10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25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admin</cp:lastModifiedBy>
  <cp:lastPrinted>2026-05-13T13:01:00Z</cp:lastPrinted>
  <dcterms:modified xsi:type="dcterms:W3CDTF">2026-09-03T10:43:49Z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69240539553B40329F8520B6E07DE905_13</vt:lpwstr>
  </property>
  <property fmtid="{D5CDD505-2E9C-101B-9397-08002B2CF9AE}" pid="3" name="KSOProductBuildVer">
    <vt:lpwstr>2052-12.8.2.19830</vt:lpwstr>
  </property>
</Properties>
</file>