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xlsx" ContentType="application/vnd.openxmlformats-officedocument.spreadsheetml.sheet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  <Override PartName="/word/charts/chart2.xml" ContentType="application/vnd.openxmlformats-officedocument.drawingml.chart+xml"/>
  <Override PartName="/word/embeddings/Microsoft_Excel_Worksheet2.xlsx" ContentType="application/vnd.openxmlformats-officedocument.spreadsheetml.sheet"/>
  <Override PartName="/word/charts/chart3.xml" ContentType="application/vnd.openxmlformats-officedocument.drawingml.chart+xml"/>
  <Override PartName="/word/embeddings/Microsoft_Excel_Worksheet3.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ascii="方正小标宋_GBK" w:hAnsi="方正小标宋_GBK" w:cs="方正小标宋_GBK" w:eastAsia="方正小标宋_GBK"/>
          <w:sz w:val="44"/>
          <w:szCs w:val="44"/>
        </w:rPr>
        <w:t>国网青岛供电公司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eastAsia="方正小标宋_GBK" w:cs="方正小标宋_GBK" w:ascii="方正小标宋_GBK" w:hAnsi="方正小标宋_GBK"/>
          <w:sz w:val="44"/>
          <w:szCs w:val="44"/>
        </w:rPr>
        <w:t>2026年9月23日安全承载力分析报告</w:t>
      </w:r>
    </w:p>
    <w:p>
      <w:pPr>
        <w:pStyle w:val="HY-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ascii="方正仿宋_GBK" w:hAnsi="方正仿宋_GBK" w:eastAsia="方正仿宋_GBK" w:cs="方正仿宋_GBK"/>
          <w:color w:val="000000"/>
          <w:sz w:val="32"/>
          <w:szCs w:val="32"/>
          <w:highlight w:val="none"/>
          <w:lang w:val="en-US" w:eastAsia="zh-CN"/>
        </w:rPr>
      </w:pPr>
      <w:r>
        <w:rPr>
          <w:rFonts w:eastAsia="方正仿宋_GBK" w:cs="方正仿宋_GBK" w:ascii="方正仿宋_GBK" w:hAnsi="方正仿宋_GBK"/>
          <w:color w:val="000000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一、工作计划概况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cs="方正仿宋_GBK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color w:val="000000"/>
          <w:spacing w:val="0"/>
          <w:kern w:val="2"/>
          <w:sz w:val="32"/>
          <w:szCs w:val="32"/>
          <w:lang w:val="en-US" w:eastAsia="zh-CN" w:bidi="ar"/>
        </w:rPr>
        <w:t>2026年9月23日，公司各单位共安排日计划736项，其中二级风险作业0项、三级风险作业4项。三级及以上风险工作明细表如下：</w:t>
      </w:r>
    </w:p>
    <w:tbl>
      <w:tblPr>
        <w:tblW w:w="34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  <w:left w:w="20" w:type="dxa"/>
          <w:right w:w="20" w:type="dxa"/>
        </w:tblCellMar>
      </w:tblPr>
      <w:tblGrid>
        <w:gridCol w:w="580"/>
        <w:gridCol w:w="580"/>
        <w:gridCol w:w="580"/>
        <w:gridCol w:w="580"/>
        <w:gridCol w:w="580"/>
        <w:gridCol w:w="580"/>
      </w:tblGrid>
      <w:tr>
        <w:trPr>
          <w:trHeight w:val="838" w:hRule="atLeast"/>
          <w:tblHeader/>
        </w:trPr>
        <w:tc>
          <w:tcPr>
            <w:tcW w:w="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序号</w:t>
            </w:r>
          </w:p>
        </w:tc>
        <w:tc>
          <w:tcPr>
            <w:tcW w:w="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单位</w:t>
            </w:r>
          </w:p>
        </w:tc>
        <w:tc>
          <w:tcPr>
            <w:tcW w:w="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作业</w:t>
              <w:br/>
            </w:r>
            <w:r>
              <w:rPr>
                <w:rFonts w:ascii="宋体" w:hAnsi="宋体" w:eastAsia="宋体" w:cs="宋体"/>
                <w:b/>
                <w:sz w:val="21"/>
              </w:rPr>
              <w:t>内容</w:t>
            </w:r>
          </w:p>
        </w:tc>
        <w:tc>
          <w:tcPr>
            <w:tcW w:w="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风险</w:t>
              <w:br/>
            </w:r>
            <w:r>
              <w:rPr>
                <w:rFonts w:ascii="宋体" w:hAnsi="宋体" w:eastAsia="宋体" w:cs="宋体"/>
                <w:b/>
                <w:sz w:val="21"/>
              </w:rPr>
              <w:t>等级</w:t>
            </w:r>
          </w:p>
        </w:tc>
        <w:tc>
          <w:tcPr>
            <w:tcW w:w="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highlight w:val="none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工作</w:t>
              <w:br/>
            </w:r>
            <w:r>
              <w:rPr>
                <w:rFonts w:ascii="宋体" w:hAnsi="宋体" w:eastAsia="宋体" w:cs="宋体"/>
                <w:b/>
                <w:sz w:val="21"/>
              </w:rPr>
              <w:t>负责</w:t>
              <w:br/>
            </w:r>
            <w:r>
              <w:rPr>
                <w:rFonts w:ascii="宋体" w:hAnsi="宋体" w:eastAsia="宋体" w:cs="宋体"/>
                <w:b/>
                <w:sz w:val="21"/>
              </w:rPr>
              <w:t>人</w:t>
            </w:r>
          </w:p>
        </w:tc>
        <w:tc>
          <w:tcPr>
            <w:tcW w:w="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20" w:before="0" w:after="0"/>
              <w:ind w:hanging="0" w:end="0" w:firstLine="0" w:firstLineChars="0"/>
              <w:jc w:val="center"/>
              <w:textAlignment w:val="auto"/>
              <w:rPr>
                <w:rFonts w:ascii="方正仿宋_GBK" w:hAnsi="方正仿宋_GBK" w:eastAsia="方正仿宋_GBK" w:cs="方正仿宋_GBK"/>
                <w:sz w:val="24"/>
                <w:szCs w:val="24"/>
                <w:highlight w:val="none"/>
                <w:lang w:eastAsia="zh-CN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班组</w:t>
              <w:br/>
            </w:r>
            <w:r>
              <w:rPr>
                <w:rFonts w:ascii="宋体" w:hAnsi="宋体" w:eastAsia="宋体" w:cs="宋体"/>
                <w:b/>
                <w:sz w:val="21"/>
              </w:rPr>
              <w:t>成员</w:t>
              <w:br/>
            </w:r>
            <w:r>
              <w:rPr>
                <w:rFonts w:ascii="宋体" w:hAnsi="宋体" w:eastAsia="宋体" w:cs="宋体"/>
                <w:b/>
                <w:sz w:val="21"/>
              </w:rPr>
              <w:t>人数</w:t>
            </w:r>
          </w:p>
        </w:tc>
      </w:tr>
      <w:tr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运维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计划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1474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变电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运维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作业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计划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1475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0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公司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蔚蓝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海岸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二期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35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kV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输变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电工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程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安装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公司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青岛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城阳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映月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（红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岛）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220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千伏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输变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电工</w:t>
              <w:br/>
            </w:r>
            <w:r>
              <w:rPr>
                <w:rFonts w:ascii="宋体" w:hAnsi="宋体" w:eastAsia="宋体" w:cs="宋体"/>
                <w:b w:val="0"/>
                <w:sz w:val="21"/>
              </w:rPr>
              <w:t>程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三级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5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Rule="exact" w:line="320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</w:tr>
    </w:tbl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各作业类型日计划数量如下图所示：</w:t>
      </w:r>
    </w:p>
    <w:p>
      <w:pPr>
        <w:keepNext/>
        <w:keepLines/>
        <w:pageBreakBefore w:val="0"/>
        <w:spacing w:line="240" w:lineRule="auto"/>
        <w:ind w:firstLine="0" w:firstLineChars="0"/>
        <w:jc w:val="center"/>
      </w:pPr>
      <w:r>
        <w:drawing>
          <wp:inline distT="0" distB="0" distL="0" distR="0">
            <wp:extent cx="5524500" cy="3168650"/>
            <wp:effectExtent l="0" t="0" r="0" b="0"/>
            <wp:docPr id="3" name="Chart 3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pPr>
        <w:keepNext/>
        <w:keepLines/>
        <w:widowControl w:val="0"/>
        <w:pageBreakBefore w:val="0"/>
        <w:spacing w:before="0" w:after="0" w:line="580" w:lineRule="exact"/>
        <w:ind w:firstLine="0" w:firstLineChars="0"/>
        <w:pStyle w:val="Normal"/>
        <w:kinsoku w:val="true"/>
        <w:overflowPunct w:val="true"/>
        <w:autoSpaceDE w:val="true"/>
        <w:bidi w:val="0"/>
        <w:snapToGrid w:val="true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highlight w:val="none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二、各单位承载力分析</w:t>
      </w:r>
    </w:p>
    <w:p>
      <w:pPr>
        <w:keepNext/>
        <w:keepLines/>
        <w:widowControl w:val="0"/>
        <w:pageBreakBefore w:val="0"/>
        <w:spacing w:before="0" w:after="0" w:line="580" w:lineRule="exact"/>
        <w:ind w:firstLine="0" w:firstLineChars="0"/>
        <w:pStyle w:val="Normal"/>
        <w:rPr>
          <w:rFonts w:ascii="方正仿宋_GBK" w:hAnsi="方正仿宋_GBK" w:eastAsia="方正仿宋_GBK" w:cs="方正仿宋_GBK"/>
          <w:b w:val="false"/>
          <w:bCs w:val="false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b w:val="false"/>
          <w:bCs w:val="false"/>
          <w:lang w:val="en-US" w:eastAsia="zh-CN"/>
        </w:rPr>
        <w:t>1.</w:t>
      </w:r>
      <w:r>
        <w:rPr>
          <w:b w:val="false"/>
          <w:bCs w:val="false"/>
          <w:lang w:val="en-US" w:eastAsia="zh-CN"/>
        </w:rPr>
        <w:t>日作业</w:t>
      </w:r>
      <w:r>
        <w:rPr>
          <w:rFonts w:ascii="方正仿宋_GBK" w:hAnsi="方正仿宋_GBK" w:cs="方正仿宋_GBK"/>
          <w:b w:val="false"/>
          <w:bCs w:val="false"/>
          <w:color w:val="000000"/>
          <w:kern w:val="2"/>
          <w:sz w:val="32"/>
          <w:szCs w:val="32"/>
          <w:u w:val="none"/>
          <w:lang w:val="en-US" w:eastAsia="zh-CN" w:bidi="ar-SA"/>
        </w:rPr>
        <w:t>承载力如</w:t>
      </w:r>
      <w:r>
        <w:rPr>
          <w:rFonts w:cs="方正仿宋_GBK"/>
          <w:b w:val="false"/>
          <w:bCs w:val="false"/>
          <w:color w:val="000000"/>
          <w:kern w:val="2"/>
          <w:sz w:val="32"/>
          <w:szCs w:val="32"/>
          <w:u w:val="none"/>
          <w:lang w:val="en-US" w:eastAsia="zh-CN" w:bidi="ar-SA"/>
        </w:rPr>
        <w:t>图</w:t>
      </w:r>
      <w:r>
        <w:rPr>
          <w:rFonts w:ascii="方正仿宋_GBK" w:hAnsi="方正仿宋_GBK" w:cs="方正仿宋_GBK"/>
          <w:b w:val="false"/>
          <w:bCs w:val="false"/>
          <w:color w:val="000000"/>
          <w:kern w:val="2"/>
          <w:sz w:val="32"/>
          <w:szCs w:val="32"/>
          <w:u w:val="none"/>
          <w:lang w:val="en-US" w:eastAsia="zh-CN" w:bidi="ar-SA"/>
        </w:rPr>
        <w:t>所示</w:t>
      </w:r>
      <w:r>
        <w:rPr>
          <w:rFonts w:cs="方正仿宋_GBK"/>
          <w:b w:val="false"/>
          <w:bCs w:val="false"/>
          <w:color w:val="000000"/>
          <w:kern w:val="2"/>
          <w:sz w:val="32"/>
          <w:szCs w:val="32"/>
          <w:u w:val="none"/>
          <w:lang w:val="en-US" w:eastAsia="zh-CN" w:bidi="ar-SA"/>
        </w:rPr>
        <w:t>。</w:t>
      </w:r>
    </w:p>
    <w:p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pStyle w:val="Normal"/>
        <w:kinsoku w:val="true"/>
        <w:overflowPunct w:val="true"/>
        <w:autoSpaceDE w:val="true"/>
        <w:bidi w:val="0"/>
        <w:snapToGrid w:val="true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lang w:val="en-US" w:eastAsia="zh-CN"/>
        </w:rPr>
      </w:pPr>
      <w:r>
        <w:rPr/>
        <w:drawing>
          <wp:inline distT="0" distB="0" distL="0" distR="0">
            <wp:extent cx="5524500" cy="2171700"/>
            <wp:effectExtent l="0" t="0" r="0" b="0"/>
            <wp:docPr id="2" name="Chart 2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pPr>
        <w:pStyle w:val="Normal"/>
        <w:spacing w:lineRule="exact" w:line="580"/>
        <w:ind w:firstLine="640"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电缆中心作业承载力满载（90%以上），主要开展/等工作。平度公司作业承载力重载（75%以上），主要开展作业计划23、国网山东青岛平度供电公司2026年智能表业扩新增、作业计划1877、国网山东青岛平度供电公司2026年智能电能表功能性更换、作业计划2982、国网山东青岛平度供电公司2026年智能电能表周期轮换、作业计划3304、作业计划3554等工作。</w:t>
      </w:r>
    </w:p>
    <w:p>
      <w:pPr>
        <w:pStyle w:val="HY-"/>
        <w:rPr>
          <w:rFonts w:cs="方正仿宋_GBK"/>
          <w:color w:val="000000"/>
          <w:kern w:val="0"/>
          <w:sz w:val="31"/>
          <w:szCs w:val="31"/>
          <w:lang w:val="en-US" w:eastAsia="zh-CN" w:bidi="ar"/>
        </w:rPr>
      </w:pPr>
      <w:r>
        <w:rPr>
          <w:rFonts w:cs="方正仿宋_GBK"/>
          <w:color w:val="000000"/>
          <w:kern w:val="0"/>
          <w:sz w:val="31"/>
          <w:szCs w:val="31"/>
          <w:lang w:val="en-US" w:eastAsia="zh-CN" w:bidi="ar"/>
        </w:rPr>
        <w:t>2.本日管理承载力为17%，现场管理人员满足作业管控需求。</w:t>
      </w:r>
    </w:p>
    <w:p>
      <w:pPr>
        <w:keepNext/>
        <w:keepLines/>
        <w:pageBreakBefore w:val="0"/>
        <w:spacing w:line="240" w:lineRule="auto"/>
        <w:ind w:firstLine="0" w:firstLineChars="0"/>
        <w:jc w:val="center"/>
      </w:pPr>
      <w:r>
        <w:drawing>
          <wp:inline distT="0" distB="0" distL="0" distR="0">
            <wp:extent cx="5524500" cy="2171700"/>
            <wp:effectExtent l="0" t="0" r="0" b="0"/>
            <wp:docPr id="4" name="Chart 4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pPr>
        <w:pStyle w:val="HY-"/>
        <w:rPr>
          <w:rFonts w:cs="方正仿宋_GBK"/>
          <w:color w:val="000000"/>
          <w:kern w:val="0"/>
          <w:sz w:val="31"/>
          <w:szCs w:val="31"/>
          <w:lang w:val="en-US" w:eastAsia="zh-CN" w:bidi="ar"/>
        </w:rPr>
      </w:pPr>
      <w:r>
        <w:rPr>
          <w:rFonts w:cs="方正仿宋_GBK"/>
          <w:color w:val="000000"/>
          <w:kern w:val="0"/>
          <w:sz w:val="31"/>
          <w:szCs w:val="31"/>
          <w:lang w:val="en-US" w:eastAsia="zh-CN" w:bidi="ar"/>
        </w:rPr>
      </w:r>
    </w:p>
    <w:p>
      <w:pPr>
        <w:pStyle w:val="HY-"/>
        <w:bidi w:val="0"/>
        <w:rPr>
          <w:lang w:val="en-US" w:eastAsia="zh-CN"/>
        </w:rPr>
      </w:pPr>
      <w:r>
        <w:rPr>
          <w:lang w:val="en-US" w:eastAsia="zh-CN"/>
        </w:rPr>
        <w:t>三、辅助建议与风险管控提示</w:t>
      </w:r>
    </w:p>
    <w:p>
      <w:pPr>
        <w:pStyle w:val="HY-"/>
        <w:bidi w:val="0"/>
        <w:rPr>
          <w:lang w:val="en-US" w:eastAsia="zh-CN"/>
        </w:rPr>
      </w:pPr>
      <w:r>
        <w:rPr>
          <w:lang w:val="en-US" w:eastAsia="zh-CN"/>
        </w:rPr>
        <w:t>当日日计划736项，三级风险4项。单位承载力居前的是电缆中心117.4%、平度公司76.5%、即墨公司55.8%。峰值单位电缆中心为117.4%，已达满载，请压缩该单位同期作业。管理承载力为17%。请各单位按实际承载力安排现场作业。</w:t>
      </w:r>
    </w:p>
    <w:p>
      <w:pPr>
        <w:pStyle w:val="HY-"/>
        <w:ind w:hanging="0" w:end="0"/>
        <w:rPr>
          <w:lang w:val="en-US" w:eastAsia="zh-CN"/>
        </w:rPr>
      </w:pPr>
      <w:r>
        <w:rPr>
          <w:lang w:val="en-US" w:eastAsia="zh-CN"/>
        </w:rPr>
      </w:r>
    </w:p>
    <w:sectPr>
      <w:footerReference w:type="default" r:id="rId3"/>
      <w:type w:val="nextPage"/>
      <w:pgSz w:orient="landscape" w:w="11906" w:h="16838"/>
      <w:pgMar w:left="1587" w:right="1474" w:gutter="0" w:header="0" w:top="2098" w:footer="992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_GBK">
    <w:charset w:val="86"/>
    <w:family w:val="auto"/>
    <w:pitch w:val="default"/>
  </w:font>
  <w:font w:name="方正楷体_GBK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方正小标宋_GBK">
    <w:charset w:val="86"/>
    <w:family w:val="auto"/>
    <w:pitch w:val="default"/>
  </w:font>
  <w:font w:name="方正黑体_GBK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031240" cy="36957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1240" cy="3695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end"/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1.2pt;height:29.1pt;mso-wrap-distance-left:9.05pt;mso-wrap-distance-right:9.05pt;mso-wrap-distance-top:0pt;mso-wrap-distance-bottom:0pt;margin-top:0pt;mso-position-vertical-relative:text;margin-left:180.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t>2</w: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end"/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HY-"/>
    <w:qFormat/>
    <w:pPr>
      <w:widowControl w:val="false"/>
      <w:bidi w:val="0"/>
      <w:spacing w:lineRule="exact" w:line="580"/>
      <w:ind w:firstLine="880" w:start="0" w:end="0"/>
      <w:jc w:val="both"/>
    </w:pPr>
    <w:rPr>
      <w:rFonts w:ascii="方正仿宋_GBK" w:hAnsi="方正仿宋_GBK" w:eastAsia="方正仿宋_GBK" w:cs="Times New Roman"/>
      <w:color w:val="auto"/>
      <w:kern w:val="2"/>
      <w:sz w:val="32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题注 Char"/>
    <w:qFormat/>
    <w:rPr>
      <w:rFonts w:ascii="方正仿宋_GBK" w:hAnsi="方正仿宋_GBK" w:eastAsia="方正仿宋_GBK" w:cs="方正仿宋_GBK"/>
      <w:sz w:val="32"/>
    </w:rPr>
  </w:style>
  <w:style w:type="character" w:styleId="Char1">
    <w:name w:val="公司内容重点 Char1"/>
    <w:qFormat/>
    <w:rPr>
      <w:rFonts w:ascii="方正楷体_GBK" w:hAnsi="方正楷体_GBK" w:eastAsia="方正楷体_GBK" w:cs="方正楷体_GBK"/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next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Y-">
    <w:name w:val="HY-正文"/>
    <w:basedOn w:val="Normal"/>
    <w:qFormat/>
    <w:pPr>
      <w:spacing w:lineRule="exact" w:line="580"/>
      <w:ind w:firstLine="200" w:start="0" w:end="0"/>
    </w:pPr>
    <w:rPr>
      <w:rFonts w:ascii="仿宋_GB2312" w:hAnsi="仿宋_GB2312" w:cs="Times New Roman"/>
      <w:szCs w:val="32"/>
    </w:rPr>
  </w:style>
  <w:style w:type="paragraph" w:styleId="Style15">
    <w:name w:val="正文缩进"/>
    <w:basedOn w:val="Normal"/>
    <w:next w:val="Normal"/>
    <w:qFormat/>
    <w:pPr>
      <w:ind w:firstLine="420" w:start="0" w:end="0"/>
    </w:pPr>
    <w:rPr/>
  </w:style>
  <w:style w:type="paragraph" w:styleId="Style16">
    <w:name w:val="题注"/>
    <w:basedOn w:val="Normal"/>
    <w:next w:val="Normal"/>
    <w:qFormat/>
    <w:pPr/>
    <w:rPr>
      <w:rFonts w:ascii="方正仿宋_GBK" w:hAnsi="方正仿宋_GBK" w:cs="方正仿宋_GBK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next w:val="Style17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Style17">
    <w:name w:val="正文首行缩进"/>
    <w:basedOn w:val="BodyText"/>
    <w:next w:val="Normal"/>
    <w:qFormat/>
    <w:pPr>
      <w:ind w:firstLine="420" w:start="0" w:end="0"/>
    </w:pPr>
    <w:rPr/>
  </w:style>
  <w:style w:type="paragraph" w:styleId="Header">
    <w:name w:val="Header"/>
    <w:basedOn w:val="Normal"/>
    <w:next w:val="Footer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HTML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paragraph" w:styleId="Style18">
    <w:name w:val="普通(网站)"/>
    <w:basedOn w:val="Normal"/>
    <w:qFormat/>
    <w:pPr/>
    <w:rPr>
      <w:sz w:val="24"/>
    </w:rPr>
  </w:style>
  <w:style w:type="paragraph" w:styleId="Style19">
    <w:name w:val="青岛二级标题"/>
    <w:basedOn w:val="Normal"/>
    <w:qFormat/>
    <w:pPr>
      <w:spacing w:lineRule="exact" w:line="580"/>
      <w:ind w:firstLine="632" w:start="0" w:end="0"/>
      <w:outlineLvl w:val="1"/>
    </w:pPr>
    <w:rPr>
      <w:rFonts w:ascii="方正楷体_GBK" w:hAnsi="方正楷体_GBK" w:eastAsia="方正楷体_GBK" w:cs="方正楷体_GBK"/>
      <w:b/>
      <w:sz w:val="32"/>
      <w:szCs w:val="32"/>
    </w:rPr>
  </w:style>
  <w:style w:type="paragraph" w:styleId="Style20">
    <w:name w:val="公司内容重点"/>
    <w:basedOn w:val="Normal"/>
    <w:qFormat/>
    <w:pPr>
      <w:spacing w:lineRule="exact" w:line="580"/>
      <w:ind w:firstLine="880" w:start="0" w:end="0"/>
    </w:pPr>
    <w:rPr>
      <w:rFonts w:ascii="方正楷体_GBK" w:hAnsi="方正楷体_GBK" w:eastAsia="方正楷体_GBK" w:cs="方正楷体_GBK"/>
      <w:b/>
      <w:sz w:val="32"/>
    </w:rPr>
  </w:style>
  <w:style w:type="paragraph" w:styleId="Style21">
    <w:name w:val="表格"/>
    <w:basedOn w:val="Normal"/>
    <w:qFormat/>
    <w:pPr>
      <w:widowControl/>
      <w:spacing w:lineRule="auto" w:line="240"/>
      <w:ind w:hanging="0" w:start="0" w:end="0"/>
      <w:jc w:val="center"/>
      <w:textAlignment w:val="center"/>
    </w:pPr>
    <w:rPr>
      <w:rFonts w:ascii="宋体" w:hAnsi="宋体" w:eastAsia="宋体" w:cs="宋体"/>
      <w:b w:val="false"/>
      <w:bCs/>
      <w:color w:val="000000"/>
      <w:sz w:val="20"/>
      <w:szCs w:val="20"/>
    </w:rPr>
  </w:style>
  <w:style w:type="paragraph" w:styleId="1">
    <w:name w:val="正文缩进1"/>
    <w:basedOn w:val="Style15"/>
    <w:qFormat/>
    <w:pPr/>
    <w:rPr>
      <w:rFonts w:ascii="Calibri" w:hAnsi="Calibri" w:eastAsia="宋体" w:cs="Times New Roman"/>
      <w:szCs w:val="21"/>
    </w:rPr>
  </w:style>
  <w:style w:type="paragraph" w:styleId="Style22">
    <w:name w:val="图"/>
    <w:basedOn w:val="Normal"/>
    <w:qFormat/>
    <w:pPr>
      <w:spacing w:lineRule="exact" w:line="300" w:before="0" w:after="50"/>
      <w:ind w:hanging="0" w:start="0" w:end="0"/>
      <w:jc w:val="center"/>
    </w:pPr>
    <w:rPr>
      <w:rFonts w:cs="方正仿宋_GBK"/>
      <w:color w:val="000000"/>
      <w:sz w:val="24"/>
    </w:rPr>
  </w:style>
  <w:style w:type="paragraph" w:styleId="Style23">
    <w:name w:val="表"/>
    <w:basedOn w:val="Normal"/>
    <w:qFormat/>
    <w:pPr>
      <w:spacing w:lineRule="exact" w:line="300" w:before="50" w:after="0"/>
      <w:ind w:hanging="0" w:start="0" w:end="0"/>
      <w:jc w:val="center"/>
    </w:pPr>
    <w:rPr>
      <w:rFonts w:cs="方正仿宋_GBK"/>
      <w:color w:val="00000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hart" Target="charts/chart1.xml"/><Relationship Id="rId8" Type="http://schemas.openxmlformats.org/officeDocument/2006/relationships/chart" Target="charts/chart2.xml"/><Relationship Id="rId9" Type="http://schemas.openxmlformats.org/officeDocument/2006/relationships/chart" Target="charts/chart3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B0241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5A8FD4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电
缆
中
心</c:v>
                </c:pt>
                <c:pt idx="1">
                  <c:v>平
度
公
司</c:v>
                </c:pt>
                <c:pt idx="2">
                  <c:v>即
墨
公
司</c:v>
                </c:pt>
                <c:pt idx="3">
                  <c:v>莱
西
公
司</c:v>
                </c:pt>
                <c:pt idx="4">
                  <c:v>变
电
运
维</c:v>
                </c:pt>
                <c:pt idx="5">
                  <c:v>输
电
中
心</c:v>
                </c:pt>
                <c:pt idx="6">
                  <c:v>李
沧
中
心</c:v>
                </c:pt>
                <c:pt idx="7">
                  <c:v>安
装
公
司</c:v>
                </c:pt>
                <c:pt idx="8">
                  <c:v>城
阳
中
心</c:v>
                </c:pt>
                <c:pt idx="9">
                  <c:v>崂
山
中
心</c:v>
                </c:pt>
                <c:pt idx="10">
                  <c:v>变
电
检
修</c:v>
                </c:pt>
                <c:pt idx="11">
                  <c:v>黄
岛
公
司</c:v>
                </c:pt>
                <c:pt idx="12">
                  <c:v>胶
州
公
司</c:v>
                </c:pt>
                <c:pt idx="13">
                  <c:v>市
北
中
心</c:v>
                </c:pt>
                <c:pt idx="14">
                  <c:v>市
南
中
心</c:v>
                </c:pt>
                <c:pt idx="15">
                  <c:v>带
电
中
心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117</c:v>
                </c:pt>
                <c:pt idx="1">
                  <c:v>76</c:v>
                </c:pt>
                <c:pt idx="2">
                  <c:v>56</c:v>
                </c:pt>
                <c:pt idx="3">
                  <c:v>47</c:v>
                </c:pt>
                <c:pt idx="4">
                  <c:v>44</c:v>
                </c:pt>
                <c:pt idx="5">
                  <c:v>43</c:v>
                </c:pt>
                <c:pt idx="6">
                  <c:v>24</c:v>
                </c:pt>
                <c:pt idx="7">
                  <c:v>23</c:v>
                </c:pt>
                <c:pt idx="8">
                  <c:v>22</c:v>
                </c:pt>
                <c:pt idx="9">
                  <c:v>20</c:v>
                </c:pt>
                <c:pt idx="10">
                  <c:v>18</c:v>
                </c:pt>
                <c:pt idx="11">
                  <c:v>16</c:v>
                </c:pt>
                <c:pt idx="12">
                  <c:v>15</c:v>
                </c:pt>
                <c:pt idx="13">
                  <c:v>14</c:v>
                </c:pt>
                <c:pt idx="14">
                  <c:v>14</c:v>
                </c:pt>
                <c:pt idx="15">
                  <c:v>4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lblAlgn val="ctr"/>
        <c:lblOffset val="100"/>
        <c:tickLblSkip val="1"/>
        <c:txPr>
          <a:bodyPr rot="0" wrap="square"/>
          <a:lstStyle/>
          <a:p>
            <a:pPr>
              <a:defRPr sz="700">
                <a:latin typeface="宋体"/>
                <a:ea typeface="宋体"/>
                <a:cs typeface="宋体"/>
              </a:defRPr>
            </a:pPr>
            <a:endParaRPr lang="zh-CN" altLang="en-US" sz="700">
              <a:latin typeface="宋体"/>
              <a:ea typeface="宋体"/>
            </a:endParaRPr>
          </a:p>
        </c:txPr>
        <c:crossAx val="2"/>
        <c:crosses val="min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min"/>
        <c:crossBetween val="between"/>
      </c:valAx>
    </c:plotArea>
    <c:plotVisOnly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8FB8E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8BB4DE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86B1DC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81ADD9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7CA9D7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78A6D5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73A2D3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6E9ED1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6A9ACF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6597CD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6093CA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5B8FC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578CC6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5288C4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4D84C2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4981C0"/>
              </a:solidFill>
              <a:ln>
                <a:noFill/>
              </a:ln>
            </c:spPr>
          </c:dPt>
          <c:dPt>
            <c:idx val="16"/>
            <c:bubble3D val="0"/>
            <c:spPr>
              <a:solidFill>
                <a:srgbClr val="447DBE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900">
                    <a:latin typeface="宋体"/>
                    <a:ea typeface="宋体"/>
                    <a:cs typeface="宋体"/>
                  </a:defRPr>
                </a:pPr>
                <a:endParaRPr lang="zh-CN" altLang="en-US" sz="9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Sheet1!$A$2:$A$18</c:f>
              <c:strCache>
                <c:ptCount val="17"/>
                <c:pt idx="0">
                  <c:v>巡
视</c:v>
                </c:pt>
                <c:pt idx="1">
                  <c:v>装
表
接
电</c:v>
                </c:pt>
                <c:pt idx="2">
                  <c:v>大
修</c:v>
                </c:pt>
                <c:pt idx="3">
                  <c:v>配
农
网
工
程</c:v>
                </c:pt>
                <c:pt idx="4">
                  <c:v>倒
闸</c:v>
                </c:pt>
                <c:pt idx="5">
                  <c:v>带
电
作
业</c:v>
                </c:pt>
                <c:pt idx="6">
                  <c:v>技
改</c:v>
                </c:pt>
                <c:pt idx="7">
                  <c:v>其
他</c:v>
                </c:pt>
                <c:pt idx="8">
                  <c:v>无
人
机
巡
检</c:v>
                </c:pt>
                <c:pt idx="9">
                  <c:v>试
验
检
测</c:v>
                </c:pt>
                <c:pt idx="10">
                  <c:v>树
木
修
剪</c:v>
                </c:pt>
                <c:pt idx="11">
                  <c:v>业
扩
工
程</c:v>
                </c:pt>
                <c:pt idx="12">
                  <c:v>迁
改
工
程</c:v>
                </c:pt>
                <c:pt idx="13">
                  <c:v>输
变
电
工
程</c:v>
                </c:pt>
                <c:pt idx="14">
                  <c:v>常
规
检
修</c:v>
                </c:pt>
                <c:pt idx="15">
                  <c:v>消
缺</c:v>
                </c:pt>
                <c:pt idx="16">
                  <c:v>通
信
检
修
施
工</c:v>
                </c:pt>
              </c:strCache>
            </c:strRef>
          </c:cat>
          <c:val>
            <c:numRef>
              <c:f>Sheet1!$B$2:$B$18</c:f>
              <c:numCache>
                <c:formatCode>0</c:formatCode>
                <c:ptCount val="17"/>
                <c:pt idx="0">
                  <c:v>180</c:v>
                </c:pt>
                <c:pt idx="1">
                  <c:v>147</c:v>
                </c:pt>
                <c:pt idx="2">
                  <c:v>64</c:v>
                </c:pt>
                <c:pt idx="3">
                  <c:v>31</c:v>
                </c:pt>
                <c:pt idx="4">
                  <c:v>22</c:v>
                </c:pt>
                <c:pt idx="5">
                  <c:v>22</c:v>
                </c:pt>
                <c:pt idx="6">
                  <c:v>17</c:v>
                </c:pt>
                <c:pt idx="7">
                  <c:v>9</c:v>
                </c:pt>
                <c:pt idx="8">
                  <c:v>8</c:v>
                </c:pt>
                <c:pt idx="9">
                  <c:v>6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3</c:v>
                </c:pt>
                <c:pt idx="14">
                  <c:v>2</c:v>
                </c:pt>
                <c:pt idx="15">
                  <c:v>1</c:v>
                </c:pt>
                <c:pt idx="16">
                  <c:v>1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lblAlgn val="ctr"/>
        <c:lblOffset val="100"/>
        <c:tickLblSkip val="1"/>
        <c:txPr>
          <a:bodyPr rot="0" wrap="square"/>
          <a:lstStyle/>
          <a:p>
            <a:pPr>
              <a:defRPr sz="700">
                <a:latin typeface="宋体"/>
                <a:ea typeface="宋体"/>
                <a:cs typeface="宋体"/>
              </a:defRPr>
            </a:pPr>
            <a:endParaRPr lang="zh-CN" altLang="en-US" sz="700">
              <a:latin typeface="宋体"/>
              <a:ea typeface="宋体"/>
            </a:endParaRPr>
          </a:p>
        </c:txPr>
        <c:crossAx val="2"/>
        <c:crosses val="min"/>
      </c:catAx>
      <c:valAx>
        <c:axId val="2"/>
        <c:scaling>
          <c:orientation val="minMax"/>
          <c:max val="500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tickLblPos val="nextTo"/>
        <c:crossAx val="1"/>
        <c:crosses val="min"/>
        <c:crossBetween val="between"/>
      </c:valAx>
    </c:plotArea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市
北
中
心</c:v>
                </c:pt>
                <c:pt idx="1">
                  <c:v>城
阳
中
心</c:v>
                </c:pt>
                <c:pt idx="2">
                  <c:v>变
电
运
维</c:v>
                </c:pt>
                <c:pt idx="3">
                  <c:v>李
沧
中
心</c:v>
                </c:pt>
                <c:pt idx="4">
                  <c:v>市
南
中
心</c:v>
                </c:pt>
                <c:pt idx="5">
                  <c:v>崂
山
中
心</c:v>
                </c:pt>
                <c:pt idx="6">
                  <c:v>黄
岛
公
司</c:v>
                </c:pt>
                <c:pt idx="7">
                  <c:v>输
电
中
心</c:v>
                </c:pt>
                <c:pt idx="8">
                  <c:v>胶
州
公
司</c:v>
                </c:pt>
                <c:pt idx="9">
                  <c:v>安
装
公
司</c:v>
                </c:pt>
                <c:pt idx="10">
                  <c:v>电
缆
中
心</c:v>
                </c:pt>
                <c:pt idx="11">
                  <c:v>变
电
检
修</c:v>
                </c:pt>
                <c:pt idx="12">
                  <c:v>平
度
公
司</c:v>
                </c:pt>
                <c:pt idx="13">
                  <c:v>莱
西
公
司</c:v>
                </c:pt>
                <c:pt idx="14">
                  <c:v>即
墨
公
司</c:v>
                </c:pt>
                <c:pt idx="15">
                  <c:v>其
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61</c:v>
                </c:pt>
                <c:pt idx="1">
                  <c:v>58</c:v>
                </c:pt>
                <c:pt idx="2">
                  <c:v>48</c:v>
                </c:pt>
                <c:pt idx="3">
                  <c:v>47</c:v>
                </c:pt>
                <c:pt idx="4">
                  <c:v>39</c:v>
                </c:pt>
                <c:pt idx="5">
                  <c:v>38</c:v>
                </c:pt>
                <c:pt idx="6">
                  <c:v>23</c:v>
                </c:pt>
                <c:pt idx="7">
                  <c:v>21</c:v>
                </c:pt>
                <c:pt idx="8">
                  <c:v>16</c:v>
                </c:pt>
                <c:pt idx="9">
                  <c:v>15</c:v>
                </c:pt>
                <c:pt idx="10">
                  <c:v>14</c:v>
                </c:pt>
                <c:pt idx="11">
                  <c:v>11</c:v>
                </c:pt>
                <c:pt idx="12">
                  <c:v>11</c:v>
                </c:pt>
                <c:pt idx="13">
                  <c:v>10</c:v>
                </c:pt>
                <c:pt idx="14">
                  <c:v>10</c:v>
                </c:pt>
                <c:pt idx="15">
                  <c:v>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lblAlgn val="ctr"/>
        <c:lblOffset val="100"/>
        <c:tickLblSkip val="1"/>
        <c:txPr>
          <a:bodyPr rot="0" wrap="square"/>
          <a:lstStyle/>
          <a:p>
            <a:pPr>
              <a:defRPr sz="700">
                <a:latin typeface="宋体"/>
                <a:ea typeface="宋体"/>
                <a:cs typeface="宋体"/>
              </a:defRPr>
            </a:pPr>
            <a:endParaRPr lang="zh-CN" altLang="en-US" sz="700">
              <a:latin typeface="宋体"/>
              <a:ea typeface="宋体"/>
            </a:endParaRPr>
          </a:p>
        </c:txPr>
        <c:crossAx val="2"/>
        <c:crosses val="min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min"/>
        <c:crossBetween val="between"/>
      </c:valAx>
    </c:plotArea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2026-01-29T01:57:38Z</dcterms:created>
  <dc:creator>Administrator</dc:creator>
  <dc:description/>
  <dc:language>en-US</dc:language>
  <cp:lastModifiedBy>admin</cp:lastModifiedBy>
  <cp:lastPrinted>2026-05-13T13:01:00Z</cp:lastPrinted>
  <dcterms:modified xsi:type="dcterms:W3CDTF">2026-09-03T10:43:49Z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69240539553B40329F8520B6E07DE905_13</vt:lpwstr>
  </property>
  <property fmtid="{D5CDD505-2E9C-101B-9397-08002B2CF9AE}" pid="3" name="KSOProductBuildVer">
    <vt:lpwstr>2052-12.8.2.19830</vt:lpwstr>
  </property>
</Properties>
</file>