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xlsx" ContentType="application/vnd.openxmlformats-officedocument.spreadsheetml.sheet"/>
  <Override PartName="/word/charts/chart1.xml" ContentType="application/vnd.openxmlformats-officedocument.drawingml.chart+xml"/>
  <Override PartName="/word/embeddings/Microsoft_Excel_Worksheet1.xlsx" ContentType="application/vnd.openxmlformats-officedocument.spreadsheetml.sheet"/>
  <Override PartName="/word/charts/chart2.xml" ContentType="application/vnd.openxmlformats-officedocument.drawingml.chart+xml"/>
  <Override PartName="/word/embeddings/Microsoft_Excel_Worksheet2.xlsx" ContentType="application/vnd.openxmlformats-officedocument.spreadsheetml.sheet"/>
  <Override PartName="/word/charts/chart3.xml" ContentType="application/vnd.openxmlformats-officedocument.drawingml.chart+xml"/>
  <Override PartName="/word/embeddings/Microsoft_Excel_Worksheet3.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580"/>
        <w:ind w:hanging="0" w:end="0"/>
        <w:jc w:val="center"/>
        <w:textAlignment w:val="auto"/>
        <w:rPr>
          <w:rFonts w:ascii="方正小标宋_GBK" w:hAnsi="方正小标宋_GBK" w:eastAsia="方正小标宋_GBK" w:cs="方正小标宋_GBK"/>
          <w:sz w:val="44"/>
          <w:szCs w:val="44"/>
        </w:rPr>
      </w:pPr>
      <w:r>
        <w:rPr>
          <w:rFonts w:ascii="方正小标宋_GBK" w:hAnsi="方正小标宋_GBK" w:cs="方正小标宋_GBK" w:eastAsia="方正小标宋_GBK"/>
          <w:sz w:val="44"/>
          <w:szCs w:val="44"/>
        </w:rPr>
        <w:t>国网青岛供电公司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580"/>
        <w:ind w:hanging="0" w:end="0"/>
        <w:jc w:val="center"/>
        <w:textAlignment w:val="auto"/>
        <w:rPr>
          <w:rFonts w:ascii="方正仿宋_GBK" w:hAnsi="方正仿宋_GBK" w:eastAsia="方正仿宋_GBK" w:cs="方正仿宋_GBK"/>
          <w:color w:val="000000"/>
          <w:sz w:val="32"/>
          <w:szCs w:val="32"/>
          <w:lang w:val="en-US" w:eastAsia="zh-CN"/>
        </w:rPr>
      </w:pPr>
      <w:r>
        <w:rPr>
          <w:rFonts w:eastAsia="方正小标宋_GBK" w:cs="方正小标宋_GBK" w:ascii="方正小标宋_GBK" w:hAnsi="方正小标宋_GBK"/>
          <w:sz w:val="44"/>
          <w:szCs w:val="44"/>
        </w:rPr>
        <w:t>2026年9月份第4周安全承载力分析报告</w:t>
      </w:r>
    </w:p>
    <w:p>
      <w:pPr>
        <w:pStyle w:val="HY-"/>
        <w:keepNext w:val="false"/>
        <w:keepLines w:val="false"/>
        <w:pageBreakBefore w:val="false"/>
        <w:widowControl w:val="false"/>
        <w:overflowPunct w:val="false"/>
        <w:bidi w:val="0"/>
        <w:snapToGrid w:val="false"/>
        <w:spacing w:lineRule="exact" w:line="580"/>
        <w:ind w:firstLine="640" w:end="0"/>
        <w:textAlignment w:val="auto"/>
        <w:rPr>
          <w:rFonts w:ascii="方正仿宋_GBK" w:hAnsi="方正仿宋_GBK" w:eastAsia="方正仿宋_GBK" w:cs="方正仿宋_GBK"/>
          <w:color w:val="000000"/>
          <w:sz w:val="32"/>
          <w:szCs w:val="32"/>
          <w:lang w:val="en-US" w:eastAsia="zh-CN"/>
        </w:rPr>
      </w:pPr>
      <w:r>
        <w:rPr>
          <w:rFonts w:eastAsia="方正仿宋_GBK" w:cs="方正仿宋_GBK" w:ascii="方正仿宋_GBK" w:hAnsi="方正仿宋_GBK"/>
          <w:color w:val="000000"/>
          <w:sz w:val="32"/>
          <w:szCs w:val="32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580"/>
        <w:ind w:firstLine="640" w:end="0"/>
        <w:textAlignment w:val="auto"/>
        <w:rPr>
          <w:rFonts w:cs="方正仿宋_GBK"/>
          <w:color w:val="000000"/>
          <w:spacing w:val="0"/>
          <w:kern w:val="2"/>
          <w:sz w:val="32"/>
          <w:szCs w:val="32"/>
          <w:lang w:val="en-US" w:eastAsia="zh-CN" w:bidi="ar-SA"/>
        </w:rPr>
      </w:pPr>
      <w:r>
        <w:rPr>
          <w:rFonts w:ascii="方正黑体_GBK" w:hAnsi="方正黑体_GBK" w:cs="方正黑体_GBK" w:eastAsia="方正黑体_GBK"/>
          <w:b w:val="false"/>
          <w:bCs w:val="false"/>
          <w:sz w:val="32"/>
          <w:szCs w:val="32"/>
          <w:lang w:val="en-US" w:eastAsia="zh-CN"/>
        </w:rPr>
        <w:t>一、工作计划概况</w:t>
      </w:r>
    </w:p>
    <w:p>
      <w:pPr>
        <w:pStyle w:val="Style15"/>
        <w:keepNext w:val="false"/>
        <w:keepLines w:val="false"/>
        <w:pageBreakBefore w:val="false"/>
        <w:widowControl w:val="false"/>
        <w:overflowPunct w:val="false"/>
        <w:bidi w:val="0"/>
        <w:snapToGrid w:val="false"/>
        <w:spacing w:lineRule="exact" w:line="580"/>
        <w:ind w:firstLine="640" w:end="0"/>
        <w:textAlignment w:val="auto"/>
        <w:rPr>
          <w:rFonts w:ascii="方正仿宋_GBK" w:hAnsi="方正仿宋_GBK" w:cs="方正仿宋_GBK"/>
          <w:sz w:val="24"/>
          <w:szCs w:val="24"/>
          <w:lang w:eastAsia="zh-CN"/>
        </w:rPr>
      </w:pPr>
      <w:r>
        <w:rPr>
          <w:rFonts w:cs="方正仿宋_GBK"/>
          <w:color w:val="000000"/>
          <w:spacing w:val="0"/>
          <w:kern w:val="2"/>
          <w:sz w:val="32"/>
          <w:szCs w:val="32"/>
          <w:lang w:val="en-US" w:eastAsia="zh-CN" w:bidi="ar-SA"/>
        </w:rPr>
        <w:t>9月份第4周9月21日至9月27日，公司各单位共安排日计划3259项，其中三级风险作业17项、四级风险作业712项、五级风险作业2530项。三级风险工作明细表如下：</w:t>
      </w:r>
    </w:p>
    <w:tbl>
      <w:tblPr>
        <w:tblW w:w="88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  <w:left w:w="20" w:type="dxa"/>
          <w:right w:w="20" w:type="dxa"/>
        </w:tblCellMar>
      </w:tblPr>
      <w:tblGrid>
        <w:gridCol w:w="520"/>
        <w:gridCol w:w="1449"/>
        <w:gridCol w:w="2787"/>
        <w:gridCol w:w="668"/>
        <w:gridCol w:w="966"/>
        <w:gridCol w:w="817"/>
        <w:gridCol w:w="1635"/>
      </w:tblGrid>
      <w:tr>
        <w:trPr>
          <w:trHeight w:val="838" w:hRule="atLeast"/>
          <w:tblHeader/>
        </w:trPr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overflowPunct w:val="fals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ascii="方正仿宋_GBK" w:hAnsi="方正仿宋_GBK" w:cs="方正仿宋_GBK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序号</w:t>
            </w:r>
          </w:p>
        </w:tc>
        <w:tc>
          <w:tcPr>
            <w:tcW w:w="1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overflowPunct w:val="fals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ascii="方正仿宋_GBK" w:hAnsi="方正仿宋_GBK" w:cs="方正仿宋_GBK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单位</w:t>
            </w:r>
          </w:p>
        </w:tc>
        <w:tc>
          <w:tcPr>
            <w:tcW w:w="2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overflowPunct w:val="fals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ascii="方正仿宋_GBK" w:hAnsi="方正仿宋_GBK" w:cs="方正仿宋_GBK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作业内容</w:t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overflowPunct w:val="fals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ascii="方正仿宋_GBK" w:hAnsi="方正仿宋_GBK" w:cs="方正仿宋_GBK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风险等级</w:t>
            </w:r>
          </w:p>
        </w:tc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overflowPunct w:val="fals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cs="方正仿宋_GBK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工作负责人</w:t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overflowPunct w:val="fals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cs="方正仿宋_GBK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班组成员人数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overflowPunct w:val="fals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ascii="方正仿宋_GBK" w:hAnsi="方正仿宋_GBK" w:cs="方正仿宋_GBK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高风险作业时间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14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27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作业计划353</w:t>
            </w:r>
          </w:p>
        </w:tc>
        <w:tc>
          <w:tcPr>
            <w:tcW w:type="dxa" w:w="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96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8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10</w:t>
            </w:r>
          </w:p>
        </w:tc>
        <w:tc>
          <w:tcPr>
            <w:tcW w:type="dxa" w:w="16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9月22日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14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27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作业计划626</w:t>
            </w:r>
          </w:p>
        </w:tc>
        <w:tc>
          <w:tcPr>
            <w:tcW w:type="dxa" w:w="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96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8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16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9月21日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3</w:t>
            </w:r>
          </w:p>
        </w:tc>
        <w:tc>
          <w:tcPr>
            <w:tcW w:type="dxa" w:w="14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变电运维</w:t>
            </w:r>
          </w:p>
        </w:tc>
        <w:tc>
          <w:tcPr>
            <w:tcW w:type="dxa" w:w="27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作业计划1214</w:t>
            </w:r>
          </w:p>
        </w:tc>
        <w:tc>
          <w:tcPr>
            <w:tcW w:type="dxa" w:w="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96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0</w:t>
            </w:r>
          </w:p>
        </w:tc>
        <w:tc>
          <w:tcPr>
            <w:tcW w:type="dxa" w:w="8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3</w:t>
            </w:r>
          </w:p>
        </w:tc>
        <w:tc>
          <w:tcPr>
            <w:tcW w:type="dxa" w:w="16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9月21日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4</w:t>
            </w:r>
          </w:p>
        </w:tc>
        <w:tc>
          <w:tcPr>
            <w:tcW w:type="dxa" w:w="14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变电运维</w:t>
            </w:r>
          </w:p>
        </w:tc>
        <w:tc>
          <w:tcPr>
            <w:tcW w:type="dxa" w:w="27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作业计划1255</w:t>
            </w:r>
          </w:p>
        </w:tc>
        <w:tc>
          <w:tcPr>
            <w:tcW w:type="dxa" w:w="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96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0</w:t>
            </w:r>
          </w:p>
        </w:tc>
        <w:tc>
          <w:tcPr>
            <w:tcW w:type="dxa" w:w="8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16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9月24日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5</w:t>
            </w:r>
          </w:p>
        </w:tc>
        <w:tc>
          <w:tcPr>
            <w:tcW w:type="dxa" w:w="14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变电运维</w:t>
            </w:r>
          </w:p>
        </w:tc>
        <w:tc>
          <w:tcPr>
            <w:tcW w:type="dxa" w:w="27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作业计划1462</w:t>
            </w:r>
          </w:p>
        </w:tc>
        <w:tc>
          <w:tcPr>
            <w:tcW w:type="dxa" w:w="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96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0</w:t>
            </w:r>
          </w:p>
        </w:tc>
        <w:tc>
          <w:tcPr>
            <w:tcW w:type="dxa" w:w="8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16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9月22日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6</w:t>
            </w:r>
          </w:p>
        </w:tc>
        <w:tc>
          <w:tcPr>
            <w:tcW w:type="dxa" w:w="14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变电运维</w:t>
            </w:r>
          </w:p>
        </w:tc>
        <w:tc>
          <w:tcPr>
            <w:tcW w:type="dxa" w:w="27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作业计划1463</w:t>
            </w:r>
          </w:p>
        </w:tc>
        <w:tc>
          <w:tcPr>
            <w:tcW w:type="dxa" w:w="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96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0</w:t>
            </w:r>
          </w:p>
        </w:tc>
        <w:tc>
          <w:tcPr>
            <w:tcW w:type="dxa" w:w="8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16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9月22日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7</w:t>
            </w:r>
          </w:p>
        </w:tc>
        <w:tc>
          <w:tcPr>
            <w:tcW w:type="dxa" w:w="14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变电运维</w:t>
            </w:r>
          </w:p>
        </w:tc>
        <w:tc>
          <w:tcPr>
            <w:tcW w:type="dxa" w:w="27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作业计划1474</w:t>
            </w:r>
          </w:p>
        </w:tc>
        <w:tc>
          <w:tcPr>
            <w:tcW w:type="dxa" w:w="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96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0</w:t>
            </w:r>
          </w:p>
        </w:tc>
        <w:tc>
          <w:tcPr>
            <w:tcW w:type="dxa" w:w="8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16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9月23日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8</w:t>
            </w:r>
          </w:p>
        </w:tc>
        <w:tc>
          <w:tcPr>
            <w:tcW w:type="dxa" w:w="14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变电运维</w:t>
            </w:r>
          </w:p>
        </w:tc>
        <w:tc>
          <w:tcPr>
            <w:tcW w:type="dxa" w:w="27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作业计划1475</w:t>
            </w:r>
          </w:p>
        </w:tc>
        <w:tc>
          <w:tcPr>
            <w:tcW w:type="dxa" w:w="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96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0</w:t>
            </w:r>
          </w:p>
        </w:tc>
        <w:tc>
          <w:tcPr>
            <w:tcW w:type="dxa" w:w="8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16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9月23日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</w:t>
            </w:r>
          </w:p>
        </w:tc>
        <w:tc>
          <w:tcPr>
            <w:tcW w:type="dxa" w:w="14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带电中心</w:t>
            </w:r>
          </w:p>
        </w:tc>
        <w:tc>
          <w:tcPr>
            <w:tcW w:type="dxa" w:w="27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国网山东青岛供电公司2026年李沧区带电作业服务</w:t>
            </w:r>
          </w:p>
        </w:tc>
        <w:tc>
          <w:tcPr>
            <w:tcW w:type="dxa" w:w="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96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8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16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9月22日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10</w:t>
            </w:r>
          </w:p>
        </w:tc>
        <w:tc>
          <w:tcPr>
            <w:tcW w:type="dxa" w:w="14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变电检修</w:t>
            </w:r>
          </w:p>
        </w:tc>
        <w:tc>
          <w:tcPr>
            <w:tcW w:type="dxa" w:w="27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作业计划3942</w:t>
            </w:r>
          </w:p>
        </w:tc>
        <w:tc>
          <w:tcPr>
            <w:tcW w:type="dxa" w:w="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96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8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3</w:t>
            </w:r>
          </w:p>
        </w:tc>
        <w:tc>
          <w:tcPr>
            <w:tcW w:type="dxa" w:w="16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9月13日-22日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（10天）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11</w:t>
            </w:r>
          </w:p>
        </w:tc>
        <w:tc>
          <w:tcPr>
            <w:tcW w:type="dxa" w:w="14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27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蔚蓝海岸二期35kV输变电工程</w:t>
            </w:r>
          </w:p>
        </w:tc>
        <w:tc>
          <w:tcPr>
            <w:tcW w:type="dxa" w:w="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96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8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16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9月22日-23日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（2天）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12</w:t>
            </w:r>
          </w:p>
        </w:tc>
        <w:tc>
          <w:tcPr>
            <w:tcW w:type="dxa" w:w="14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27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青岛临空220千伏输变电工程</w:t>
            </w:r>
          </w:p>
        </w:tc>
        <w:tc>
          <w:tcPr>
            <w:tcW w:type="dxa" w:w="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96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8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16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9月20日-21日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（2天）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13</w:t>
            </w:r>
          </w:p>
        </w:tc>
        <w:tc>
          <w:tcPr>
            <w:tcW w:type="dxa" w:w="14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27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国网山东青岛供电公司220kV德千线#61-#65、上海I线#83-#87杆塔维修</w:t>
            </w:r>
          </w:p>
        </w:tc>
        <w:tc>
          <w:tcPr>
            <w:tcW w:type="dxa" w:w="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96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8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3</w:t>
            </w:r>
          </w:p>
        </w:tc>
        <w:tc>
          <w:tcPr>
            <w:tcW w:type="dxa" w:w="16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9月16日-21日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（6天）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14</w:t>
            </w:r>
          </w:p>
        </w:tc>
        <w:tc>
          <w:tcPr>
            <w:tcW w:type="dxa" w:w="14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27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青岛城阳映月（红岛）220千伏输变电工程</w:t>
            </w:r>
          </w:p>
        </w:tc>
        <w:tc>
          <w:tcPr>
            <w:tcW w:type="dxa" w:w="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96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8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16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9月22日-23日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（2天）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15</w:t>
            </w:r>
          </w:p>
        </w:tc>
        <w:tc>
          <w:tcPr>
            <w:tcW w:type="dxa" w:w="14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27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青岛浦里220千伏输变电工程</w:t>
            </w:r>
          </w:p>
        </w:tc>
        <w:tc>
          <w:tcPr>
            <w:tcW w:type="dxa" w:w="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96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0</w:t>
            </w:r>
          </w:p>
        </w:tc>
        <w:tc>
          <w:tcPr>
            <w:tcW w:type="dxa" w:w="8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16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9月24日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（1天）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16</w:t>
            </w:r>
          </w:p>
        </w:tc>
        <w:tc>
          <w:tcPr>
            <w:tcW w:type="dxa" w:w="14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27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青兰高速公路河套至黄岛段改扩建工程220kV德千线、上海I线电力迁改</w:t>
            </w:r>
          </w:p>
        </w:tc>
        <w:tc>
          <w:tcPr>
            <w:tcW w:type="dxa" w:w="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96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8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3</w:t>
            </w:r>
          </w:p>
        </w:tc>
        <w:tc>
          <w:tcPr>
            <w:tcW w:type="dxa" w:w="16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9月16日-21日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（6天）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17</w:t>
            </w:r>
          </w:p>
        </w:tc>
        <w:tc>
          <w:tcPr>
            <w:tcW w:type="dxa" w:w="144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安装公司</w:t>
            </w:r>
          </w:p>
        </w:tc>
        <w:tc>
          <w:tcPr>
            <w:tcW w:type="dxa" w:w="27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青岛电子信息产业园配套项目电力配套工程二期</w:t>
            </w:r>
          </w:p>
        </w:tc>
        <w:tc>
          <w:tcPr>
            <w:tcW w:type="dxa" w:w="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96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8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16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9月24日-30日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（7天）</w:t>
            </w:r>
          </w:p>
        </w:tc>
      </w:tr>
    </w:tbl>
    <w:p>
      <w:pPr>
        <w:pStyle w:val="Style15"/>
        <w:keepNext w:val="false"/>
        <w:keepLines w:val="false"/>
        <w:pageBreakBefore w:val="false"/>
        <w:widowControl w:val="false"/>
        <w:overflowPunct w:val="false"/>
        <w:bidi w:val="0"/>
        <w:snapToGrid w:val="false"/>
        <w:spacing w:lineRule="exact" w:line="580"/>
        <w:ind w:firstLine="640" w:end="0"/>
        <w:textAlignment w:val="auto"/>
        <w:rPr>
          <w:rFonts w:ascii="方正黑体_GBK" w:hAnsi="方正黑体_GBK" w:eastAsia="方正黑体_GBK" w:cs="方正黑体_GBK"/>
          <w:b w:val="false"/>
          <w:bCs w:val="false"/>
          <w:sz w:val="32"/>
          <w:szCs w:val="32"/>
          <w:lang w:val="en-US" w:eastAsia="zh-CN"/>
        </w:rPr>
      </w:pPr>
      <w:r>
        <w:rPr>
          <w:rFonts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各作业类型日计划数量如下图所示：</w:t>
      </w:r>
    </w:p>
    <w:p>
      <w:pPr>
        <w:keepNext/>
        <w:keepLines/>
        <w:pageBreakBefore w:val="0"/>
        <w:spacing w:line="240" w:lineRule="auto"/>
        <w:ind w:firstLine="0" w:firstLineChars="0"/>
        <w:jc w:val="center"/>
      </w:pPr>
      <w:r>
        <w:drawing>
          <wp:inline distT="0" distB="0" distL="0" distR="0">
            <wp:extent cx="5524500" cy="3213100"/>
            <wp:effectExtent l="0" t="0" r="0" b="0"/>
            <wp:docPr id="3" name="Chart 3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exact" w:line="580"/>
        <w:ind w:firstLine="640" w:end="0"/>
        <w:textAlignment w:val="auto"/>
        <w:rPr>
          <w:rFonts w:ascii="方正楷体_GBK" w:hAnsi="方正楷体_GBK" w:eastAsia="方正楷体_GBK" w:cs="方正楷体_GBK"/>
          <w:b/>
          <w:bCs/>
          <w:color w:val="000000"/>
          <w:sz w:val="32"/>
          <w:szCs w:val="32"/>
          <w:u w:val="none"/>
          <w:lang w:val="en-US" w:eastAsia="zh-CN"/>
        </w:rPr>
      </w:pPr>
      <w:r>
        <w:rPr>
          <w:rFonts w:ascii="方正黑体_GBK" w:hAnsi="方正黑体_GBK" w:cs="方正黑体_GBK" w:eastAsia="方正黑体_GBK"/>
          <w:b w:val="false"/>
          <w:bCs w:val="false"/>
          <w:sz w:val="32"/>
          <w:szCs w:val="32"/>
          <w:lang w:val="en-US" w:eastAsia="zh-CN"/>
        </w:rPr>
        <w:t>二、各单位承载力分析</w:t>
      </w:r>
    </w:p>
    <w:p>
      <w:pPr>
        <w:keepNext/>
        <w:keepLines/>
        <w:widowControl w:val="0"/>
        <w:pageBreakBefore w:val="0"/>
        <w:spacing w:before="0" w:after="0" w:line="580" w:lineRule="exact"/>
        <w:ind w:firstLine="0" w:firstLineChars="0"/>
        <w:pStyle w:val="Normal"/>
        <w:rPr>
          <w:b/>
          <w:bCs/>
          <w:lang w:val="en-US" w:eastAsia="zh-CN"/>
        </w:rPr>
      </w:pPr>
      <w:r>
        <w:rPr>
          <w:rFonts w:ascii="方正楷体_GBK" w:hAnsi="方正楷体_GBK" w:cs="方正楷体_GBK" w:eastAsia="方正楷体_GBK"/>
          <w:b/>
          <w:bCs/>
          <w:color w:val="000000"/>
          <w:sz w:val="32"/>
          <w:szCs w:val="32"/>
          <w:u w:val="none"/>
          <w:lang w:val="en-US" w:eastAsia="zh-CN"/>
        </w:rPr>
        <w:t>（一）周承载力分析</w:t>
      </w:r>
    </w:p>
    <w:p>
      <w:pPr>
        <w:keepNext/>
        <w:keepLines/>
        <w:widowControl w:val="0"/>
        <w:pageBreakBefore w:val="0"/>
        <w:spacing w:before="0" w:after="0" w:line="580" w:lineRule="exact"/>
        <w:ind w:firstLine="0" w:firstLineChars="0"/>
        <w:pStyle w:val="Normal"/>
        <w:rPr/>
      </w:pPr>
      <w:r>
        <w:rPr>
          <w:b/>
          <w:bCs/>
          <w:lang w:val="en-US" w:eastAsia="zh-CN"/>
        </w:rPr>
        <w:t>1.</w:t>
      </w:r>
      <w:r>
        <w:rPr>
          <w:b/>
          <w:bCs/>
          <w:lang w:val="en-US" w:eastAsia="zh-CN"/>
        </w:rPr>
        <w:t>本周作业</w:t>
      </w:r>
      <w:r>
        <w:rPr>
          <w:rFonts w:ascii="方正仿宋_GBK" w:hAnsi="方正仿宋_GBK"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承载力如</w:t>
      </w:r>
      <w:r>
        <w:rPr>
          <w:rFonts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图</w:t>
      </w:r>
      <w:r>
        <w:rPr>
          <w:rFonts w:ascii="方正仿宋_GBK" w:hAnsi="方正仿宋_GBK"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所示</w:t>
      </w:r>
      <w:r>
        <w:rPr>
          <w:rFonts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。</w:t>
      </w:r>
    </w:p>
    <w:p>
      <w:pPr>
        <w:keepNext/>
        <w:keepLines/>
        <w:widowControl w:val="0"/>
        <w:pageBreakBefore w:val="0"/>
        <w:spacing w:before="0" w:after="0" w:line="240" w:lineRule="auto"/>
        <w:ind w:firstLine="0" w:firstLineChars="0"/>
        <w:jc w:val="center"/>
        <w:pStyle w:val="Normal"/>
        <w:overflowPunct w:val="false"/>
        <w:bidi w:val="0"/>
        <w:snapToGrid w:val="true"/>
        <w:textAlignment w:val="auto"/>
        <w:rPr>
          <w:rFonts w:cs="方正仿宋_GBK"/>
          <w:color w:val="000000"/>
          <w:kern w:val="2"/>
          <w:sz w:val="32"/>
          <w:szCs w:val="32"/>
          <w:u w:val="none"/>
          <w:lang w:val="en-US" w:eastAsia="zh-CN" w:bidi="ar-SA"/>
        </w:rPr>
      </w:pPr>
      <w:r>
        <w:rPr/>
        <w:drawing>
          <wp:inline distT="0" distB="0" distL="0" distR="0">
            <wp:extent cx="5524500" cy="2171700"/>
            <wp:effectExtent l="0" t="0" r="0" b="0"/>
            <wp:docPr id="2" name="Chart 2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>
      <w:pPr>
        <w:pStyle w:val="Normal"/>
        <w:spacing w:lineRule="exact" w:line="580"/>
        <w:ind w:firstLine="640" w:end="0"/>
        <w:rPr>
          <w:rFonts w:cs="方正仿宋_GBK"/>
          <w:color w:val="000000"/>
          <w:kern w:val="0"/>
          <w:sz w:val="31"/>
          <w:szCs w:val="31"/>
          <w:lang w:val="en-US" w:eastAsia="zh-CN" w:bidi="ar-SA"/>
        </w:rPr>
      </w:pPr>
      <w:r>
        <w:rPr>
          <w:rFonts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电缆中心、平度公司作业承载力满载（90%以上），主要开展/、国网山东青岛供电公司35kV城阀线K6-1至K6-2开关箱电缆及通道维修、作业计划21、作业计划22、作业计划23、作业计划24、作业计划25、作业计划26等工作。变电运维、即墨公司作业承载力重载（75%以上），主要开展作业计划514、作业计划515、作业计划516、作业计划517、作业计划518、作业计划519、作业计划520、作业计划539等工作。</w:t>
      </w:r>
    </w:p>
    <w:p>
      <w:pPr>
        <w:pStyle w:val="Normal"/>
        <w:spacing w:lineRule="exact" w:line="580"/>
        <w:ind w:firstLine="620" w:end="0"/>
        <w:rPr>
          <w:rFonts w:cs="方正仿宋_GBK"/>
          <w:color w:val="000000"/>
          <w:kern w:val="0"/>
          <w:sz w:val="31"/>
          <w:szCs w:val="31"/>
          <w:lang w:val="en-US" w:eastAsia="zh-CN" w:bidi="ar-SA"/>
        </w:rPr>
      </w:pPr>
      <w:r>
        <w:rPr>
          <w:rFonts w:cs="方正仿宋_GBK"/>
          <w:color w:val="000000"/>
          <w:kern w:val="0"/>
          <w:sz w:val="31"/>
          <w:szCs w:val="31"/>
          <w:lang w:val="en-US" w:eastAsia="zh-CN" w:bidi="ar-SA"/>
        </w:rPr>
        <w:t>2.本周管理承载力为24%，其中市北中心达81%，现场管理人员满足作业管控需求。</w:t>
      </w:r>
    </w:p>
    <w:p>
      <w:pPr>
        <w:keepNext/>
        <w:keepLines/>
        <w:pageBreakBefore w:val="0"/>
        <w:spacing w:line="240" w:lineRule="auto"/>
        <w:ind w:firstLine="0" w:firstLineChars="0"/>
        <w:jc w:val="center"/>
      </w:pPr>
      <w:r>
        <w:drawing>
          <wp:inline distT="0" distB="0" distL="0" distR="0">
            <wp:extent cx="5524500" cy="2171700"/>
            <wp:effectExtent l="0" t="0" r="0" b="0"/>
            <wp:docPr id="4" name="Chart 4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>
      <w:pPr>
        <w:pStyle w:val="HY-"/>
        <w:rPr>
          <w:rFonts w:cs="方正仿宋_GBK"/>
          <w:color w:val="000000"/>
          <w:kern w:val="0"/>
          <w:sz w:val="31"/>
          <w:szCs w:val="31"/>
          <w:lang w:val="en-US" w:eastAsia="zh-CN" w:bidi="ar-SA"/>
        </w:rPr>
      </w:pPr>
      <w:r>
        <w:rPr>
          <w:rFonts w:cs="方正仿宋_GBK"/>
          <w:color w:val="000000"/>
          <w:kern w:val="0"/>
          <w:sz w:val="31"/>
          <w:szCs w:val="31"/>
          <w:lang w:val="en-US" w:eastAsia="zh-CN" w:bidi="ar-SA"/>
        </w:rPr>
      </w:r>
    </w:p>
    <w:p>
      <w:pPr>
        <w:pStyle w:val="Normal"/>
        <w:spacing w:lineRule="exact" w:line="580"/>
        <w:ind w:firstLine="643" w:end="0"/>
        <w:rPr>
          <w:rFonts w:ascii="方正楷体_GBK" w:hAnsi="方正楷体_GBK" w:eastAsia="方正楷体_GBK" w:cs="方正楷体_GBK"/>
          <w:b/>
          <w:bCs/>
          <w:color w:val="000000"/>
          <w:kern w:val="0"/>
          <w:sz w:val="32"/>
          <w:szCs w:val="32"/>
          <w:u w:val="none"/>
          <w:lang w:val="en-US" w:eastAsia="zh-CN" w:bidi="ar-SA"/>
        </w:rPr>
      </w:pPr>
      <w:r>
        <w:rPr>
          <w:rFonts w:eastAsia="方正楷体_GBK" w:cs="方正楷体_GBK" w:ascii="方正楷体_GBK" w:hAnsi="方正楷体_GBK"/>
          <w:b/>
          <w:bCs/>
          <w:color w:val="000000"/>
          <w:kern w:val="0"/>
          <w:sz w:val="32"/>
          <w:szCs w:val="32"/>
          <w:u w:val="none"/>
          <w:lang w:val="en-US" w:eastAsia="zh-CN" w:bidi="ar-SA"/>
        </w:rPr>
      </w:r>
    </w:p>
    <w:p>
      <w:pPr>
        <w:pStyle w:val="Normal"/>
        <w:spacing w:lineRule="exact" w:line="580"/>
        <w:ind w:firstLine="643" w:end="0"/>
        <w:rPr>
          <w:rFonts w:ascii="方正楷体_GBK" w:hAnsi="方正楷体_GBK" w:eastAsia="方正楷体_GBK" w:cs="方正楷体_GBK"/>
          <w:b/>
          <w:bCs/>
          <w:color w:val="000000"/>
          <w:sz w:val="32"/>
          <w:szCs w:val="32"/>
          <w:u w:val="none"/>
          <w:lang w:val="en-US" w:eastAsia="zh-CN"/>
        </w:rPr>
      </w:pPr>
      <w:r>
        <w:rPr>
          <w:rFonts w:eastAsia="方正楷体_GBK" w:cs="方正楷体_GBK" w:ascii="方正楷体_GBK" w:hAnsi="方正楷体_GBK"/>
          <w:b/>
          <w:bCs/>
          <w:color w:val="000000"/>
          <w:sz w:val="32"/>
          <w:szCs w:val="32"/>
          <w:u w:val="none"/>
          <w:lang w:val="en-US" w:eastAsia="zh-CN"/>
        </w:rPr>
      </w:r>
    </w:p>
    <w:p>
      <w:pPr>
        <w:pStyle w:val="Normal"/>
        <w:spacing w:lineRule="exact" w:line="580"/>
        <w:ind w:firstLine="643" w:end="0"/>
        <w:rPr>
          <w:lang w:val="en-US" w:eastAsia="zh-CN"/>
        </w:rPr>
      </w:pPr>
      <w:r>
        <w:rPr>
          <w:rFonts w:ascii="方正楷体_GBK" w:hAnsi="方正楷体_GBK" w:cs="方正楷体_GBK" w:eastAsia="方正楷体_GBK"/>
          <w:b/>
          <w:bCs/>
          <w:color w:val="000000"/>
          <w:sz w:val="32"/>
          <w:szCs w:val="32"/>
          <w:u w:val="none"/>
          <w:lang w:val="en-US" w:eastAsia="zh-CN"/>
        </w:rPr>
        <w:t>（二）日承载力分析</w:t>
      </w:r>
    </w:p>
    <w:p>
      <w:pPr>
        <w:pStyle w:val="Normal"/>
        <w:rPr>
          <w:rFonts w:ascii="宋体" w:hAnsi="宋体" w:eastAsia="宋体" w:cs="宋体"/>
          <w:b/>
          <w:bCs/>
          <w:i w:val="false"/>
          <w:i w:val="false"/>
          <w:iCs w:val="false"/>
          <w:color w:val="000000"/>
          <w:kern w:val="0"/>
          <w:sz w:val="21"/>
          <w:szCs w:val="24"/>
          <w:u w:val="none"/>
          <w:lang w:val="en-US" w:eastAsia="zh-CN" w:bidi="ar-SA"/>
        </w:rPr>
      </w:pPr>
      <w:r>
        <w:rPr>
          <w:lang w:val="en-US" w:eastAsia="zh-CN"/>
        </w:rPr>
        <w:t>各单位日计划如表所示：电缆中心（9月21日-25日）超100%；平度公司（9月21日、9月23日-27日）重载，请进一步优化调整工作计划安排，确保现场安全。</w:t>
      </w:r>
    </w:p>
    <w:tbl>
      <w:tblPr>
        <w:tblW w:w="88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  <w:left w:w="20" w:type="dxa"/>
          <w:right w:w="20" w:type="dxa"/>
        </w:tblCellMar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>
        <w:trPr>
          <w:trHeight w:val="1155" w:hRule="atLeast"/>
        </w:trPr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overflowPunct w:val="fals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kern w:val="0"/>
                <w:sz w:val="21"/>
                <w:szCs w:val="24"/>
                <w:u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日期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overflowPunct w:val="fals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/>
            </w:pPr>
            <w:r>
              <w:rPr>
                <w:rFonts w:ascii="宋体" w:hAnsi="宋体" w:eastAsia="宋体" w:cs="宋体"/>
                <w:b/>
                <w:sz w:val="24"/>
              </w:rPr>
              <w:t>变电</w:t>
              <w:br/>
            </w:r>
            <w:r>
              <w:rPr>
                <w:rFonts w:ascii="宋体" w:hAnsi="宋体" w:eastAsia="宋体" w:cs="宋体"/>
                <w:b/>
                <w:sz w:val="24"/>
              </w:rPr>
              <w:t>运维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overflowPunct w:val="fals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/>
            </w:pPr>
            <w:r>
              <w:rPr>
                <w:rFonts w:ascii="宋体" w:hAnsi="宋体" w:eastAsia="宋体" w:cs="宋体"/>
                <w:b/>
                <w:sz w:val="24"/>
              </w:rPr>
              <w:t>变电</w:t>
              <w:br/>
            </w:r>
            <w:r>
              <w:rPr>
                <w:rFonts w:ascii="宋体" w:hAnsi="宋体" w:eastAsia="宋体" w:cs="宋体"/>
                <w:b/>
                <w:sz w:val="24"/>
              </w:rPr>
              <w:t>检修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overflowPunct w:val="fals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/>
            </w:pPr>
            <w:r>
              <w:rPr>
                <w:rFonts w:ascii="宋体" w:hAnsi="宋体" w:eastAsia="宋体" w:cs="宋体"/>
                <w:b/>
                <w:sz w:val="24"/>
              </w:rPr>
              <w:t>输电</w:t>
              <w:br/>
            </w:r>
            <w:r>
              <w:rPr>
                <w:rFonts w:ascii="宋体" w:hAnsi="宋体" w:eastAsia="宋体" w:cs="宋体"/>
                <w:b/>
                <w:sz w:val="24"/>
              </w:rPr>
              <w:t>中心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overflowPunct w:val="fals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/>
            </w:pPr>
            <w:r>
              <w:rPr>
                <w:rFonts w:ascii="宋体" w:hAnsi="宋体" w:eastAsia="宋体" w:cs="宋体"/>
                <w:b/>
                <w:sz w:val="24"/>
              </w:rPr>
              <w:t>带电</w:t>
              <w:br/>
            </w:r>
            <w:r>
              <w:rPr>
                <w:rFonts w:ascii="宋体" w:hAnsi="宋体" w:eastAsia="宋体" w:cs="宋体"/>
                <w:b/>
                <w:sz w:val="24"/>
              </w:rPr>
              <w:t>中心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overflowPunct w:val="fals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/>
            </w:pPr>
            <w:r>
              <w:rPr>
                <w:rFonts w:ascii="宋体" w:hAnsi="宋体" w:eastAsia="宋体" w:cs="宋体"/>
                <w:b/>
                <w:sz w:val="24"/>
              </w:rPr>
              <w:t>电缆</w:t>
              <w:br/>
            </w:r>
            <w:r>
              <w:rPr>
                <w:rFonts w:ascii="宋体" w:hAnsi="宋体" w:eastAsia="宋体" w:cs="宋体"/>
                <w:b/>
                <w:sz w:val="24"/>
              </w:rPr>
              <w:t>中心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overflowPunct w:val="fals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/>
            </w:pPr>
            <w:r>
              <w:rPr>
                <w:rFonts w:ascii="宋体" w:hAnsi="宋体" w:eastAsia="宋体" w:cs="宋体"/>
                <w:b/>
                <w:sz w:val="24"/>
              </w:rPr>
              <w:t>市南</w:t>
              <w:br/>
            </w:r>
            <w:r>
              <w:rPr>
                <w:rFonts w:ascii="宋体" w:hAnsi="宋体" w:eastAsia="宋体" w:cs="宋体"/>
                <w:b/>
                <w:sz w:val="24"/>
              </w:rPr>
              <w:t>中心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overflowPunct w:val="fals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/>
            </w:pPr>
            <w:r>
              <w:rPr>
                <w:rFonts w:ascii="宋体" w:hAnsi="宋体" w:eastAsia="宋体" w:cs="宋体"/>
                <w:b/>
                <w:sz w:val="24"/>
              </w:rPr>
              <w:t>市北</w:t>
              <w:br/>
            </w:r>
            <w:r>
              <w:rPr>
                <w:rFonts w:ascii="宋体" w:hAnsi="宋体" w:eastAsia="宋体" w:cs="宋体"/>
                <w:b/>
                <w:sz w:val="24"/>
              </w:rPr>
              <w:t>中心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overflowPunct w:val="fals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/>
            </w:pPr>
            <w:r>
              <w:rPr>
                <w:rFonts w:ascii="宋体" w:hAnsi="宋体" w:eastAsia="宋体" w:cs="宋体"/>
                <w:b/>
                <w:sz w:val="24"/>
              </w:rPr>
              <w:t>崂山</w:t>
              <w:br/>
            </w:r>
            <w:r>
              <w:rPr>
                <w:rFonts w:ascii="宋体" w:hAnsi="宋体" w:eastAsia="宋体" w:cs="宋体"/>
                <w:b/>
                <w:sz w:val="24"/>
              </w:rPr>
              <w:t>中心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overflowPunct w:val="fals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/>
            </w:pPr>
            <w:r>
              <w:rPr>
                <w:rFonts w:ascii="宋体" w:hAnsi="宋体" w:eastAsia="宋体" w:cs="宋体"/>
                <w:b/>
                <w:sz w:val="24"/>
              </w:rPr>
              <w:t>李沧</w:t>
              <w:br/>
            </w:r>
            <w:r>
              <w:rPr>
                <w:rFonts w:ascii="宋体" w:hAnsi="宋体" w:eastAsia="宋体" w:cs="宋体"/>
                <w:b/>
                <w:sz w:val="24"/>
              </w:rPr>
              <w:t>中心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overflowPunct w:val="fals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/>
            </w:pPr>
            <w:r>
              <w:rPr>
                <w:rFonts w:ascii="宋体" w:hAnsi="宋体" w:eastAsia="宋体" w:cs="宋体"/>
                <w:b/>
                <w:sz w:val="24"/>
              </w:rPr>
              <w:t>城阳</w:t>
              <w:br/>
            </w:r>
            <w:r>
              <w:rPr>
                <w:rFonts w:ascii="宋体" w:hAnsi="宋体" w:eastAsia="宋体" w:cs="宋体"/>
                <w:b/>
                <w:sz w:val="24"/>
              </w:rPr>
              <w:t>中心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overflowPunct w:val="fals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/>
            </w:pPr>
            <w:r>
              <w:rPr>
                <w:rFonts w:ascii="宋体" w:hAnsi="宋体" w:eastAsia="宋体" w:cs="宋体"/>
                <w:b/>
                <w:sz w:val="24"/>
              </w:rPr>
              <w:t>安装</w:t>
              <w:br/>
            </w:r>
            <w:r>
              <w:rPr>
                <w:rFonts w:ascii="宋体" w:hAnsi="宋体" w:eastAsia="宋体" w:cs="宋体"/>
                <w:b/>
                <w:sz w:val="24"/>
              </w:rPr>
              <w:t>公司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overflowPunct w:val="fals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/>
            </w:pPr>
            <w:r>
              <w:rPr>
                <w:rFonts w:ascii="宋体" w:hAnsi="宋体" w:eastAsia="宋体" w:cs="宋体"/>
                <w:b/>
                <w:sz w:val="24"/>
              </w:rPr>
              <w:t>胶州</w:t>
              <w:br/>
            </w:r>
            <w:r>
              <w:rPr>
                <w:rFonts w:ascii="宋体" w:hAnsi="宋体" w:eastAsia="宋体" w:cs="宋体"/>
                <w:b/>
                <w:sz w:val="24"/>
              </w:rPr>
              <w:t>公司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overflowPunct w:val="fals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/>
            </w:pPr>
            <w:r>
              <w:rPr>
                <w:rFonts w:ascii="宋体" w:hAnsi="宋体" w:eastAsia="宋体" w:cs="宋体"/>
                <w:b/>
                <w:sz w:val="24"/>
              </w:rPr>
              <w:t>即墨</w:t>
              <w:br/>
            </w:r>
            <w:r>
              <w:rPr>
                <w:rFonts w:ascii="宋体" w:hAnsi="宋体" w:eastAsia="宋体" w:cs="宋体"/>
                <w:b/>
                <w:sz w:val="24"/>
              </w:rPr>
              <w:t>公司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overflowPunct w:val="fals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/>
            </w:pPr>
            <w:r>
              <w:rPr>
                <w:rFonts w:ascii="宋体" w:hAnsi="宋体" w:eastAsia="宋体" w:cs="宋体"/>
                <w:b/>
                <w:sz w:val="24"/>
              </w:rPr>
              <w:t>黄岛</w:t>
              <w:br/>
            </w:r>
            <w:r>
              <w:rPr>
                <w:rFonts w:ascii="宋体" w:hAnsi="宋体" w:eastAsia="宋体" w:cs="宋体"/>
                <w:b/>
                <w:sz w:val="24"/>
              </w:rPr>
              <w:t>公司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overflowPunct w:val="fals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/>
            </w:pPr>
            <w:r>
              <w:rPr>
                <w:rFonts w:ascii="宋体" w:hAnsi="宋体" w:eastAsia="宋体" w:cs="宋体"/>
                <w:b/>
                <w:sz w:val="24"/>
              </w:rPr>
              <w:t>平度</w:t>
              <w:br/>
            </w:r>
            <w:r>
              <w:rPr>
                <w:rFonts w:ascii="宋体" w:hAnsi="宋体" w:eastAsia="宋体" w:cs="宋体"/>
                <w:b/>
                <w:sz w:val="24"/>
              </w:rPr>
              <w:t>公司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overflowPunct w:val="fals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/>
            </w:pPr>
            <w:r>
              <w:rPr>
                <w:rFonts w:ascii="宋体" w:hAnsi="宋体" w:eastAsia="宋体" w:cs="宋体"/>
                <w:b/>
                <w:sz w:val="24"/>
              </w:rPr>
              <w:t>莱西</w:t>
              <w:br/>
            </w:r>
            <w:r>
              <w:rPr>
                <w:rFonts w:ascii="宋体" w:hAnsi="宋体" w:eastAsia="宋体" w:cs="宋体"/>
                <w:b/>
                <w:sz w:val="24"/>
              </w:rPr>
              <w:t>公司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21</w:t>
              <w:br/>
            </w:r>
            <w:r>
              <w:rPr>
                <w:rFonts w:ascii="宋体" w:hAnsi="宋体" w:eastAsia="宋体" w:cs="宋体"/>
                <w:b w:val="0"/>
                <w:sz w:val="24"/>
              </w:rPr>
              <w:t>日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42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35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118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16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12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26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23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48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13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80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42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22</w:t>
              <w:br/>
            </w:r>
            <w:r>
              <w:rPr>
                <w:rFonts w:ascii="宋体" w:hAnsi="宋体" w:eastAsia="宋体" w:cs="宋体"/>
                <w:b w:val="0"/>
                <w:sz w:val="24"/>
              </w:rPr>
              <w:t>日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41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54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112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16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25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23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23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15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61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74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42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23</w:t>
              <w:br/>
            </w:r>
            <w:r>
              <w:rPr>
                <w:rFonts w:ascii="宋体" w:hAnsi="宋体" w:eastAsia="宋体" w:cs="宋体"/>
                <w:b w:val="0"/>
                <w:sz w:val="24"/>
              </w:rPr>
              <w:t>日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18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43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117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22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23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15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56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16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76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47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24</w:t>
              <w:br/>
            </w:r>
            <w:r>
              <w:rPr>
                <w:rFonts w:ascii="宋体" w:hAnsi="宋体" w:eastAsia="宋体" w:cs="宋体"/>
                <w:b w:val="0"/>
                <w:sz w:val="24"/>
              </w:rPr>
              <w:t>日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42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55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126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13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10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19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22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23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63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16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77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49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25</w:t>
              <w:br/>
            </w:r>
            <w:r>
              <w:rPr>
                <w:rFonts w:ascii="宋体" w:hAnsi="宋体" w:eastAsia="宋体" w:cs="宋体"/>
                <w:b w:val="0"/>
                <w:sz w:val="24"/>
              </w:rPr>
              <w:t>日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51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42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126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15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17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21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11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18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6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17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79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69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26</w:t>
              <w:br/>
            </w:r>
            <w:r>
              <w:rPr>
                <w:rFonts w:ascii="宋体" w:hAnsi="宋体" w:eastAsia="宋体" w:cs="宋体"/>
                <w:b w:val="0"/>
                <w:sz w:val="24"/>
              </w:rPr>
              <w:t>日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49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8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18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21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10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17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6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26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16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79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12</w:t>
            </w:r>
          </w:p>
        </w:tc>
      </w:tr>
      <w:tr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27</w:t>
              <w:br/>
            </w:r>
            <w:r>
              <w:rPr>
                <w:rFonts w:ascii="宋体" w:hAnsi="宋体" w:eastAsia="宋体" w:cs="宋体"/>
                <w:b w:val="0"/>
                <w:sz w:val="24"/>
              </w:rPr>
              <w:t>日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42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15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10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18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10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17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28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16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82</w:t>
            </w:r>
          </w:p>
        </w:tc>
        <w:tc>
          <w:tcPr>
            <w:tcW w:type="dxa" w:w="5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12</w:t>
            </w:r>
          </w:p>
        </w:tc>
      </w:tr>
    </w:tbl>
    <w:p>
      <w:pPr>
        <w:pStyle w:val="HY-"/>
        <w:bidi w:val="0"/>
        <w:rPr>
          <w:lang w:val="en-US" w:eastAsia="zh-CN"/>
        </w:rPr>
      </w:pPr>
      <w:r>
        <w:rPr>
          <w:lang w:val="en-US" w:eastAsia="zh-CN"/>
        </w:rPr>
        <w:t>三、辅助建议与风险管控提示</w:t>
      </w:r>
    </w:p>
    <w:p>
      <w:pPr>
        <w:pStyle w:val="HY-"/>
        <w:bidi w:val="0"/>
        <w:rPr/>
      </w:pPr>
      <w:r>
        <w:rPr>
          <w:lang w:val="en-US" w:eastAsia="zh-CN"/>
        </w:rPr>
        <w:t>【判断】本周作业承载力总体偏紧。满载单位：电缆中心149.9%、平度公司136.6%；重载单位：变电运维77.7%、即墨公司76.3%。矛盾主要集中在电缆中心、平度公司。【风险】本周期三级17项、四级712项、五级2530项。其中变电运维三级6项，与满载/重载区间重叠，存在「高负荷+高风险」叠加，须重点盯防。【管理】全网管理承载力24%，总体可支撑，但满载/重载单位检查频次应高于常规。【措施】1．对电缆中心、平度公司：立即组织计划清理，非紧急四级/五级作业错峰或暂缓，满载解除前原则上不新增长周期作业；2．对变电运维、即墨公司：控制新增计划，优先保障已批复三级及紧急消缺；3．其他单位按预警分级动态管控。【反馈】请电缆中心、平度公司安监会同生产部门于下一工作日前反馈计划调整结果。【底线】涉及保电、紧急消缺、重大风险管控的作业，须履行审批后实施，不得简单取消。</w:t>
      </w:r>
    </w:p>
    <w:sectPr>
      <w:footerReference w:type="default" r:id="rId3"/>
      <w:type w:val="nextPage"/>
      <w:pgSz w:orient="landscape" w:w="11906" w:h="16838"/>
      <w:pgMar w:left="1587" w:right="1474" w:gutter="0" w:header="0" w:top="2098" w:footer="992" w:bottom="198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方正仿宋_GBK">
    <w:charset w:val="01"/>
    <w:family w:val="roman"/>
    <w:pitch w:val="variable"/>
  </w:font>
  <w:font w:name="方正楷体_GBK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仿宋_GB2312">
    <w:charset w:val="01"/>
    <w:family w:val="roman"/>
    <w:pitch w:val="variable"/>
  </w:font>
  <w:font w:name="宋体">
    <w:charset w:val="01"/>
    <w:family w:val="roman"/>
    <w:pitch w:val="variable"/>
  </w:font>
  <w:font w:name="Calibri">
    <w:charset w:val="01"/>
    <w:family w:val="roman"/>
    <w:pitch w:val="variable"/>
  </w:font>
  <w:font w:name="方正小标宋_GBK">
    <w:charset w:val="01"/>
    <w:family w:val="roman"/>
    <w:pitch w:val="variable"/>
  </w:font>
  <w:font w:name="方正黑体_GBK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  <mc:AlternateContent>
        <mc:Choice Requires="wps">
          <w:drawing>
            <wp:anchor behindDoc="1" distT="0" distB="0" distL="114935" distR="0" simplePos="0" locked="0" layoutInCell="0" allowOverlap="1" relativeHeight="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031240" cy="368300"/>
              <wp:effectExtent l="2292350" t="635" r="0" b="0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1400" cy="368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l21600,21600l21600,xe">
              <v:stroke joinstyle="miter"/>
              <v:path gradientshapeok="t" o:connecttype="rect"/>
            </v:shapetype>
            <v:shape id="shape_0" fillcolor="white" stroked="f" o:allowincell="f" style="position:absolute;margin-left:180.5pt;margin-top:0.05pt;width:81.15pt;height:28.95pt;mso-wrap-style:none;v-text-anchor:middle;mso-position-horizontal:center;mso-position-horizontal-relative:margin" type="_x0000_t202">
              <v:textbox>
                <w:txbxContent>
                  <w:p>
                    <w:pPr>
                      <w:overflowPunct w:val="false"/>
                      <w:spacing w:lineRule="auto" w:line="240"/>
                      <w:jc w:val="start"/>
                      <w:rPr/>
                    </w:pPr>
                    <w:r>
                      <w:rPr>
                        <w:sz w:val="24"/>
                        <w:rFonts w:ascii="Liberation Serif" w:hAnsi="Liberation Serif" w:eastAsia="WenQuanYi Micro Hei" w:cs="Noto Sans Devanagari"/>
                        <w:lang w:bidi="hi-IN"/>
                      </w:rPr>
                    </w:r>
                  </w:p>
                </w:txbxContent>
              </v:textbox>
              <v:fill o:detectmouseclick="t" type="solid" color2="black" opacity="0"/>
              <v:stroke color="#3465a4" joinstyle="round" endcap="flat"/>
              <w10:wrap type="none"/>
            </v:shape>
          </w:pict>
        </mc:Fallback>
      </mc:AlternateContent>
    </w:r>
    <w:r>
      <mc:AlternateContent>
        <mc:Choice Requires="wps">
          <w:drawing>
            <wp:anchor behindDoc="1" distT="72390" distB="7239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031875" cy="36893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1875" cy="3689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eastAsia="方正仿宋_GBK" w:cs="方正仿宋_GBK"/>
                              <w:sz w:val="24"/>
                              <w:szCs w:val="24"/>
                            </w:rPr>
                            <w:t>—</w:t>
                          </w:r>
                          <w:r>
                            <w:rPr>
                              <w:rFonts w:eastAsia="方正仿宋_GBK" w:cs="方正仿宋_GBK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eastAsia="方正仿宋_GBK" w:cs="方正仿宋_GBK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t>3</w:t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fldChar w:fldCharType="end"/>
                          </w:r>
                          <w:r>
                            <w:rPr>
                              <w:rFonts w:eastAsia="方正仿宋_GBK" w:cs="方正仿宋_GBK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eastAsia="方正仿宋_GBK" w:cs="方正仿宋_GBK"/>
                              <w:sz w:val="24"/>
                              <w:szCs w:val="24"/>
                            </w:rPr>
                            <w:t>—</w:t>
                          </w:r>
                        </w:p>
                      </w:txbxContent>
                    </wps:txbx>
                    <wps:bodyPr anchor="t" lIns="1270" tIns="1270" rIns="1270" bIns="1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81.25pt;height:29.05pt;mso-wrap-distance-left:0pt;mso-wrap-distance-right:0pt;mso-wrap-distance-top:5.7pt;mso-wrap-distance-bottom:5.7pt;margin-top:0.05pt;mso-position-vertical-relative:text;margin-left:180.5pt;mso-position-horizontal:center;mso-position-horizontal-relative:margin">
              <v:fill opacity="0f"/>
              <v:textbox inset="0.00138888888888889in,0.00138888888888889in,0.00138888888888889in,0.00138888888888889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eastAsia="方正仿宋_GBK" w:cs="方正仿宋_GBK"/>
                        <w:sz w:val="24"/>
                        <w:szCs w:val="24"/>
                      </w:rPr>
                      <w:t>—</w:t>
                    </w:r>
                    <w:r>
                      <w:rPr>
                        <w:rFonts w:eastAsia="方正仿宋_GBK" w:cs="方正仿宋_GBK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eastAsia="方正仿宋_GBK" w:cs="方正仿宋_GBK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instrText xml:space="preserve"> PAGE </w:instrText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t>3</w:t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fldChar w:fldCharType="end"/>
                    </w:r>
                    <w:r>
                      <w:rPr>
                        <w:rFonts w:eastAsia="方正仿宋_GBK" w:cs="方正仿宋_GBK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eastAsia="方正仿宋_GBK" w:cs="方正仿宋_GBK"/>
                        <w:sz w:val="24"/>
                        <w:szCs w:val="24"/>
                      </w:rPr>
                      <w:t>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HY-"/>
    <w:qFormat/>
    <w:pPr>
      <w:widowControl w:val="false"/>
      <w:suppressAutoHyphens w:val="true"/>
      <w:bidi w:val="0"/>
      <w:spacing w:lineRule="exact" w:line="580" w:before="0" w:after="0"/>
      <w:ind w:firstLine="880" w:start="0" w:end="0"/>
      <w:jc w:val="both"/>
    </w:pPr>
    <w:rPr>
      <w:rFonts w:ascii="方正仿宋_GBK" w:hAnsi="方正仿宋_GBK" w:eastAsia="方正仿宋_GBK" w:cs="Times New Roman"/>
      <w:color w:val="auto"/>
      <w:kern w:val="2"/>
      <w:sz w:val="32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题注 Char"/>
    <w:qFormat/>
    <w:rPr>
      <w:rFonts w:ascii="方正仿宋_GBK" w:hAnsi="方正仿宋_GBK" w:eastAsia="方正仿宋_GBK" w:cs="方正仿宋_GBK"/>
      <w:sz w:val="32"/>
    </w:rPr>
  </w:style>
  <w:style w:type="character" w:styleId="Char1">
    <w:name w:val="公司内容重点 Char1"/>
    <w:qFormat/>
    <w:rPr>
      <w:rFonts w:ascii="方正楷体_GBK" w:hAnsi="方正楷体_GBK" w:eastAsia="方正楷体_GBK" w:cs="方正楷体_GBK"/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WenQuanYi Micro Hei" w:cs="Noto Sans Devanagari"/>
      <w:sz w:val="28"/>
      <w:szCs w:val="28"/>
    </w:rPr>
  </w:style>
  <w:style w:type="paragraph" w:styleId="BodyText">
    <w:name w:val="Body Text"/>
    <w:basedOn w:val="Normal"/>
    <w:next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Y-">
    <w:name w:val="HY-正文"/>
    <w:basedOn w:val="Normal"/>
    <w:qFormat/>
    <w:pPr>
      <w:spacing w:lineRule="exact" w:line="580"/>
      <w:ind w:firstLine="200" w:start="0" w:end="0"/>
    </w:pPr>
    <w:rPr>
      <w:rFonts w:ascii="仿宋_GB2312" w:hAnsi="仿宋_GB2312" w:cs="Times New Roman"/>
      <w:szCs w:val="32"/>
    </w:rPr>
  </w:style>
  <w:style w:type="paragraph" w:styleId="Style15">
    <w:name w:val="正文缩进"/>
    <w:basedOn w:val="Normal"/>
    <w:next w:val="Normal"/>
    <w:qFormat/>
    <w:pPr>
      <w:ind w:firstLine="420" w:start="0" w:end="0"/>
    </w:pPr>
    <w:rPr/>
  </w:style>
  <w:style w:type="paragraph" w:styleId="Style16">
    <w:name w:val="题注"/>
    <w:basedOn w:val="Normal"/>
    <w:next w:val="Normal"/>
    <w:qFormat/>
    <w:pPr/>
    <w:rPr>
      <w:rFonts w:ascii="方正仿宋_GBK" w:hAnsi="方正仿宋_GBK" w:cs="方正仿宋_GBK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next w:val="Style17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Style17">
    <w:name w:val="正文首行缩进"/>
    <w:basedOn w:val="BodyText"/>
    <w:next w:val="Normal"/>
    <w:qFormat/>
    <w:pPr>
      <w:ind w:firstLine="420" w:start="0" w:end="0"/>
    </w:pPr>
    <w:rPr/>
  </w:style>
  <w:style w:type="paragraph" w:styleId="Header">
    <w:name w:val="Header"/>
    <w:basedOn w:val="Normal"/>
    <w:next w:val="Footer"/>
    <w:pPr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HTML">
    <w:name w:val="HTML 预设格式"/>
    <w:basedOn w:val="Normal"/>
    <w:qFormat/>
    <w:pPr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Style18">
    <w:name w:val="普通(网站)"/>
    <w:basedOn w:val="Normal"/>
    <w:qFormat/>
    <w:pPr/>
    <w:rPr>
      <w:sz w:val="24"/>
    </w:rPr>
  </w:style>
  <w:style w:type="paragraph" w:styleId="Style19">
    <w:name w:val="青岛二级标题"/>
    <w:basedOn w:val="Normal"/>
    <w:qFormat/>
    <w:pPr>
      <w:spacing w:lineRule="exact" w:line="580"/>
      <w:ind w:firstLine="632" w:start="0" w:end="0"/>
      <w:outlineLvl w:val="1"/>
    </w:pPr>
    <w:rPr>
      <w:rFonts w:ascii="方正楷体_GBK" w:hAnsi="方正楷体_GBK" w:eastAsia="方正楷体_GBK" w:cs="方正楷体_GBK"/>
      <w:b/>
      <w:sz w:val="32"/>
      <w:szCs w:val="32"/>
    </w:rPr>
  </w:style>
  <w:style w:type="paragraph" w:styleId="Style20">
    <w:name w:val="公司内容重点"/>
    <w:basedOn w:val="Normal"/>
    <w:qFormat/>
    <w:pPr>
      <w:spacing w:lineRule="exact" w:line="580"/>
      <w:ind w:firstLine="880" w:start="0" w:end="0"/>
    </w:pPr>
    <w:rPr>
      <w:rFonts w:ascii="方正楷体_GBK" w:hAnsi="方正楷体_GBK" w:eastAsia="方正楷体_GBK" w:cs="方正楷体_GBK"/>
      <w:b/>
      <w:sz w:val="32"/>
    </w:rPr>
  </w:style>
  <w:style w:type="paragraph" w:styleId="Style21">
    <w:name w:val="表格"/>
    <w:basedOn w:val="Normal"/>
    <w:qFormat/>
    <w:pPr>
      <w:widowControl/>
      <w:spacing w:lineRule="auto" w:line="240"/>
      <w:ind w:hanging="0" w:start="0" w:end="0"/>
      <w:jc w:val="center"/>
      <w:textAlignment w:val="center"/>
    </w:pPr>
    <w:rPr>
      <w:rFonts w:ascii="宋体" w:hAnsi="宋体" w:eastAsia="宋体" w:cs="宋体"/>
      <w:b w:val="false"/>
      <w:bCs/>
      <w:color w:val="000000"/>
      <w:sz w:val="20"/>
      <w:szCs w:val="20"/>
    </w:rPr>
  </w:style>
  <w:style w:type="paragraph" w:styleId="1">
    <w:name w:val="正文缩进1"/>
    <w:basedOn w:val="Style15"/>
    <w:qFormat/>
    <w:pPr/>
    <w:rPr>
      <w:rFonts w:ascii="Calibri" w:hAnsi="Calibri" w:eastAsia="宋体" w:cs="Times New Roman"/>
      <w:szCs w:val="21"/>
    </w:rPr>
  </w:style>
  <w:style w:type="paragraph" w:styleId="Style22">
    <w:name w:val="图"/>
    <w:basedOn w:val="Normal"/>
    <w:qFormat/>
    <w:pPr>
      <w:spacing w:lineRule="exact" w:line="300" w:before="0" w:after="50"/>
      <w:ind w:hanging="0" w:start="0" w:end="0"/>
      <w:jc w:val="center"/>
    </w:pPr>
    <w:rPr>
      <w:rFonts w:cs="方正仿宋_GBK"/>
      <w:color w:val="000000"/>
      <w:sz w:val="24"/>
    </w:rPr>
  </w:style>
  <w:style w:type="paragraph" w:styleId="Style23">
    <w:name w:val="表"/>
    <w:basedOn w:val="Normal"/>
    <w:qFormat/>
    <w:pPr>
      <w:spacing w:lineRule="exact" w:line="300" w:before="50" w:after="0"/>
      <w:ind w:hanging="0" w:start="0" w:end="0"/>
      <w:jc w:val="center"/>
    </w:pPr>
    <w:rPr>
      <w:rFonts w:cs="方正仿宋_GBK"/>
      <w:color w:val="00000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hart" Target="charts/chart1.xml"/><Relationship Id="rId8" Type="http://schemas.openxmlformats.org/officeDocument/2006/relationships/chart" Target="charts/chart2.xml"/><Relationship Id="rId9" Type="http://schemas.openxmlformats.org/officeDocument/2006/relationships/chart" Target="charts/chart3.xml"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B02418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B0241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5A8FD4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5A8FD4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电
缆
中
心</c:v>
                </c:pt>
                <c:pt idx="1">
                  <c:v>平
度
公
司</c:v>
                </c:pt>
                <c:pt idx="2">
                  <c:v>变
电
运
维</c:v>
                </c:pt>
                <c:pt idx="3">
                  <c:v>即
墨
公
司</c:v>
                </c:pt>
                <c:pt idx="4">
                  <c:v>莱
西
公
司</c:v>
                </c:pt>
                <c:pt idx="5">
                  <c:v>输
电
中
心</c:v>
                </c:pt>
                <c:pt idx="6">
                  <c:v>李
沧
中
心</c:v>
                </c:pt>
                <c:pt idx="7">
                  <c:v>安
装
公
司</c:v>
                </c:pt>
                <c:pt idx="8">
                  <c:v>崂
山
中
心</c:v>
                </c:pt>
                <c:pt idx="9">
                  <c:v>城
阳
中
心</c:v>
                </c:pt>
                <c:pt idx="10">
                  <c:v>黄
岛
公
司</c:v>
                </c:pt>
                <c:pt idx="11">
                  <c:v>市
北
中
心</c:v>
                </c:pt>
                <c:pt idx="12">
                  <c:v>市
南
中
心</c:v>
                </c:pt>
                <c:pt idx="13">
                  <c:v>变
电
检
修</c:v>
                </c:pt>
                <c:pt idx="14">
                  <c:v>胶
州
公
司</c:v>
                </c:pt>
                <c:pt idx="15">
                  <c:v>带
电
中
心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150</c:v>
                </c:pt>
                <c:pt idx="1">
                  <c:v>137</c:v>
                </c:pt>
                <c:pt idx="2">
                  <c:v>78</c:v>
                </c:pt>
                <c:pt idx="3">
                  <c:v>76</c:v>
                </c:pt>
                <c:pt idx="4">
                  <c:v>68</c:v>
                </c:pt>
                <c:pt idx="5">
                  <c:v>64</c:v>
                </c:pt>
                <c:pt idx="6">
                  <c:v>40</c:v>
                </c:pt>
                <c:pt idx="7">
                  <c:v>36</c:v>
                </c:pt>
                <c:pt idx="8">
                  <c:v>35</c:v>
                </c:pt>
                <c:pt idx="9">
                  <c:v>30</c:v>
                </c:pt>
                <c:pt idx="10">
                  <c:v>27</c:v>
                </c:pt>
                <c:pt idx="11">
                  <c:v>26</c:v>
                </c:pt>
                <c:pt idx="12">
                  <c:v>23</c:v>
                </c:pt>
                <c:pt idx="13">
                  <c:v>21</c:v>
                </c:pt>
                <c:pt idx="14">
                  <c:v>16</c:v>
                </c:pt>
                <c:pt idx="15">
                  <c:v>7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lblAlgn val="ctr"/>
        <c:lblOffset val="100"/>
        <c:tickLblSkip val="1"/>
        <c:txPr>
          <a:bodyPr rot="0" wrap="square"/>
          <a:lstStyle/>
          <a:p>
            <a:pPr>
              <a:defRPr sz="700">
                <a:latin typeface="宋体"/>
                <a:ea typeface="宋体"/>
                <a:cs typeface="宋体"/>
              </a:defRPr>
            </a:pPr>
            <a:endParaRPr lang="zh-CN" altLang="en-US" sz="700">
              <a:latin typeface="宋体"/>
              <a:ea typeface="宋体"/>
            </a:endParaRPr>
          </a:p>
        </c:txPr>
        <c:crossAx val="2"/>
        <c:crosses val="min"/>
      </c:catAx>
      <c:valAx>
        <c:axId val="2"/>
        <c:scaling>
          <c:orientation val="minMax"/>
          <c:max val="150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min"/>
        <c:crossBetween val="between"/>
      </c:valAx>
    </c:plotArea>
    <c:plotVisOnly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8FB8E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8BB5DE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86B1DC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82AEDA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7EAAD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79A7D6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75A3D4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70A0D2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6C9CD0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6799CE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6395CC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5F92CA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5A8EC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568BC6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5187C4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4D84C2"/>
              </a:solidFill>
              <a:ln>
                <a:noFill/>
              </a:ln>
            </c:spPr>
          </c:dPt>
          <c:dPt>
            <c:idx val="16"/>
            <c:bubble3D val="0"/>
            <c:spPr>
              <a:solidFill>
                <a:srgbClr val="4880C0"/>
              </a:solidFill>
              <a:ln>
                <a:noFill/>
              </a:ln>
            </c:spPr>
          </c:dPt>
          <c:dPt>
            <c:idx val="17"/>
            <c:bubble3D val="0"/>
            <c:spPr>
              <a:solidFill>
                <a:srgbClr val="447DBE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900">
                    <a:latin typeface="宋体"/>
                    <a:ea typeface="宋体"/>
                    <a:cs typeface="宋体"/>
                  </a:defRPr>
                </a:pPr>
                <a:endParaRPr lang="zh-CN" altLang="en-US" sz="9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Sheet1!$A$2:$A$19</c:f>
              <c:strCache>
                <c:ptCount val="18"/>
                <c:pt idx="0">
                  <c:v>巡
视</c:v>
                </c:pt>
                <c:pt idx="1">
                  <c:v>装
表
接
电</c:v>
                </c:pt>
                <c:pt idx="2">
                  <c:v>大
修</c:v>
                </c:pt>
                <c:pt idx="3">
                  <c:v>配
农
网
工
程</c:v>
                </c:pt>
                <c:pt idx="4">
                  <c:v>带
电
作
业</c:v>
                </c:pt>
                <c:pt idx="5">
                  <c:v>技
改</c:v>
                </c:pt>
                <c:pt idx="6">
                  <c:v>倒
闸</c:v>
                </c:pt>
                <c:pt idx="7">
                  <c:v>试
验
检
测</c:v>
                </c:pt>
                <c:pt idx="8">
                  <c:v>其
他</c:v>
                </c:pt>
                <c:pt idx="9">
                  <c:v>无
人
机
巡
检</c:v>
                </c:pt>
                <c:pt idx="10">
                  <c:v>输
变
电
工
程</c:v>
                </c:pt>
                <c:pt idx="11">
                  <c:v>业
扩
工
程</c:v>
                </c:pt>
                <c:pt idx="12">
                  <c:v>树
木
修
剪</c:v>
                </c:pt>
                <c:pt idx="13">
                  <c:v>常
规
检
修</c:v>
                </c:pt>
                <c:pt idx="14">
                  <c:v>迁
改
工
程</c:v>
                </c:pt>
                <c:pt idx="15">
                  <c:v>外
部
工
程</c:v>
                </c:pt>
                <c:pt idx="16">
                  <c:v>消
缺</c:v>
                </c:pt>
                <c:pt idx="17">
                  <c:v>通
信
检
修
施
工</c:v>
                </c:pt>
              </c:strCache>
            </c:strRef>
          </c:cat>
          <c:val>
            <c:numRef>
              <c:f>Sheet1!$B$2:$B$19</c:f>
              <c:numCache>
                <c:formatCode>0</c:formatCode>
                <c:ptCount val="18"/>
                <c:pt idx="0">
                  <c:v>1171</c:v>
                </c:pt>
                <c:pt idx="1">
                  <c:v>895</c:v>
                </c:pt>
                <c:pt idx="2">
                  <c:v>323</c:v>
                </c:pt>
                <c:pt idx="3">
                  <c:v>193</c:v>
                </c:pt>
                <c:pt idx="4">
                  <c:v>98</c:v>
                </c:pt>
                <c:pt idx="5">
                  <c:v>77</c:v>
                </c:pt>
                <c:pt idx="6">
                  <c:v>75</c:v>
                </c:pt>
                <c:pt idx="7">
                  <c:v>62</c:v>
                </c:pt>
                <c:pt idx="8">
                  <c:v>57</c:v>
                </c:pt>
                <c:pt idx="9">
                  <c:v>45</c:v>
                </c:pt>
                <c:pt idx="10">
                  <c:v>24</c:v>
                </c:pt>
                <c:pt idx="11">
                  <c:v>19</c:v>
                </c:pt>
                <c:pt idx="12">
                  <c:v>18</c:v>
                </c:pt>
                <c:pt idx="13">
                  <c:v>11</c:v>
                </c:pt>
                <c:pt idx="14">
                  <c:v>11</c:v>
                </c:pt>
                <c:pt idx="15">
                  <c:v>9</c:v>
                </c:pt>
                <c:pt idx="16">
                  <c:v>5</c:v>
                </c:pt>
                <c:pt idx="17">
                  <c:v>3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lblAlgn val="ctr"/>
        <c:lblOffset val="100"/>
        <c:tickLblSkip val="1"/>
        <c:txPr>
          <a:bodyPr rot="0" wrap="square"/>
          <a:lstStyle/>
          <a:p>
            <a:pPr>
              <a:defRPr sz="700">
                <a:latin typeface="宋体"/>
                <a:ea typeface="宋体"/>
                <a:cs typeface="宋体"/>
              </a:defRPr>
            </a:pPr>
            <a:endParaRPr lang="zh-CN" altLang="en-US" sz="700">
              <a:latin typeface="宋体"/>
              <a:ea typeface="宋体"/>
            </a:endParaRPr>
          </a:p>
        </c:txPr>
        <c:crossAx val="2"/>
        <c:crosses val="min"/>
      </c:catAx>
      <c:valAx>
        <c:axId val="2"/>
        <c:scaling>
          <c:orientation val="minMax"/>
          <c:max val="1500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tickLblPos val="nextTo"/>
        <c:crossAx val="1"/>
        <c:crosses val="min"/>
        <c:crossBetween val="between"/>
      </c:valAx>
    </c:plotArea>
    <c:plotVisOnly val="1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5A8FD4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市
北
中
心</c:v>
                </c:pt>
                <c:pt idx="1">
                  <c:v>城
阳
中
心</c:v>
                </c:pt>
                <c:pt idx="2">
                  <c:v>变
电
运
维</c:v>
                </c:pt>
                <c:pt idx="3">
                  <c:v>李
沧
中
心</c:v>
                </c:pt>
                <c:pt idx="4">
                  <c:v>市
南
中
心</c:v>
                </c:pt>
                <c:pt idx="5">
                  <c:v>崂
山
中
心</c:v>
                </c:pt>
                <c:pt idx="6">
                  <c:v>胶
州
公
司</c:v>
                </c:pt>
                <c:pt idx="7">
                  <c:v>黄
岛
公
司</c:v>
                </c:pt>
                <c:pt idx="8">
                  <c:v>输
电
中
心</c:v>
                </c:pt>
                <c:pt idx="9">
                  <c:v>安
装
公
司</c:v>
                </c:pt>
                <c:pt idx="10">
                  <c:v>莱
西
公
司</c:v>
                </c:pt>
                <c:pt idx="11">
                  <c:v>平
度
公
司</c:v>
                </c:pt>
                <c:pt idx="12">
                  <c:v>电
缆
中
心</c:v>
                </c:pt>
                <c:pt idx="13">
                  <c:v>即
墨
公
司</c:v>
                </c:pt>
                <c:pt idx="14">
                  <c:v>变
电
检
修</c:v>
                </c:pt>
                <c:pt idx="15">
                  <c:v>其
他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81</c:v>
                </c:pt>
                <c:pt idx="1">
                  <c:v>68</c:v>
                </c:pt>
                <c:pt idx="2">
                  <c:v>67</c:v>
                </c:pt>
                <c:pt idx="3">
                  <c:v>57</c:v>
                </c:pt>
                <c:pt idx="4">
                  <c:v>52</c:v>
                </c:pt>
                <c:pt idx="5">
                  <c:v>52</c:v>
                </c:pt>
                <c:pt idx="6">
                  <c:v>42</c:v>
                </c:pt>
                <c:pt idx="7">
                  <c:v>31</c:v>
                </c:pt>
                <c:pt idx="8">
                  <c:v>28</c:v>
                </c:pt>
                <c:pt idx="9">
                  <c:v>18</c:v>
                </c:pt>
                <c:pt idx="10">
                  <c:v>16</c:v>
                </c:pt>
                <c:pt idx="11">
                  <c:v>15</c:v>
                </c:pt>
                <c:pt idx="12">
                  <c:v>14</c:v>
                </c:pt>
                <c:pt idx="13">
                  <c:v>14</c:v>
                </c:pt>
                <c:pt idx="14">
                  <c:v>13</c:v>
                </c:pt>
                <c:pt idx="15">
                  <c:v>0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lblAlgn val="ctr"/>
        <c:lblOffset val="100"/>
        <c:tickLblSkip val="1"/>
        <c:txPr>
          <a:bodyPr rot="0" wrap="square"/>
          <a:lstStyle/>
          <a:p>
            <a:pPr>
              <a:defRPr sz="700">
                <a:latin typeface="宋体"/>
                <a:ea typeface="宋体"/>
                <a:cs typeface="宋体"/>
              </a:defRPr>
            </a:pPr>
            <a:endParaRPr lang="zh-CN" altLang="en-US" sz="700">
              <a:latin typeface="宋体"/>
              <a:ea typeface="宋体"/>
            </a:endParaRPr>
          </a:p>
        </c:txPr>
        <c:crossAx val="2"/>
        <c:crosses val="min"/>
      </c:catAx>
      <c:valAx>
        <c:axId val="2"/>
        <c:scaling>
          <c:orientation val="minMax"/>
          <c:max val="150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min"/>
        <c:crossBetween val="between"/>
      </c:valAx>
    </c:plotArea>
    <c:plotVisOnly val="1"/>
  </c:chart>
  <c:externalData r:id="rId1">
    <c:autoUpdate val="0"/>
  </c:externalData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2026-01-29T01:57:38Z</dcterms:created>
  <dc:creator>Administrator</dc:creator>
  <dc:description/>
  <dc:language>en-US</dc:language>
  <cp:lastModifiedBy>admin</cp:lastModifiedBy>
  <cp:lastPrinted>2026-05-13T13:01:00Z</cp:lastPrinted>
  <dcterms:modified xsi:type="dcterms:W3CDTF">2026-09-03T10:43:50Z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6CBDDA544A3548418EE5CAF41BAA2C9B_13</vt:lpwstr>
  </property>
  <property fmtid="{D5CDD505-2E9C-101B-9397-08002B2CF9AE}" pid="3" name="KSOProductBuildVer">
    <vt:lpwstr>2052-12.8.2.19830</vt:lpwstr>
  </property>
</Properties>
</file>