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hanging="0" w:end="0"/>
        <w:jc w:val="center"/>
        <w:textAlignment w:val="auto"/>
        <w:rPr>
          <w:rFonts w:ascii="方正小标宋_GBK" w:hAnsi="方正小标宋_GBK" w:eastAsia="方正小标宋_GBK" w:cs="方正小标宋_GBK"/>
          <w:sz w:val="44"/>
          <w:szCs w:val="44"/>
        </w:rPr>
      </w:pPr>
      <w:r>
        <w:rPr>
          <w:rFonts w:ascii="方正小标宋_GBK" w:hAnsi="方正小标宋_GBK" w:cs="方正小标宋_GBK" w:eastAsia="方正小标宋_GBK"/>
          <w:sz w:val="44"/>
          <w:szCs w:val="44"/>
        </w:rPr>
        <w:t>国网青岛供电公司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hanging="0" w:end="0"/>
        <w:jc w:val="center"/>
        <w:textAlignment w:val="auto"/>
        <w:rPr>
          <w:rFonts w:ascii="方正小标宋_GBK" w:hAnsi="方正小标宋_GBK" w:eastAsia="方正小标宋_GBK" w:cs="方正小标宋_GBK"/>
          <w:sz w:val="44"/>
          <w:szCs w:val="44"/>
        </w:rPr>
      </w:pPr>
      <w:r>
        <w:rPr>
          <w:rFonts w:eastAsia="方正小标宋_GBK" w:cs="方正小标宋_GBK" w:ascii="方正小标宋_GBK" w:hAnsi="方正小标宋_GBK"/>
          <w:sz w:val="44"/>
          <w:szCs w:val="44"/>
        </w:rPr>
        <w:t>2026年9月份安全承载力分析报告</w:t>
      </w:r>
    </w:p>
    <w:p>
      <w:pPr>
        <w:pStyle w:val="HY-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="640" w:end="0"/>
        <w:textAlignment w:val="auto"/>
        <w:rPr>
          <w:rFonts w:ascii="方正仿宋_GBK" w:hAnsi="方正仿宋_GBK" w:eastAsia="方正仿宋_GBK" w:cs="方正仿宋_GBK"/>
          <w:color w:val="000000"/>
          <w:sz w:val="32"/>
          <w:szCs w:val="32"/>
          <w:highlight w:val="none"/>
          <w:lang w:val="en-US" w:eastAsia="zh-CN"/>
        </w:rPr>
      </w:pPr>
      <w:r>
        <w:rPr>
          <w:rFonts w:eastAsia="方正仿宋_GBK" w:cs="方正仿宋_GBK" w:ascii="方正仿宋_GBK" w:hAnsi="方正仿宋_GBK"/>
          <w:color w:val="000000"/>
          <w:sz w:val="32"/>
          <w:szCs w:val="32"/>
          <w:lang w:val="en-US" w:eastAsia="zh-CN"/>
        </w:rPr>
      </w:r>
    </w:p>
    <w:p>
      <w:pPr>
        <w:pStyle w:val="Normal"/>
        <w:spacing w:lineRule="exact" w:line="580"/>
        <w:ind w:firstLine="640" w:end="0"/>
        <w:rPr>
          <w:rFonts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cs="方正仿宋_GBK"/>
          <w:sz w:val="32"/>
          <w:szCs w:val="32"/>
          <w:lang w:val="en-US" w:eastAsia="zh-CN"/>
        </w:rPr>
        <w:t>根据省公司《关于下发安全生产特别管控要求的通知》要求，公司组织各单位依托承载力分析模型，对9月份作业计划按日、按班组开展“四个梳理”（作业计划、安全风险、人员力量、管理资源），优化调整工作计划。现将承载力分析情况汇报如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="640" w:end="0"/>
        <w:textAlignment w:val="auto"/>
        <w:rPr>
          <w:rFonts w:ascii="方正黑体_GBK" w:hAnsi="方正黑体_GBK" w:eastAsia="方正黑体_GBK" w:cs="方正黑体_GBK"/>
          <w:b w:val="false"/>
          <w:bCs w:val="false"/>
          <w:sz w:val="32"/>
          <w:szCs w:val="32"/>
          <w:lang w:val="en-US" w:eastAsia="zh-CN"/>
        </w:rPr>
      </w:pPr>
      <w:r>
        <w:rPr>
          <w:rFonts w:ascii="方正黑体_GBK" w:hAnsi="方正黑体_GBK" w:cs="方正黑体_GBK" w:eastAsia="方正黑体_GBK"/>
          <w:b w:val="false"/>
          <w:bCs w:val="false"/>
          <w:sz w:val="32"/>
          <w:szCs w:val="32"/>
          <w:lang w:val="en-US" w:eastAsia="zh-CN"/>
        </w:rPr>
        <w:t>一、公司工作计划概况</w:t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="640" w:end="0"/>
        <w:textAlignment w:val="auto"/>
        <w:rPr>
          <w:rFonts w:cs="方正仿宋_GBK"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cs="方正仿宋_GBK"/>
          <w:color w:val="000000"/>
          <w:spacing w:val="0"/>
          <w:kern w:val="2"/>
          <w:sz w:val="32"/>
          <w:szCs w:val="32"/>
          <w:lang w:val="en-US" w:eastAsia="zh-CN" w:bidi="ar"/>
        </w:rPr>
        <w:t>9月份，公司各单位共安排日计划15236项，其中二级风险作业1项、三级风险作业47项。三级及以上风险工作明细表如下：</w:t>
      </w:r>
    </w:p>
    <w:tbl>
      <w:tblPr>
        <w:tblW w:w="88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87"/>
        <w:gridCol w:w="1916"/>
        <w:gridCol w:w="3685"/>
        <w:gridCol w:w="786"/>
        <w:gridCol w:w="1768"/>
      </w:tblGrid>
      <w:tr>
        <w:trPr>
          <w:trHeight w:val="838" w:hRule="atLeast"/>
          <w:tblHeader/>
        </w:trPr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20" w:before="0" w:after="0"/>
              <w:ind w:hanging="0" w:end="0" w:firstLine="0" w:firstLineChars="0"/>
              <w:jc w:val="center"/>
              <w:textAlignment w:val="auto"/>
              <w:rPr>
                <w:rFonts w:ascii="方正仿宋_GBK" w:hAnsi="方正仿宋_GBK" w:eastAsia="方正仿宋_GBK" w:cs="方正仿宋_GBK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序号</w:t>
            </w:r>
          </w:p>
        </w:tc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20" w:before="0" w:after="0"/>
              <w:ind w:hanging="0" w:end="0" w:firstLine="0" w:firstLineChars="0"/>
              <w:jc w:val="center"/>
              <w:textAlignment w:val="auto"/>
              <w:rPr>
                <w:rFonts w:ascii="方正仿宋_GBK" w:hAnsi="方正仿宋_GBK" w:eastAsia="方正仿宋_GBK" w:cs="方正仿宋_GBK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单位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20" w:before="0" w:after="0"/>
              <w:ind w:hanging="0" w:end="0" w:firstLine="0" w:firstLineChars="0"/>
              <w:jc w:val="center"/>
              <w:textAlignment w:val="auto"/>
              <w:rPr>
                <w:rFonts w:ascii="方正仿宋_GBK" w:hAnsi="方正仿宋_GBK" w:eastAsia="方正仿宋_GBK" w:cs="方正仿宋_GBK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作业内容</w:t>
            </w:r>
          </w:p>
        </w:tc>
        <w:tc>
          <w:tcPr>
            <w:tcW w:w="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20" w:before="0" w:after="0"/>
              <w:ind w:hanging="0" w:end="0" w:firstLine="0" w:firstLineChars="0"/>
              <w:jc w:val="center"/>
              <w:textAlignment w:val="auto"/>
              <w:rPr>
                <w:rFonts w:ascii="方正仿宋_GBK" w:hAnsi="方正仿宋_GBK" w:eastAsia="方正仿宋_GBK" w:cs="方正仿宋_GBK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风险等级</w:t>
            </w:r>
          </w:p>
        </w:tc>
        <w:tc>
          <w:tcPr>
            <w:tcW w:w="1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20" w:before="0" w:after="0"/>
              <w:ind w:hanging="0" w:end="0" w:firstLine="0" w:firstLineChars="0"/>
              <w:jc w:val="center"/>
              <w:textAlignment w:val="auto"/>
              <w:rPr>
                <w:rFonts w:ascii="方正仿宋_GBK" w:hAnsi="方正仿宋_GBK" w:eastAsia="方正仿宋_GBK" w:cs="方正仿宋_GBK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高风险作业时间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变电检修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作业计划272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9月15日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变电检修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作业计划288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9月8日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3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变电检修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国网山东青岛供电公司220kV珠山变电站5组110kV充油电流互感器更换工程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9月14日-15日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（2天）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4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变电检修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作业计划347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9月10日-11日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（2天）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5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变电检修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国网山东青岛供电公司220kV匡正变电站保护装置维修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9月16日-17日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（2天）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6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变电检修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作业计划352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9月10日-11日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（2天）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7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变电检修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作业计划353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9月22日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8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变电检修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作业计划357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9月9日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变电检修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作业计划358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9月9日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10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变电检修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作业计划360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9月28日-29日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（2天）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11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变电检修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作业计划626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9月21日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12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变电检修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作业计划635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9月18日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13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变电检修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作业计划670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9月16日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14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变电检修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国网山东青岛黄岛区供电公司110kV城南变电站110kV侧断路器及隔离开关维修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9月9日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15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黄岛公司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作业计划737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9月9日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16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变电运维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作业计划1150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9月17日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17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变电运维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作业计划1193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9月20日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18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变电运维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作业计划1214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9月21日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19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变电运维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作业计划1255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9月24日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20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变电运维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作业计划1462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9月22日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21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变电运维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作业计划1463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9月22日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22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变电运维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作业计划1474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9月23日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23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变电运维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作业计划1475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9月23日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24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带电中心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国网山东青岛供电公司2026年崂山区带电作业服务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9月16日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25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带电中心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国网山东青岛供电公司2026年李沧区带电作业服务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9月22日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26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带电中心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国网山东青岛供电公司2026年李沧区带电作业服务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9月29日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27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变电检修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作业计划3942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9月13日-22日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（10天）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28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莱西公司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山东青岛莱西新兴110kV输电线路工程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9月11日-13日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（3天）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29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输电中心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110kV融合产业园变电站项目建设工程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9月28日-30日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（3天）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30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输电中心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沈海高速公路南村至青岛日照界段改扩建工程电力（220kV及以下）输送及迁改项目-分公司承接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9月28日-30日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（3天）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31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青岛黄岛前湾220千伏变电站扩建工程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9月10日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32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青岛黄岛前湾220千伏变电站扩建工程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9月20日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33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蔚蓝海岸二期35kV输变电工程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9月22日-23日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（2天）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34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青岛劲松（科技城）220千伏输变电工程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9月15日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35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青岛劲松（科技城）220千伏输变电工程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二级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9月13日-14日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（2天）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36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青岛临空220千伏输变电工程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9月20日-21日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（2天）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37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国网山东青岛供电公司220kV德千线#61-#65、上海I线#83-#87杆塔维修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9月16日-21日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（6天）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38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青岛城阳映月（红岛）220千伏输变电工程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9月28日-30日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（3天）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39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青岛城阳映月（红岛）220千伏输变电工程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9月7日-8日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（2天）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40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青岛城阳映月（红岛）220千伏输变电工程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9月30日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41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青岛城阳映月（红岛）220千伏输变电工程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9月10日-11日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（2天）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42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青岛城阳映月（红岛）220千伏输变电工程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9月22日-23日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（2天）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43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青岛城阳映月（红岛）220千伏输变电工程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9月10日-11日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（2天）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44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青岛城阳映月（红岛）220千伏输变电工程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9月11日-12日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（2天）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45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青岛城阳映月（红岛）220千伏输变电工程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9月16日-17日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（2天）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46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青岛浦里220千伏输变电工程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9月24日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47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青兰高速公路河套至黄岛段改扩建工程220kV德千线、上海I线电力迁改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9月16日-21日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（6天）</w:t>
            </w:r>
          </w:p>
        </w:tc>
      </w:tr>
      <w:tr>
        <w:tc>
          <w:tcPr>
            <w:tcW w:type="dxa" w:w="687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48</w:t>
            </w:r>
          </w:p>
        </w:tc>
        <w:tc>
          <w:tcPr>
            <w:tcW w:type="dxa" w:w="191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青岛电子信息产业园配套项目电力配套工程二期</w:t>
            </w:r>
          </w:p>
        </w:tc>
        <w:tc>
          <w:tcPr>
            <w:tcW w:type="dxa" w:w="786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1768"/>
            <w:vAlign w:val="center"/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9月24日-30日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（7天）</w:t>
            </w:r>
          </w:p>
        </w:tc>
      </w:tr>
    </w:tbl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="640" w:end="0"/>
        <w:textAlignment w:val="auto"/>
        <w:rPr>
          <w:rFonts w:cs="方正仿宋_GBK"/>
          <w:color w:val="00000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rFonts w:cs="方正仿宋_GBK"/>
          <w:color w:val="000000"/>
          <w:kern w:val="2"/>
          <w:sz w:val="32"/>
          <w:szCs w:val="32"/>
          <w:u w:val="none"/>
          <w:lang w:val="en-US" w:eastAsia="zh-CN" w:bidi="ar-SA"/>
        </w:rPr>
        <w:t>各作业类型日计划数量如下图所示：</w:t>
      </w:r>
    </w:p>
    <w:p>
      <w:pPr>
        <w:pStyle w:val="Normal"/>
        <w:keepNext w:val="true"/>
        <w:keepLines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="0" w:end="0" w:firstLineChars="0"/>
        <w:jc w:val="center"/>
        <w:textAlignment w:val="auto"/>
        <w:rPr>
          <w:rFonts w:ascii="方正黑体_GBK" w:hAnsi="方正黑体_GBK" w:eastAsia="方正黑体_GBK" w:cs="方正黑体_GBK"/>
          <w:b w:val="false"/>
          <w:bCs w:val="false"/>
          <w:color w:val="00000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rFonts w:eastAsia="方正黑体_GBK" w:cs="方正黑体_GBK" w:ascii="方正黑体_GBK" w:hAnsi="方正黑体_GBK"/>
          <w:b w:val="false"/>
          <w:bCs w:val="false"/>
          <w:color w:val="000000"/>
          <w:kern w:val="2"/>
          <w:sz w:val="32"/>
          <w:szCs w:val="32"/>
          <w:u w:val="none"/>
          <w:lang w:val="en-US" w:eastAsia="zh-CN" w:bidi="ar-SA"/>
        </w:rPr>
      </w:r>
      <w:r>
        <w:drawing>
          <wp:inline xmlns:a="http://schemas.openxmlformats.org/drawingml/2006/main" xmlns:pic="http://schemas.openxmlformats.org/drawingml/2006/picture">
            <wp:extent cx="5524500" cy="2050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m_作业类型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50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Y-"/>
        <w:keepLines/>
        <w:pageBreakBefore w:val="false"/>
        <w:rPr>
          <w:rFonts w:ascii="方正黑体_GBK" w:hAnsi="方正黑体_GBK" w:eastAsia="方正黑体_GBK" w:cs="方正黑体_GBK"/>
          <w:b w:val="false"/>
          <w:bCs w:val="false"/>
          <w:sz w:val="32"/>
          <w:szCs w:val="32"/>
          <w:highlight w:val="none"/>
          <w:lang w:val="en-US" w:eastAsia="zh-CN"/>
        </w:rPr>
      </w:pPr>
      <w:r>
        <w:rPr>
          <w:rFonts w:ascii="方正黑体_GBK" w:hAnsi="方正黑体_GBK" w:cs="方正黑体_GBK" w:eastAsia="方正黑体_GBK"/>
          <w:b w:val="false"/>
          <w:bCs w:val="false"/>
          <w:sz w:val="32"/>
          <w:szCs w:val="32"/>
          <w:lang w:val="en-US" w:eastAsia="zh-CN"/>
        </w:rPr>
        <w:t>图 1 公司9月份各作业类型日计划数量分布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="640" w:end="0"/>
        <w:textAlignment w:val="auto"/>
        <w:rPr>
          <w:rFonts w:ascii="方正黑体_GBK" w:hAnsi="方正黑体_GBK" w:eastAsia="方正黑体_GBK" w:cs="方正黑体_GBK"/>
          <w:b w:val="false"/>
          <w:bCs w:val="false"/>
          <w:sz w:val="32"/>
          <w:szCs w:val="32"/>
          <w:highlight w:val="none"/>
          <w:lang w:val="en-US" w:eastAsia="zh-CN"/>
        </w:rPr>
      </w:pPr>
      <w:r>
        <w:rPr>
          <w:rFonts w:eastAsia="方正黑体_GBK" w:cs="方正黑体_GBK" w:ascii="方正黑体_GBK" w:hAnsi="方正黑体_GBK"/>
          <w:b w:val="false"/>
          <w:bCs w:val="false"/>
          <w:sz w:val="32"/>
          <w:szCs w:val="32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="640" w:end="0"/>
        <w:textAlignment w:val="auto"/>
        <w:rPr>
          <w:rFonts w:ascii="方正黑体_GBK" w:hAnsi="方正黑体_GBK" w:eastAsia="方正黑体_GBK" w:cs="方正黑体_GBK"/>
          <w:b w:val="false"/>
          <w:bCs w:val="false"/>
          <w:sz w:val="32"/>
          <w:szCs w:val="32"/>
          <w:highlight w:val="none"/>
          <w:lang w:val="en-US" w:eastAsia="zh-CN"/>
        </w:rPr>
      </w:pPr>
      <w:r>
        <w:rPr>
          <w:rFonts w:ascii="方正黑体_GBK" w:hAnsi="方正黑体_GBK" w:cs="方正黑体_GBK" w:eastAsia="方正黑体_GBK"/>
          <w:b w:val="false"/>
          <w:bCs w:val="false"/>
          <w:sz w:val="32"/>
          <w:szCs w:val="32"/>
          <w:lang w:val="en-US" w:eastAsia="zh-CN"/>
        </w:rPr>
        <w:t>二、公司各单位承载力分析</w:t>
      </w:r>
    </w:p>
    <w:p>
      <w:pPr>
        <w:pStyle w:val="Normal"/>
        <w:spacing w:lineRule="exact" w:line="580"/>
        <w:ind w:firstLine="643" w:end="0"/>
        <w:rPr>
          <w:rFonts w:ascii="方正楷体_GBK" w:hAnsi="方正楷体_GBK" w:eastAsia="方正楷体_GBK" w:cs="方正楷体_GBK"/>
          <w:b/>
          <w:bCs/>
          <w:color w:val="000000"/>
          <w:sz w:val="32"/>
          <w:szCs w:val="32"/>
          <w:highlight w:val="none"/>
          <w:u w:val="none"/>
          <w:lang w:val="en-US" w:eastAsia="zh-CN"/>
        </w:rPr>
      </w:pPr>
      <w:r>
        <w:rPr>
          <w:rFonts w:ascii="方正楷体_GBK" w:hAnsi="方正楷体_GBK" w:cs="方正楷体_GBK" w:eastAsia="方正楷体_GBK"/>
          <w:b/>
          <w:bCs/>
          <w:color w:val="000000"/>
          <w:sz w:val="32"/>
          <w:szCs w:val="32"/>
          <w:u w:val="none"/>
          <w:lang w:val="en-US" w:eastAsia="zh-CN"/>
        </w:rPr>
        <w:t>（一）月度承载力分析</w:t>
      </w:r>
    </w:p>
    <w:p>
      <w:pPr>
        <w:pStyle w:val="Normal"/>
        <w:spacing w:lineRule="exact" w:line="580"/>
        <w:ind w:firstLine="643" w:end="0"/>
        <w:rPr>
          <w:rFonts w:cs="方正仿宋_GBK"/>
          <w:b/>
          <w:bCs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1.</w:t>
      </w: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作业承载力分析</w:t>
      </w:r>
    </w:p>
    <w:p>
      <w:pPr>
        <w:pStyle w:val="Normal"/>
        <w:spacing w:lineRule="exact" w:line="580"/>
        <w:ind w:firstLine="640" w:end="0"/>
        <w:rPr>
          <w:rFonts w:ascii="方正仿宋_GBK" w:hAnsi="方正仿宋_GBK" w:eastAsia="方正仿宋_GBK" w:cs="方正仿宋_GBK"/>
          <w:color w:val="00000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rFonts w:cs="方正仿宋_GBK"/>
          <w:color w:val="000000"/>
          <w:spacing w:val="0"/>
          <w:kern w:val="2"/>
          <w:sz w:val="32"/>
          <w:szCs w:val="32"/>
          <w:lang w:val="en-US" w:eastAsia="zh-CN" w:bidi="ar"/>
        </w:rPr>
        <w:t>9月份，电缆中心、平度公司作业承载力满载（90%以上），主要开展/、国网山东青岛供电公司35kV午枯线T1等49台电缆分支箱肘型头维修、国网山东青岛供电公司35kV伊平线等10回电缆接头附件维修、国网山东青岛供电公司220kV星恩线电缆通道综合维修、国网山东青岛供电公司35kV薛景甲线T3等9台电缆分支箱改造、国网山东青岛供电公司35kV城阀线K6-1至K6-2开关箱电缆及通道维修、国网山东青岛供电公司35kV古莱线#1-5杆至K1-6开关箱电缆及通道维修、国网山东青岛供电公司35kV空口线43杆至瑞金站电缆通道综合维修等工作。各单位作业承载力如图 2所示。</w:t>
      </w:r>
    </w:p>
    <w:p>
      <w:pPr>
        <w:pStyle w:val="Normal"/>
        <w:keepNext w:val="true"/>
        <w:keepLines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0" w:end="0" w:firstLine="0" w:firstLineChars="0"/>
        <w:jc w:val="center"/>
        <w:textAlignment w:val="auto"/>
        <w:rPr>
          <w:rFonts w:ascii="方正黑体_GBK" w:hAnsi="方正黑体_GBK" w:eastAsia="方正黑体_GBK" w:cs="方正黑体_GBK"/>
          <w:b w:val="false"/>
          <w:bCs w:val="false"/>
          <w:sz w:val="32"/>
          <w:szCs w:val="32"/>
          <w:lang w:val="en-US" w:eastAsia="zh-CN"/>
        </w:rPr>
      </w:pPr>
      <w:r>
        <w:rPr/>
      </w:r>
      <w:r>
        <w:drawing>
          <wp:inline xmlns:a="http://schemas.openxmlformats.org/drawingml/2006/main" xmlns:pic="http://schemas.openxmlformats.org/drawingml/2006/picture">
            <wp:extent cx="5524500" cy="2054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m_单位承载力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54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1"/>
        <w:keepLines/>
        <w:pageBreakBefore w:val="false"/>
        <w:bidi w:val="0"/>
        <w:rPr>
          <w:lang w:val="en-US" w:eastAsia="zh-CN"/>
        </w:rPr>
      </w:pPr>
      <w:r>
        <w:rPr>
          <w:lang w:val="en-US" w:eastAsia="zh-CN"/>
        </w:rPr>
        <w:t>图 2 公司9月份作业承载力</w:t>
      </w:r>
    </w:p>
    <w:p>
      <w:pPr>
        <w:pStyle w:val="Normal"/>
        <w:spacing w:lineRule="exact" w:line="580"/>
        <w:ind w:firstLine="643" w:end="0"/>
        <w:rPr>
          <w:rFonts w:cs="方正仿宋_GBK"/>
          <w:b/>
          <w:bCs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2.</w:t>
      </w: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管理承载力分析</w:t>
      </w:r>
    </w:p>
    <w:p>
      <w:pPr>
        <w:pStyle w:val="Normal"/>
        <w:spacing w:lineRule="exact" w:line="580"/>
        <w:ind w:firstLine="640" w:end="0"/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lang w:val="en-US" w:eastAsia="zh-CN" w:bidi="ar"/>
        </w:rPr>
        <w:t>全月管理承载力为22%，现场管理人员满足作业管控需求，如图 3所示。</w:t>
      </w:r>
    </w:p>
    <w:p>
      <w:pPr>
        <w:pStyle w:val="HY-"/>
        <w:keepNext w:val="true"/>
        <w:keepLines/>
        <w:spacing w:lineRule="auto" w:line="240" w:before="0" w:after="0"/>
        <w:jc w:val="center"/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  <w:ind w:firstLine="0" w:firstLineChars="0"/>
      </w:pPr>
      <w:r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lang w:val="en-US" w:eastAsia="zh-CN" w:bidi="ar"/>
        </w:rPr>
      </w:r>
      <w:r>
        <w:drawing>
          <wp:inline xmlns:a="http://schemas.openxmlformats.org/drawingml/2006/main" xmlns:pic="http://schemas.openxmlformats.org/drawingml/2006/picture">
            <wp:extent cx="5524500" cy="20609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m_管理承载力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6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Y-"/>
        <w:keepLines/>
        <w:pageBreakBefore w:val="false"/>
        <w:rPr>
          <w:lang w:val="en-US" w:eastAsia="zh-CN"/>
        </w:rPr>
      </w:pPr>
      <w:r>
        <w:rPr>
          <w:lang w:val="en-US" w:eastAsia="zh-CN"/>
        </w:rPr>
        <w:t>图 3 公司9月份管理承载力</w:t>
      </w:r>
    </w:p>
    <w:p>
      <w:pPr>
        <w:pStyle w:val="HY-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spacing w:lineRule="exact" w:line="580"/>
        <w:ind w:firstLine="643" w:end="0"/>
        <w:rPr>
          <w:rFonts w:ascii="方正楷体_GBK" w:hAnsi="方正楷体_GBK" w:eastAsia="方正楷体_GBK" w:cs="方正楷体_GBK"/>
          <w:b/>
          <w:bCs/>
          <w:color w:val="000000"/>
          <w:sz w:val="32"/>
          <w:szCs w:val="32"/>
          <w:highlight w:val="none"/>
          <w:u w:val="none"/>
          <w:lang w:val="en-US" w:eastAsia="zh-CN"/>
        </w:rPr>
      </w:pPr>
      <w:r>
        <w:rPr>
          <w:rFonts w:ascii="方正楷体_GBK" w:hAnsi="方正楷体_GBK" w:cs="方正楷体_GBK" w:eastAsia="方正楷体_GBK"/>
          <w:b/>
          <w:bCs/>
          <w:color w:val="000000"/>
          <w:sz w:val="32"/>
          <w:szCs w:val="32"/>
          <w:u w:val="none"/>
          <w:lang w:val="en-US" w:eastAsia="zh-CN"/>
        </w:rPr>
        <w:t>（二）周承载力分析</w:t>
      </w:r>
    </w:p>
    <w:p>
      <w:pPr>
        <w:pStyle w:val="Normal"/>
        <w:spacing w:lineRule="exact" w:line="580"/>
        <w:ind w:firstLine="643" w:end="0"/>
        <w:rPr>
          <w:rFonts w:cs="Times New Roman"/>
          <w:lang w:val="en-US" w:eastAsia="zh-CN"/>
        </w:rPr>
      </w:pPr>
      <w:r>
        <w:rPr>
          <w:rFonts w:cs="方正仿宋_GBK"/>
          <w:b/>
          <w:bCs/>
          <w:color w:val="000000"/>
          <w:kern w:val="2"/>
          <w:sz w:val="32"/>
          <w:szCs w:val="32"/>
          <w:u w:val="none"/>
          <w:lang w:val="en-US" w:eastAsia="zh-CN" w:bidi="ar-SA"/>
        </w:rPr>
        <w:t>1.9月份第1周（9月1日至9月6日）</w:t>
      </w:r>
    </w:p>
    <w:p>
      <w:pPr>
        <w:pStyle w:val="Normal"/>
        <w:spacing w:lineRule="exact" w:line="580"/>
        <w:ind w:firstLine="643" w:end="0"/>
        <w:rPr>
          <w:rFonts w:cs="方正仿宋_GBK"/>
          <w:b/>
          <w:bCs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（</w:t>
      </w: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1</w:t>
      </w: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）作业承载力分析</w:t>
      </w:r>
    </w:p>
    <w:p>
      <w:pPr>
        <w:pStyle w:val="Normal"/>
        <w:spacing w:lineRule="exact" w:line="580"/>
        <w:ind w:firstLine="640" w:end="0"/>
        <w:rPr>
          <w:rFonts w:ascii="方正仿宋_GBK" w:hAnsi="方正仿宋_GBK" w:eastAsia="方正仿宋_GBK" w:cs="方正仿宋_GBK"/>
          <w:color w:val="00000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rFonts w:cs="方正仿宋_GBK"/>
          <w:color w:val="000000"/>
          <w:kern w:val="2"/>
          <w:sz w:val="32"/>
          <w:szCs w:val="32"/>
          <w:u w:val="none"/>
          <w:lang w:val="en-US" w:eastAsia="zh-CN" w:bidi="ar-SA"/>
        </w:rPr>
        <w:t>平度公司、电缆中心满载（90%以上），主要开展作业计划1、作业计划2、作业计划3、作业计划4、作业计划5、作业计划6、国网山东青岛平度供电公司2026年智能表业扩新增、国网山东青岛平度供电公司2026年智能电能表功能性更换等工作。各单位承载力如图 4所示。</w:t>
      </w:r>
    </w:p>
    <w:p>
      <w:pPr>
        <w:pStyle w:val="Normal"/>
        <w:keepNext w:val="true"/>
        <w:keepLines/>
        <w:spacing w:lineRule="auto" w:line="240" w:before="0" w:after="0"/>
        <w:ind w:firstLine="0" w:end="0" w:firstLineChars="0"/>
        <w:rPr>
          <w:rFonts w:ascii="方正仿宋_GBK" w:hAnsi="方正仿宋_GBK" w:eastAsia="方正仿宋_GBK" w:cs="方正仿宋_GBK"/>
          <w:b/>
          <w:bCs/>
          <w:color w:val="000000"/>
          <w:spacing w:val="0"/>
          <w:kern w:val="2"/>
          <w:sz w:val="32"/>
          <w:szCs w:val="32"/>
          <w:highlight w:val="none"/>
          <w:u w:val="none"/>
          <w:lang w:val="en-US" w:eastAsia="zh-CN" w:bidi="ar"/>
        </w:rPr>
        <w:jc w:val="center"/>
      </w:pPr>
      <w:r>
        <w:rPr>
          <w:rFonts w:eastAsia="方正仿宋_GBK" w:cs="方正仿宋_GBK"/>
          <w:b/>
          <w:bCs/>
          <w:color w:val="000000"/>
          <w:spacing w:val="0"/>
          <w:kern w:val="2"/>
          <w:sz w:val="32"/>
          <w:szCs w:val="32"/>
          <w:u w:val="none"/>
          <w:lang w:val="en-US" w:eastAsia="zh-CN" w:bidi="ar"/>
        </w:rPr>
      </w:r>
      <w:r>
        <w:drawing>
          <wp:inline xmlns:a="http://schemas.openxmlformats.org/drawingml/2006/main" xmlns:pic="http://schemas.openxmlformats.org/drawingml/2006/picture">
            <wp:extent cx="5524500" cy="20547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w1_单位承载力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54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keepLines/>
        <w:pageBreakBefore w:val="false"/>
        <w:spacing w:lineRule="exact" w:line="580"/>
        <w:ind w:firstLine="480" w:end="0"/>
        <w:jc w:val="center"/>
        <w:rPr>
          <w:rFonts w:ascii="方正仿宋_GBK" w:hAnsi="方正仿宋_GBK" w:eastAsia="方正仿宋_GBK" w:cs="方正仿宋_GBK"/>
          <w:b w:val="false"/>
          <w:bCs/>
          <w:color w:val="000000"/>
          <w:spacing w:val="0"/>
          <w:kern w:val="2"/>
          <w:sz w:val="24"/>
          <w:szCs w:val="32"/>
          <w:highlight w:val="none"/>
          <w:lang w:val="en-US" w:eastAsia="zh-CN" w:bidi="ar"/>
        </w:rPr>
      </w:pPr>
      <w:r>
        <w:rPr>
          <w:rFonts w:cs="方正仿宋_GBK"/>
          <w:b w:val="false"/>
          <w:bCs/>
          <w:color w:val="000000"/>
          <w:spacing w:val="0"/>
          <w:kern w:val="2"/>
          <w:sz w:val="24"/>
          <w:szCs w:val="32"/>
          <w:lang w:val="en-US" w:eastAsia="zh-CN" w:bidi="ar"/>
        </w:rPr>
        <w:t>图 4 公司9月份第1周作业承载力</w:t>
      </w:r>
    </w:p>
    <w:p>
      <w:pPr>
        <w:pStyle w:val="Normal"/>
        <w:spacing w:lineRule="exact" w:line="580"/>
        <w:ind w:firstLine="643" w:end="0"/>
        <w:rPr>
          <w:rFonts w:cs="方正仿宋_GBK"/>
          <w:b/>
          <w:bCs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（</w:t>
      </w: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2</w:t>
      </w: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）管理承载力分析</w:t>
      </w:r>
    </w:p>
    <w:p>
      <w:pPr>
        <w:pStyle w:val="HY-"/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lang w:val="en-US" w:eastAsia="zh-CN" w:bidi="ar"/>
        </w:rPr>
        <w:t>第1周管理承载力为24%，其中市北中心达79%，现场管理人员满足作业管控需求，如图 5所示。</w:t>
      </w:r>
    </w:p>
    <w:p>
      <w:pPr>
        <w:pStyle w:val="HY-"/>
        <w:keepNext w:val="true"/>
        <w:keepLines/>
        <w:spacing w:lineRule="auto" w:line="240" w:before="0" w:after="0"/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  <w:ind w:firstLine="0" w:firstLineChars="0"/>
        <w:jc w:val="center"/>
      </w:pPr>
      <w:r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lang w:val="en-US" w:eastAsia="zh-CN" w:bidi="ar"/>
        </w:rPr>
      </w:r>
      <w:r>
        <w:drawing>
          <wp:inline xmlns:a="http://schemas.openxmlformats.org/drawingml/2006/main" xmlns:pic="http://schemas.openxmlformats.org/drawingml/2006/picture">
            <wp:extent cx="5524500" cy="20609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w1_管理承载力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6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Y-"/>
        <w:keepLines/>
        <w:pageBreakBefore w:val="false"/>
        <w:jc w:val="center"/>
        <w:rPr>
          <w:rFonts w:ascii="方正仿宋_GBK" w:hAnsi="方正仿宋_GBK" w:eastAsia="方正仿宋_GBK" w:cs="方正仿宋_GBK"/>
          <w:b w:val="false"/>
          <w:bCs w:val="false"/>
          <w:color w:val="000000"/>
          <w:spacing w:val="0"/>
          <w:kern w:val="2"/>
          <w:sz w:val="24"/>
          <w:szCs w:val="32"/>
          <w:highlight w:val="none"/>
          <w:lang w:val="en-US" w:eastAsia="zh-CN" w:bidi="ar"/>
        </w:rPr>
      </w:pPr>
      <w:r>
        <w:rPr>
          <w:rFonts w:ascii="方正仿宋_GBK" w:hAnsi="方正仿宋_GBK" w:cs="方正仿宋_GBK"/>
          <w:b w:val="false"/>
          <w:bCs w:val="false"/>
          <w:color w:val="000000"/>
          <w:spacing w:val="0"/>
          <w:kern w:val="2"/>
          <w:sz w:val="24"/>
          <w:szCs w:val="32"/>
          <w:lang w:val="en-US" w:eastAsia="zh-CN" w:bidi="ar"/>
        </w:rPr>
        <w:t>图 5 公司9月份第1周管理承载力</w:t>
      </w:r>
    </w:p>
    <w:p>
      <w:pPr>
        <w:pStyle w:val="HY-"/>
        <w:rPr>
          <w:rFonts w:ascii="方正仿宋_GBK" w:hAnsi="方正仿宋_GBK" w:eastAsia="方正仿宋_GBK" w:cs="方正仿宋_GBK"/>
          <w:b w:val="false"/>
          <w:bCs w:val="false"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eastAsia="方正仿宋_GBK" w:cs="方正仿宋_GBK" w:ascii="方正仿宋_GBK" w:hAnsi="方正仿宋_GBK"/>
          <w:b w:val="false"/>
          <w:bCs w:val="false"/>
          <w:color w:val="000000"/>
          <w:spacing w:val="0"/>
          <w:kern w:val="2"/>
          <w:sz w:val="32"/>
          <w:szCs w:val="32"/>
          <w:lang w:val="en-US" w:eastAsia="zh-CN" w:bidi="ar"/>
        </w:rPr>
      </w:r>
    </w:p>
    <w:p>
      <w:pPr>
        <w:pStyle w:val="HY-"/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u w:val="none"/>
          <w:lang w:val="en-US" w:eastAsia="zh-CN" w:bidi="ar-SA"/>
        </w:rPr>
      </w:r>
    </w:p>
    <w:p>
      <w:pPr>
        <w:pStyle w:val="Normal"/>
        <w:bidi w:val="0"/>
        <w:ind w:end="0"/>
        <w:rPr>
          <w:rFonts w:cs="Times New Roman"/>
          <w:lang w:val="en-US" w:eastAsia="zh-CN"/>
        </w:rPr>
      </w:pPr>
      <w:r>
        <w:rPr>
          <w:rFonts w:cs="方正仿宋_GBK"/>
          <w:b/>
          <w:bCs/>
          <w:color w:val="000000"/>
          <w:kern w:val="2"/>
          <w:sz w:val="32"/>
          <w:szCs w:val="32"/>
          <w:u w:val="none"/>
          <w:lang w:val="en-US" w:eastAsia="zh-CN" w:bidi="ar-SA"/>
        </w:rPr>
        <w:t>2.9月份第2周（9月7日至9月13日）</w:t>
      </w:r>
    </w:p>
    <w:p>
      <w:pPr>
        <w:pStyle w:val="Normal"/>
        <w:spacing w:lineRule="exact" w:line="580"/>
        <w:ind w:firstLine="643" w:end="0"/>
        <w:rPr>
          <w:rFonts w:cs="方正仿宋_GBK"/>
          <w:b/>
          <w:bCs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（</w:t>
      </w: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1</w:t>
      </w: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）作业承载力分析</w:t>
      </w:r>
    </w:p>
    <w:p>
      <w:pPr>
        <w:pStyle w:val="Normal"/>
        <w:bidi w:val="0"/>
        <w:ind w:end="0"/>
        <w:rPr>
          <w:rFonts w:ascii="方正仿宋_GBK" w:hAnsi="方正仿宋_GBK" w:eastAsia="方正仿宋_GBK" w:cs="方正仿宋_GBK"/>
          <w:color w:val="00000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rFonts w:cs="Times New Roman"/>
          <w:lang w:val="en-US" w:eastAsia="zh-CN"/>
        </w:rPr>
        <w:t>电缆中心、平度公司满载（90%以上），主要开展/、国网山东青岛供电公司35kV伊平线等10回电缆接头附件维修、国网山东青岛供电公司220kV星恩线电缆通道综合维修、国网山东青岛供电公司35kV古莱线#1-5杆至K1-6开关箱电缆及通道维修、作业计划7、作业计划8、作业计划9、作业计划10等工作。各单位承载力如图 6所示。</w:t>
      </w:r>
    </w:p>
    <w:p>
      <w:pPr>
        <w:pStyle w:val="Normal"/>
        <w:keepNext w:val="true"/>
        <w:keepLines/>
        <w:spacing w:lineRule="auto" w:line="240" w:before="0" w:after="0"/>
        <w:ind w:firstLine="0" w:end="0" w:firstLineChars="0"/>
        <w:rPr>
          <w:rFonts w:ascii="方正仿宋_GBK" w:hAnsi="方正仿宋_GBK" w:eastAsia="方正仿宋_GBK" w:cs="方正仿宋_GBK"/>
          <w:b/>
          <w:bCs/>
          <w:color w:val="000000"/>
          <w:spacing w:val="0"/>
          <w:kern w:val="2"/>
          <w:sz w:val="32"/>
          <w:szCs w:val="32"/>
          <w:highlight w:val="none"/>
          <w:u w:val="none"/>
          <w:lang w:val="en-US" w:eastAsia="zh-CN" w:bidi="ar"/>
        </w:rPr>
        <w:jc w:val="center"/>
      </w:pPr>
      <w:r>
        <w:rPr>
          <w:rFonts w:eastAsia="方正仿宋_GBK" w:cs="方正仿宋_GBK"/>
          <w:b/>
          <w:bCs/>
          <w:color w:val="000000"/>
          <w:spacing w:val="0"/>
          <w:kern w:val="2"/>
          <w:sz w:val="32"/>
          <w:szCs w:val="32"/>
          <w:u w:val="none"/>
          <w:lang w:val="en-US" w:eastAsia="zh-CN" w:bidi="ar"/>
        </w:rPr>
      </w:r>
      <w:r>
        <w:drawing>
          <wp:inline xmlns:a="http://schemas.openxmlformats.org/drawingml/2006/main" xmlns:pic="http://schemas.openxmlformats.org/drawingml/2006/picture">
            <wp:extent cx="5524500" cy="20547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w2_单位承载力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54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keepLines/>
        <w:pageBreakBefore w:val="false"/>
        <w:spacing w:lineRule="exact" w:line="580"/>
        <w:ind w:firstLine="480" w:end="0"/>
        <w:jc w:val="center"/>
        <w:rPr>
          <w:rFonts w:ascii="方正仿宋_GBK" w:hAnsi="方正仿宋_GBK" w:eastAsia="方正仿宋_GBK" w:cs="方正仿宋_GBK"/>
          <w:b w:val="false"/>
          <w:bCs/>
          <w:color w:val="000000"/>
          <w:spacing w:val="0"/>
          <w:kern w:val="2"/>
          <w:sz w:val="24"/>
          <w:szCs w:val="32"/>
          <w:highlight w:val="none"/>
          <w:lang w:val="en-US" w:eastAsia="zh-CN" w:bidi="ar"/>
        </w:rPr>
      </w:pPr>
      <w:r>
        <w:rPr>
          <w:rFonts w:cs="方正仿宋_GBK"/>
          <w:b w:val="false"/>
          <w:bCs/>
          <w:color w:val="000000"/>
          <w:spacing w:val="0"/>
          <w:kern w:val="2"/>
          <w:sz w:val="24"/>
          <w:szCs w:val="32"/>
          <w:lang w:val="en-US" w:eastAsia="zh-CN" w:bidi="ar"/>
        </w:rPr>
        <w:t>图 6 公司9月份第2周作业承载力</w:t>
      </w:r>
    </w:p>
    <w:p>
      <w:pPr>
        <w:pStyle w:val="Normal"/>
        <w:spacing w:lineRule="exact" w:line="580"/>
        <w:ind w:firstLine="643" w:end="0"/>
        <w:rPr>
          <w:rFonts w:cs="方正仿宋_GBK"/>
          <w:b/>
          <w:bCs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（</w:t>
      </w: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2</w:t>
      </w: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）管理承载力分析</w:t>
      </w:r>
    </w:p>
    <w:p>
      <w:pPr>
        <w:pStyle w:val="Normal"/>
        <w:bidi w:val="0"/>
        <w:ind w:end="0"/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lang w:val="en-US" w:eastAsia="zh-CN" w:bidi="ar"/>
        </w:rPr>
        <w:t>第2周管理承载力为22%，现场管理人员满足作业管控需求，如图 7所示。</w:t>
      </w:r>
    </w:p>
    <w:p>
      <w:pPr>
        <w:pStyle w:val="HY-"/>
        <w:keepNext w:val="true"/>
        <w:keepLines/>
        <w:spacing w:lineRule="auto" w:line="240" w:before="0" w:after="0"/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  <w:ind w:firstLine="0" w:firstLineChars="0"/>
        <w:jc w:val="center"/>
      </w:pPr>
      <w:r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lang w:val="en-US" w:eastAsia="zh-CN" w:bidi="ar"/>
        </w:rPr>
      </w:r>
      <w:r>
        <w:drawing>
          <wp:inline xmlns:a="http://schemas.openxmlformats.org/drawingml/2006/main" xmlns:pic="http://schemas.openxmlformats.org/drawingml/2006/picture">
            <wp:extent cx="5524500" cy="20609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w2_管理承载力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6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Y-"/>
        <w:keepLines/>
        <w:pageBreakBefore w:val="false"/>
        <w:jc w:val="center"/>
        <w:rPr>
          <w:rFonts w:ascii="方正仿宋_GBK" w:hAnsi="方正仿宋_GBK" w:eastAsia="方正仿宋_GBK" w:cs="方正仿宋_GBK"/>
          <w:b w:val="false"/>
          <w:sz w:val="24"/>
          <w:lang w:val="en-US" w:eastAsia="zh-CN"/>
        </w:rPr>
      </w:pPr>
      <w:r>
        <w:rPr>
          <w:rFonts w:ascii="方正仿宋_GBK" w:hAnsi="方正仿宋_GBK" w:cs="方正仿宋_GBK"/>
          <w:b w:val="false"/>
          <w:sz w:val="24"/>
          <w:lang w:val="en-US" w:eastAsia="zh-CN"/>
        </w:rPr>
        <w:t>图 7 公司9月份第2周管理承载力</w:t>
      </w:r>
    </w:p>
    <w:p>
      <w:pPr>
        <w:pStyle w:val="HY-"/>
        <w:rPr>
          <w:rFonts w:ascii="方正仿宋_GBK" w:hAnsi="方正仿宋_GBK" w:eastAsia="方正仿宋_GBK" w:cs="方正仿宋_GBK"/>
          <w:b w:val="false"/>
          <w:sz w:val="24"/>
          <w:lang w:val="en-US" w:eastAsia="zh-CN"/>
        </w:rPr>
      </w:pPr>
      <w:r>
        <w:rPr>
          <w:rFonts w:eastAsia="方正仿宋_GBK" w:cs="方正仿宋_GBK" w:ascii="方正仿宋_GBK" w:hAnsi="方正仿宋_GBK"/>
          <w:b w:val="false"/>
          <w:sz w:val="24"/>
          <w:lang w:val="en-US" w:eastAsia="zh-CN"/>
        </w:rPr>
      </w:r>
    </w:p>
    <w:p>
      <w:pPr>
        <w:pStyle w:val="Normal"/>
        <w:bidi w:val="0"/>
        <w:ind w:end="0"/>
        <w:rPr>
          <w:rFonts w:cs="方正仿宋_GBK"/>
          <w:b/>
          <w:bCs/>
          <w:color w:val="00000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rFonts w:cs="方正仿宋_GBK"/>
          <w:b/>
          <w:bCs/>
          <w:color w:val="000000"/>
          <w:kern w:val="2"/>
          <w:sz w:val="32"/>
          <w:szCs w:val="32"/>
          <w:u w:val="none"/>
          <w:lang w:val="en-US" w:eastAsia="zh-CN" w:bidi="ar-SA"/>
        </w:rPr>
      </w:r>
    </w:p>
    <w:p>
      <w:pPr>
        <w:pStyle w:val="Normal"/>
        <w:bidi w:val="0"/>
        <w:ind w:end="0"/>
        <w:rPr>
          <w:rFonts w:cs="Times New Roman"/>
          <w:lang w:val="en-US" w:eastAsia="zh-CN"/>
        </w:rPr>
      </w:pPr>
      <w:r>
        <w:rPr>
          <w:rFonts w:cs="方正仿宋_GBK"/>
          <w:b/>
          <w:bCs/>
          <w:color w:val="000000"/>
          <w:kern w:val="2"/>
          <w:sz w:val="32"/>
          <w:szCs w:val="32"/>
          <w:u w:val="none"/>
          <w:lang w:val="en-US" w:eastAsia="zh-CN" w:bidi="ar-SA"/>
        </w:rPr>
        <w:t>3.9月份第3周（9月14日至9月20日）</w:t>
      </w:r>
    </w:p>
    <w:p>
      <w:pPr>
        <w:pStyle w:val="Normal"/>
        <w:spacing w:lineRule="exact" w:line="580"/>
        <w:ind w:firstLine="643" w:end="0"/>
        <w:rPr>
          <w:rFonts w:cs="方正仿宋_GBK"/>
          <w:b/>
          <w:bCs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（</w:t>
      </w: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1</w:t>
      </w: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）作业承载力分析</w:t>
      </w:r>
    </w:p>
    <w:p>
      <w:pPr>
        <w:pStyle w:val="Normal"/>
        <w:bidi w:val="0"/>
        <w:ind w:end="0"/>
        <w:rPr>
          <w:rFonts w:ascii="方正仿宋_GBK" w:hAnsi="方正仿宋_GBK" w:eastAsia="方正仿宋_GBK" w:cs="方正仿宋_GBK"/>
          <w:color w:val="00000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rFonts w:cs="Times New Roman"/>
          <w:b w:val="false"/>
          <w:bCs w:val="false"/>
          <w:lang w:val="en-US" w:eastAsia="zh-CN"/>
        </w:rPr>
        <w:t>电缆中心、平度公司满载（90%以上），主要开展/、国网山东青岛供电公司35kV古莱线#1-5杆至K1-6开关箱电缆及通道维修、国网山东青岛供电公司35kV城阀线K6-1至K6-2开关箱电缆及通道维修、国网山东青岛供电公司35kV空口线43杆至瑞金站电缆通道综合维修、作业计划14、作业计划15、作业计划16、作业计划17等工作。各单位承载力如图 8所示。</w:t>
      </w:r>
    </w:p>
    <w:p>
      <w:pPr>
        <w:pStyle w:val="Normal"/>
        <w:keepNext w:val="true"/>
        <w:keepLines/>
        <w:spacing w:lineRule="auto" w:line="240" w:before="0" w:after="0"/>
        <w:ind w:firstLine="0" w:end="0" w:firstLineChars="0"/>
        <w:rPr>
          <w:rFonts w:ascii="方正仿宋_GBK" w:hAnsi="方正仿宋_GBK" w:eastAsia="方正仿宋_GBK" w:cs="方正仿宋_GBK"/>
          <w:b/>
          <w:bCs/>
          <w:color w:val="000000"/>
          <w:spacing w:val="0"/>
          <w:kern w:val="2"/>
          <w:sz w:val="32"/>
          <w:szCs w:val="32"/>
          <w:highlight w:val="none"/>
          <w:u w:val="none"/>
          <w:lang w:val="en-US" w:eastAsia="zh-CN" w:bidi="ar"/>
        </w:rPr>
        <w:jc w:val="center"/>
      </w:pPr>
      <w:r>
        <w:rPr>
          <w:rFonts w:eastAsia="方正仿宋_GBK" w:cs="方正仿宋_GBK"/>
          <w:b/>
          <w:bCs/>
          <w:color w:val="000000"/>
          <w:spacing w:val="0"/>
          <w:kern w:val="2"/>
          <w:sz w:val="32"/>
          <w:szCs w:val="32"/>
          <w:u w:val="none"/>
          <w:lang w:val="en-US" w:eastAsia="zh-CN" w:bidi="ar"/>
        </w:rPr>
      </w:r>
      <w:r>
        <w:drawing>
          <wp:inline xmlns:a="http://schemas.openxmlformats.org/drawingml/2006/main" xmlns:pic="http://schemas.openxmlformats.org/drawingml/2006/picture">
            <wp:extent cx="5524500" cy="20547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w3_单位承载力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54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keepLines/>
        <w:pageBreakBefore w:val="false"/>
        <w:spacing w:lineRule="exact" w:line="580"/>
        <w:ind w:firstLine="480" w:end="0"/>
        <w:jc w:val="center"/>
        <w:rPr>
          <w:rFonts w:ascii="方正仿宋_GBK" w:hAnsi="方正仿宋_GBK" w:eastAsia="方正仿宋_GBK" w:cs="方正仿宋_GBK"/>
          <w:b w:val="false"/>
          <w:bCs/>
          <w:color w:val="000000"/>
          <w:spacing w:val="0"/>
          <w:kern w:val="2"/>
          <w:sz w:val="24"/>
          <w:szCs w:val="32"/>
          <w:highlight w:val="none"/>
          <w:lang w:val="en-US" w:eastAsia="zh-CN" w:bidi="ar"/>
        </w:rPr>
      </w:pPr>
      <w:r>
        <w:rPr>
          <w:rFonts w:cs="方正仿宋_GBK"/>
          <w:b w:val="false"/>
          <w:bCs/>
          <w:color w:val="000000"/>
          <w:spacing w:val="0"/>
          <w:kern w:val="2"/>
          <w:sz w:val="24"/>
          <w:szCs w:val="32"/>
          <w:lang w:val="en-US" w:eastAsia="zh-CN" w:bidi="ar"/>
        </w:rPr>
        <w:t>图 8 公司9月份第3周作业承载力</w:t>
      </w:r>
    </w:p>
    <w:p>
      <w:pPr>
        <w:pStyle w:val="Normal"/>
        <w:spacing w:lineRule="exact" w:line="580"/>
        <w:ind w:firstLine="643" w:end="0"/>
        <w:rPr>
          <w:rFonts w:cs="方正仿宋_GBK"/>
          <w:b/>
          <w:bCs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（</w:t>
      </w: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2</w:t>
      </w: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）管理承载力分析</w:t>
      </w:r>
    </w:p>
    <w:p>
      <w:pPr>
        <w:pStyle w:val="Normal"/>
        <w:bidi w:val="0"/>
        <w:ind w:end="0"/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lang w:val="en-US" w:eastAsia="zh-CN" w:bidi="ar"/>
        </w:rPr>
        <w:t>第3周管理承载力为24%，其中城阳中心达85%，现场管理人员满足作业管控需求，如图 9所示。</w:t>
      </w:r>
    </w:p>
    <w:p>
      <w:pPr>
        <w:pStyle w:val="HY-"/>
        <w:keepNext w:val="true"/>
        <w:keepLines/>
        <w:spacing w:lineRule="auto" w:line="240" w:before="0" w:after="0"/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  <w:ind w:firstLine="0" w:firstLineChars="0"/>
        <w:jc w:val="center"/>
      </w:pPr>
      <w:r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lang w:val="en-US" w:eastAsia="zh-CN" w:bidi="ar"/>
        </w:rPr>
      </w:r>
      <w:r>
        <w:drawing>
          <wp:inline xmlns:a="http://schemas.openxmlformats.org/drawingml/2006/main" xmlns:pic="http://schemas.openxmlformats.org/drawingml/2006/picture">
            <wp:extent cx="5524500" cy="20609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w3_管理承载力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6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Y-"/>
        <w:keepLines/>
        <w:pageBreakBefore w:val="false"/>
        <w:jc w:val="center"/>
        <w:rPr>
          <w:rFonts w:ascii="方正仿宋_GBK" w:hAnsi="方正仿宋_GBK" w:eastAsia="方正仿宋_GBK" w:cs="方正仿宋_GBK"/>
          <w:b w:val="false"/>
          <w:sz w:val="24"/>
          <w:lang w:val="en-US" w:eastAsia="zh-CN"/>
        </w:rPr>
      </w:pPr>
      <w:r>
        <w:rPr>
          <w:rFonts w:ascii="方正仿宋_GBK" w:hAnsi="方正仿宋_GBK" w:cs="方正仿宋_GBK"/>
          <w:b w:val="false"/>
          <w:sz w:val="24"/>
          <w:lang w:val="en-US" w:eastAsia="zh-CN"/>
        </w:rPr>
        <w:t>图 9 公司9月份第3周管理承载力</w:t>
      </w:r>
    </w:p>
    <w:p>
      <w:pPr>
        <w:pStyle w:val="HY-"/>
        <w:rPr>
          <w:rFonts w:ascii="方正仿宋_GBK" w:hAnsi="方正仿宋_GBK" w:eastAsia="方正仿宋_GBK" w:cs="方正仿宋_GBK"/>
          <w:b w:val="false"/>
          <w:sz w:val="24"/>
          <w:lang w:val="en-US" w:eastAsia="zh-CN"/>
        </w:rPr>
      </w:pPr>
      <w:r>
        <w:rPr>
          <w:rFonts w:eastAsia="方正仿宋_GBK" w:cs="方正仿宋_GBK" w:ascii="方正仿宋_GBK" w:hAnsi="方正仿宋_GBK"/>
          <w:b w:val="false"/>
          <w:sz w:val="24"/>
          <w:lang w:val="en-US" w:eastAsia="zh-CN"/>
        </w:rPr>
      </w:r>
    </w:p>
    <w:p>
      <w:pPr>
        <w:pStyle w:val="Normal"/>
        <w:bidi w:val="0"/>
        <w:ind w:end="0"/>
        <w:rPr>
          <w:rFonts w:cs="方正仿宋_GBK"/>
          <w:b/>
          <w:bCs/>
          <w:color w:val="00000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rFonts w:cs="方正仿宋_GBK"/>
          <w:b/>
          <w:bCs/>
          <w:color w:val="000000"/>
          <w:kern w:val="2"/>
          <w:sz w:val="32"/>
          <w:szCs w:val="32"/>
          <w:u w:val="none"/>
          <w:lang w:val="en-US" w:eastAsia="zh-CN" w:bidi="ar-SA"/>
        </w:rPr>
      </w:r>
    </w:p>
    <w:p>
      <w:pPr>
        <w:pStyle w:val="Normal"/>
        <w:bidi w:val="0"/>
        <w:ind w:end="0"/>
        <w:rPr>
          <w:rFonts w:cs="Times New Roman"/>
          <w:lang w:val="en-US" w:eastAsia="zh-CN"/>
        </w:rPr>
      </w:pPr>
      <w:r>
        <w:rPr>
          <w:rFonts w:cs="方正仿宋_GBK"/>
          <w:b/>
          <w:bCs/>
          <w:color w:val="000000"/>
          <w:kern w:val="2"/>
          <w:sz w:val="32"/>
          <w:szCs w:val="32"/>
          <w:u w:val="none"/>
          <w:lang w:val="en-US" w:eastAsia="zh-CN" w:bidi="ar-SA"/>
        </w:rPr>
        <w:t>4.9月份第4周（9月21日至9月27日）</w:t>
      </w:r>
    </w:p>
    <w:p>
      <w:pPr>
        <w:pStyle w:val="Normal"/>
        <w:spacing w:lineRule="exact" w:line="580"/>
        <w:ind w:firstLine="643" w:end="0"/>
        <w:rPr>
          <w:rFonts w:cs="方正仿宋_GBK"/>
          <w:b/>
          <w:bCs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（</w:t>
      </w: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1</w:t>
      </w: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）作业承载力分析</w:t>
      </w:r>
    </w:p>
    <w:p>
      <w:pPr>
        <w:pStyle w:val="Normal"/>
        <w:bidi w:val="0"/>
        <w:ind w:end="0"/>
        <w:rPr>
          <w:rFonts w:ascii="方正仿宋_GBK" w:hAnsi="方正仿宋_GBK" w:eastAsia="方正仿宋_GBK" w:cs="方正仿宋_GBK"/>
          <w:color w:val="00000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rFonts w:cs="Times New Roman"/>
          <w:b w:val="false"/>
          <w:bCs w:val="false"/>
          <w:lang w:val="en-US" w:eastAsia="zh-CN"/>
        </w:rPr>
        <w:t>电缆中心、平度公司满载（90%以上），主要开展/、国网山东青岛供电公司35kV城阀线K6-1至K6-2开关箱电缆及通道维修、作业计划21、作业计划22、作业计划23、作业计划24、作业计划25、作业计划26等工作。变电运维、即墨公司作业承载力重载（75%以上），主要开展作业计划514、作业计划515、作业计划516、作业计划517、作业计划518、作业计划519、作业计划520、作业计划539等工作。各单位承载力如图 10所示。</w:t>
      </w:r>
    </w:p>
    <w:p>
      <w:pPr>
        <w:pStyle w:val="Normal"/>
        <w:keepNext w:val="true"/>
        <w:keepLines/>
        <w:spacing w:lineRule="auto" w:line="240" w:before="0" w:after="0"/>
        <w:ind w:firstLine="0" w:end="0" w:firstLineChars="0"/>
        <w:rPr>
          <w:rFonts w:ascii="方正仿宋_GBK" w:hAnsi="方正仿宋_GBK" w:eastAsia="方正仿宋_GBK" w:cs="方正仿宋_GBK"/>
          <w:b/>
          <w:bCs/>
          <w:color w:val="000000"/>
          <w:spacing w:val="0"/>
          <w:kern w:val="2"/>
          <w:sz w:val="32"/>
          <w:szCs w:val="32"/>
          <w:highlight w:val="none"/>
          <w:u w:val="none"/>
          <w:lang w:val="en-US" w:eastAsia="zh-CN" w:bidi="ar"/>
        </w:rPr>
        <w:jc w:val="center"/>
      </w:pPr>
      <w:r>
        <w:rPr>
          <w:rFonts w:eastAsia="方正仿宋_GBK" w:cs="方正仿宋_GBK"/>
          <w:b/>
          <w:bCs/>
          <w:color w:val="000000"/>
          <w:spacing w:val="0"/>
          <w:kern w:val="2"/>
          <w:sz w:val="32"/>
          <w:szCs w:val="32"/>
          <w:u w:val="none"/>
          <w:lang w:val="en-US" w:eastAsia="zh-CN" w:bidi="ar"/>
        </w:rPr>
      </w:r>
      <w:r>
        <w:drawing>
          <wp:inline xmlns:a="http://schemas.openxmlformats.org/drawingml/2006/main" xmlns:pic="http://schemas.openxmlformats.org/drawingml/2006/picture">
            <wp:extent cx="5524500" cy="20547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w4_单位承载力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54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keepLines/>
        <w:pageBreakBefore w:val="false"/>
        <w:spacing w:lineRule="exact" w:line="580"/>
        <w:ind w:firstLine="480" w:end="0"/>
        <w:jc w:val="center"/>
        <w:rPr>
          <w:rFonts w:ascii="方正仿宋_GBK" w:hAnsi="方正仿宋_GBK" w:eastAsia="方正仿宋_GBK" w:cs="方正仿宋_GBK"/>
          <w:b w:val="false"/>
          <w:bCs/>
          <w:color w:val="000000"/>
          <w:spacing w:val="0"/>
          <w:kern w:val="2"/>
          <w:sz w:val="24"/>
          <w:szCs w:val="32"/>
          <w:highlight w:val="none"/>
          <w:lang w:val="en-US" w:eastAsia="zh-CN" w:bidi="ar"/>
        </w:rPr>
      </w:pPr>
      <w:r>
        <w:rPr>
          <w:rFonts w:cs="方正仿宋_GBK"/>
          <w:b w:val="false"/>
          <w:bCs/>
          <w:color w:val="000000"/>
          <w:spacing w:val="0"/>
          <w:kern w:val="2"/>
          <w:sz w:val="24"/>
          <w:szCs w:val="32"/>
          <w:lang w:val="en-US" w:eastAsia="zh-CN" w:bidi="ar"/>
        </w:rPr>
        <w:t>图 10 公司9月份第4周作业承载力</w:t>
      </w:r>
    </w:p>
    <w:p>
      <w:pPr>
        <w:pStyle w:val="Normal"/>
        <w:spacing w:lineRule="exact" w:line="580"/>
        <w:ind w:firstLine="643" w:end="0"/>
        <w:rPr>
          <w:rFonts w:cs="方正仿宋_GBK"/>
          <w:b/>
          <w:bCs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（</w:t>
      </w: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2</w:t>
      </w: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）管理承载力分析</w:t>
      </w:r>
    </w:p>
    <w:p>
      <w:pPr>
        <w:pStyle w:val="Normal"/>
        <w:bidi w:val="0"/>
        <w:ind w:end="0"/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lang w:val="en-US" w:eastAsia="zh-CN" w:bidi="ar"/>
        </w:rPr>
        <w:t>第4周管理承载力为24%，其中市北中心达81%，现场管理人员满足作业管控需求，如图 11所示。</w:t>
      </w:r>
    </w:p>
    <w:p>
      <w:pPr>
        <w:pStyle w:val="HY-"/>
        <w:keepNext w:val="true"/>
        <w:keepLines/>
        <w:spacing w:lineRule="auto" w:line="240" w:before="0" w:after="0"/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  <w:ind w:firstLine="0" w:firstLineChars="0"/>
        <w:jc w:val="center"/>
      </w:pPr>
      <w:r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lang w:val="en-US" w:eastAsia="zh-CN" w:bidi="ar"/>
        </w:rPr>
      </w:r>
      <w:r>
        <w:drawing>
          <wp:inline xmlns:a="http://schemas.openxmlformats.org/drawingml/2006/main" xmlns:pic="http://schemas.openxmlformats.org/drawingml/2006/picture">
            <wp:extent cx="5524500" cy="206092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w4_管理承载力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6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Y-"/>
        <w:keepLines/>
        <w:pageBreakBefore w:val="false"/>
        <w:jc w:val="center"/>
        <w:rPr>
          <w:rFonts w:ascii="方正仿宋_GBK" w:hAnsi="方正仿宋_GBK" w:eastAsia="方正仿宋_GBK" w:cs="方正仿宋_GBK"/>
          <w:b w:val="false"/>
          <w:sz w:val="24"/>
          <w:lang w:val="en-US" w:eastAsia="zh-CN"/>
        </w:rPr>
      </w:pPr>
      <w:r>
        <w:rPr>
          <w:rFonts w:ascii="方正仿宋_GBK" w:hAnsi="方正仿宋_GBK" w:cs="方正仿宋_GBK"/>
          <w:b w:val="false"/>
          <w:sz w:val="24"/>
          <w:lang w:val="en-US" w:eastAsia="zh-CN"/>
        </w:rPr>
        <w:t>图 11 公司9月份第4周管理承载力</w:t>
      </w:r>
    </w:p>
    <w:p>
      <w:pPr>
        <w:pStyle w:val="HY-"/>
        <w:rPr>
          <w:rFonts w:ascii="方正仿宋_GBK" w:hAnsi="方正仿宋_GBK" w:eastAsia="方正仿宋_GBK" w:cs="方正仿宋_GBK"/>
          <w:b w:val="false"/>
          <w:sz w:val="24"/>
          <w:lang w:val="en-US" w:eastAsia="zh-CN"/>
        </w:rPr>
      </w:pPr>
      <w:r>
        <w:rPr>
          <w:rFonts w:eastAsia="方正仿宋_GBK" w:cs="方正仿宋_GBK" w:ascii="方正仿宋_GBK" w:hAnsi="方正仿宋_GBK"/>
          <w:b w:val="false"/>
          <w:sz w:val="24"/>
          <w:lang w:val="en-US" w:eastAsia="zh-CN"/>
        </w:rPr>
      </w:r>
    </w:p>
    <w:p>
      <w:pPr>
        <w:pStyle w:val="HY-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ind w:end="0"/>
        <w:rPr>
          <w:rFonts w:cs="Times New Roman"/>
          <w:lang w:val="en-US" w:eastAsia="zh-CN"/>
        </w:rPr>
      </w:pPr>
      <w:r>
        <w:rPr>
          <w:rFonts w:cs="方正仿宋_GBK"/>
          <w:b/>
          <w:bCs/>
          <w:color w:val="000000"/>
          <w:kern w:val="2"/>
          <w:sz w:val="32"/>
          <w:szCs w:val="32"/>
          <w:u w:val="none"/>
          <w:lang w:val="en-US" w:eastAsia="zh-CN" w:bidi="ar-SA"/>
        </w:rPr>
        <w:t>5.9月份第5周（9月28日至9月30日）</w:t>
      </w:r>
    </w:p>
    <w:p>
      <w:pPr>
        <w:pStyle w:val="Normal"/>
        <w:spacing w:lineRule="exact" w:line="580"/>
        <w:ind w:firstLine="643" w:end="0"/>
        <w:rPr>
          <w:rFonts w:cs="方正仿宋_GBK"/>
          <w:b/>
          <w:bCs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（</w:t>
      </w: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1</w:t>
      </w: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）作业承载力分析</w:t>
      </w:r>
    </w:p>
    <w:p>
      <w:pPr>
        <w:pStyle w:val="Normal"/>
        <w:bidi w:val="0"/>
        <w:ind w:end="0"/>
        <w:rPr>
          <w:rFonts w:ascii="方正仿宋_GBK" w:hAnsi="方正仿宋_GBK" w:eastAsia="方正仿宋_GBK" w:cs="方正仿宋_GBK"/>
          <w:color w:val="00000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rFonts w:cs="Times New Roman"/>
          <w:lang w:val="en-US" w:eastAsia="zh-CN"/>
        </w:rPr>
        <w:t>电缆中心满载（90%以上），主要开展/、国网山东青岛供电公司35kV午枯线T1等49台电缆分支箱肘型头维修等工作。各单位承载力如图 12所示。</w:t>
      </w:r>
    </w:p>
    <w:p>
      <w:pPr>
        <w:pStyle w:val="Normal"/>
        <w:keepNext w:val="true"/>
        <w:keepLines/>
        <w:spacing w:lineRule="auto" w:line="240" w:before="0" w:after="0"/>
        <w:ind w:firstLine="0" w:end="0" w:firstLineChars="0"/>
        <w:rPr>
          <w:rFonts w:ascii="方正仿宋_GBK" w:hAnsi="方正仿宋_GBK" w:eastAsia="方正仿宋_GBK" w:cs="方正仿宋_GBK"/>
          <w:b/>
          <w:bCs/>
          <w:color w:val="000000"/>
          <w:spacing w:val="0"/>
          <w:kern w:val="2"/>
          <w:sz w:val="32"/>
          <w:szCs w:val="32"/>
          <w:highlight w:val="none"/>
          <w:u w:val="none"/>
          <w:lang w:val="en-US" w:eastAsia="zh-CN" w:bidi="ar"/>
        </w:rPr>
        <w:jc w:val="center"/>
      </w:pPr>
      <w:r>
        <w:rPr>
          <w:rFonts w:eastAsia="方正仿宋_GBK" w:cs="方正仿宋_GBK"/>
          <w:b/>
          <w:bCs/>
          <w:color w:val="000000"/>
          <w:spacing w:val="0"/>
          <w:kern w:val="2"/>
          <w:sz w:val="32"/>
          <w:szCs w:val="32"/>
          <w:u w:val="none"/>
          <w:lang w:val="en-US" w:eastAsia="zh-CN" w:bidi="ar"/>
        </w:rPr>
      </w:r>
      <w:r>
        <w:drawing>
          <wp:inline xmlns:a="http://schemas.openxmlformats.org/drawingml/2006/main" xmlns:pic="http://schemas.openxmlformats.org/drawingml/2006/picture">
            <wp:extent cx="5524500" cy="20547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w5_单位承载力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54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keepLines/>
        <w:pageBreakBefore w:val="false"/>
        <w:spacing w:lineRule="exact" w:line="580"/>
        <w:ind w:firstLine="480" w:end="0"/>
        <w:jc w:val="center"/>
        <w:rPr>
          <w:rFonts w:ascii="方正仿宋_GBK" w:hAnsi="方正仿宋_GBK" w:eastAsia="方正仿宋_GBK" w:cs="方正仿宋_GBK"/>
          <w:b w:val="false"/>
          <w:bCs/>
          <w:color w:val="000000"/>
          <w:spacing w:val="0"/>
          <w:kern w:val="2"/>
          <w:sz w:val="24"/>
          <w:szCs w:val="32"/>
          <w:highlight w:val="none"/>
          <w:lang w:val="en-US" w:eastAsia="zh-CN" w:bidi="ar"/>
        </w:rPr>
      </w:pPr>
      <w:r>
        <w:rPr>
          <w:rFonts w:cs="方正仿宋_GBK"/>
          <w:b w:val="false"/>
          <w:bCs/>
          <w:color w:val="000000"/>
          <w:spacing w:val="0"/>
          <w:kern w:val="2"/>
          <w:sz w:val="24"/>
          <w:szCs w:val="32"/>
          <w:lang w:val="en-US" w:eastAsia="zh-CN" w:bidi="ar"/>
        </w:rPr>
        <w:t>图 12 公司9月份第5周作业承载力</w:t>
      </w:r>
    </w:p>
    <w:p>
      <w:pPr>
        <w:pStyle w:val="Normal"/>
        <w:spacing w:lineRule="exact" w:line="580"/>
        <w:ind w:firstLine="643" w:end="0"/>
        <w:rPr>
          <w:rFonts w:cs="方正仿宋_GBK"/>
          <w:b/>
          <w:bCs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（</w:t>
      </w: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2</w:t>
      </w:r>
      <w:r>
        <w:rPr>
          <w:rFonts w:cs="方正仿宋_GBK"/>
          <w:b/>
          <w:bCs/>
          <w:color w:val="000000"/>
          <w:spacing w:val="0"/>
          <w:kern w:val="2"/>
          <w:sz w:val="32"/>
          <w:szCs w:val="32"/>
          <w:lang w:val="en-US" w:eastAsia="zh-CN" w:bidi="ar"/>
        </w:rPr>
        <w:t>）管理承载力分析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="640" w:end="0"/>
        <w:textAlignment w:val="auto"/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lang w:val="en-US" w:eastAsia="zh-CN" w:bidi="ar"/>
        </w:rPr>
        <w:t>第5周管理承载力为16%，现场管理人员满足作业管控需求，如图 13所示。</w:t>
      </w:r>
    </w:p>
    <w:p>
      <w:pPr>
        <w:pStyle w:val="HY-"/>
        <w:keepNext w:val="true"/>
        <w:keepLines/>
        <w:spacing w:lineRule="auto" w:line="240" w:before="0" w:after="0"/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  <w:ind w:firstLine="0" w:firstLineChars="0"/>
        <w:jc w:val="center"/>
      </w:pPr>
      <w:r>
        <w:rPr>
          <w:rFonts w:cs="方正仿宋_GBK"/>
          <w:b w:val="false"/>
          <w:bCs w:val="false"/>
          <w:color w:val="000000"/>
          <w:spacing w:val="0"/>
          <w:kern w:val="2"/>
          <w:sz w:val="32"/>
          <w:szCs w:val="32"/>
          <w:lang w:val="en-US" w:eastAsia="zh-CN" w:bidi="ar"/>
        </w:rPr>
      </w:r>
      <w:r>
        <w:drawing>
          <wp:inline xmlns:a="http://schemas.openxmlformats.org/drawingml/2006/main" xmlns:pic="http://schemas.openxmlformats.org/drawingml/2006/picture">
            <wp:extent cx="5524500" cy="20609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w5_管理承载力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6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Y-"/>
        <w:keepLines/>
        <w:pageBreakBefore w:val="false"/>
        <w:jc w:val="center"/>
        <w:rPr>
          <w:rFonts w:ascii="方正仿宋_GBK" w:hAnsi="方正仿宋_GBK" w:eastAsia="方正仿宋_GBK" w:cs="方正仿宋_GBK"/>
          <w:b w:val="false"/>
          <w:sz w:val="24"/>
          <w:lang w:val="en-US" w:eastAsia="zh-CN"/>
        </w:rPr>
      </w:pPr>
      <w:r>
        <w:rPr>
          <w:rFonts w:ascii="方正仿宋_GBK" w:hAnsi="方正仿宋_GBK" w:cs="方正仿宋_GBK"/>
          <w:b w:val="false"/>
          <w:sz w:val="24"/>
          <w:lang w:val="en-US" w:eastAsia="zh-CN"/>
        </w:rPr>
        <w:t>图 13 公司9月份第5周管理承载力</w:t>
      </w:r>
    </w:p>
    <w:p>
      <w:pPr>
        <w:pStyle w:val="HY-"/>
        <w:rPr>
          <w:rFonts w:ascii="方正仿宋_GBK" w:hAnsi="方正仿宋_GBK" w:eastAsia="方正仿宋_GBK" w:cs="方正仿宋_GBK"/>
          <w:b w:val="false"/>
          <w:sz w:val="24"/>
          <w:lang w:val="en-US" w:eastAsia="zh-CN"/>
        </w:rPr>
      </w:pPr>
      <w:r>
        <w:rPr>
          <w:rFonts w:eastAsia="方正仿宋_GBK" w:cs="方正仿宋_GBK" w:ascii="方正仿宋_GBK" w:hAnsi="方正仿宋_GBK"/>
          <w:b w:val="false"/>
          <w:sz w:val="24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="640" w:end="0"/>
        <w:textAlignment w:val="auto"/>
        <w:rPr>
          <w:rFonts w:ascii="方正黑体_GBK" w:hAnsi="方正黑体_GBK" w:eastAsia="方正黑体_GBK" w:cs="方正黑体_GBK"/>
          <w:b w:val="false"/>
          <w:bCs w:val="false"/>
          <w:sz w:val="32"/>
          <w:szCs w:val="32"/>
          <w:highlight w:val="none"/>
          <w:lang w:val="en-US" w:eastAsia="zh-CN"/>
        </w:rPr>
      </w:pPr>
      <w:r>
        <w:rPr>
          <w:rFonts w:eastAsia="方正黑体_GBK" w:cs="方正黑体_GBK" w:ascii="方正黑体_GBK" w:hAnsi="方正黑体_GBK"/>
          <w:b w:val="false"/>
          <w:bCs w:val="false"/>
          <w:sz w:val="32"/>
          <w:szCs w:val="32"/>
          <w:lang w:val="en-US" w:eastAsia="zh-CN"/>
        </w:rPr>
      </w:r>
    </w:p>
    <w:p>
      <w:pPr>
        <w:pStyle w:val="HY-"/>
        <w:bidi w:val="0"/>
        <w:rPr>
          <w:lang w:val="en-US" w:eastAsia="zh-CN"/>
        </w:rPr>
      </w:pPr>
      <w:r>
        <w:rPr>
          <w:lang w:val="en-US" w:eastAsia="zh-CN"/>
        </w:rPr>
        <w:t>三、辅助建议与风险管控提示</w:t>
      </w:r>
    </w:p>
    <w:p>
      <w:pPr>
        <w:pStyle w:val="HY-"/>
        <w:bidi w:val="0"/>
        <w:rPr>
          <w:lang w:val="en-US" w:eastAsia="zh-CN"/>
        </w:rPr>
      </w:pPr>
      <w:r>
        <w:rPr>
          <w:lang w:val="en-US" w:eastAsia="zh-CN"/>
        </w:rPr>
        <w:t>本月日计划15236项，二级风险1项，三级风险47项。单位承载力居前的是电缆中心128.8%、平度公司112.3%、输电中心60.6%。峰值单位电缆中心为128.8%，已达满载，请压缩该单位同期作业。管理承载力为22%。请各单位按实际承载力安排现场作业。</w:t>
      </w:r>
    </w:p>
    <w:sectPr>
      <w:footerReference w:type="default" r:id="rId3"/>
      <w:type w:val="nextPage"/>
      <w:pgSz w:w="11906" w:h="16838"/>
      <w:pgMar w:left="1587" w:right="1474" w:gutter="0" w:header="0" w:top="2098" w:footer="992" w:bottom="198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方正仿宋_GBK">
    <w:charset w:val="86"/>
    <w:family w:val="auto"/>
    <w:pitch w:val="default"/>
  </w:font>
  <w:font w:name="方正楷体_GBK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altName w:val="仿宋"/>
    <w:charset w:val="86"/>
    <w:family w:val="modern"/>
    <w:pitch w:val="default"/>
  </w:font>
  <w:font w:name="宋体">
    <w:charset w:val="86"/>
    <w:family w:val="auto"/>
    <w:pitch w:val="default"/>
  </w:font>
  <w:font w:name="Calibri">
    <w:charset w:val="00" w:characterSet="windows-1252"/>
    <w:family w:val="swiss"/>
    <w:pitch w:val="default"/>
  </w:font>
  <w:font w:name="方正小标宋_GBK">
    <w:charset w:val="86"/>
    <w:family w:val="auto"/>
    <w:pitch w:val="default"/>
  </w:font>
  <w:font w:name="方正黑体_GBK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9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031240" cy="36957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1240" cy="3695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eastAsia="方正仿宋_GBK" w:cs="方正仿宋_GBK"/>
                              <w:sz w:val="24"/>
                              <w:szCs w:val="24"/>
                            </w:rPr>
                            <w:t xml:space="preserve">— </w:t>
                          </w:r>
                          <w:r>
                            <w:rPr>
                              <w:rFonts w:eastAsia="方正仿宋_GBK" w:cs="方正仿宋_GBK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  <w:rFonts w:eastAsia="方正仿宋_GBK" w:cs="方正仿宋_GBK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zCs w:val="24"/>
                              <w:rFonts w:eastAsia="方正仿宋_GBK" w:cs="方正仿宋_GBK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  <w:rFonts w:eastAsia="方正仿宋_GBK" w:cs="方正仿宋_GBK"/>
                            </w:rPr>
                            <w:t>7</w:t>
                          </w:r>
                          <w:r>
                            <w:rPr>
                              <w:sz w:val="24"/>
                              <w:szCs w:val="24"/>
                              <w:rFonts w:eastAsia="方正仿宋_GBK" w:cs="方正仿宋_GBK"/>
                            </w:rPr>
                            <w:fldChar w:fldCharType="end"/>
                          </w:r>
                          <w:r>
                            <w:rPr>
                              <w:rFonts w:eastAsia="方正仿宋_GBK" w:cs="方正仿宋_GBK"/>
                              <w:sz w:val="24"/>
                              <w:szCs w:val="24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81.2pt;height:29.1pt;mso-wrap-distance-left:9.05pt;mso-wrap-distance-right:9.05pt;mso-wrap-distance-top:0pt;mso-wrap-distance-bottom:0pt;margin-top:0pt;mso-position-vertical-relative:text;margin-left:180.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eastAsia="方正仿宋_GBK" w:cs="方正仿宋_GBK"/>
                        <w:sz w:val="24"/>
                        <w:szCs w:val="24"/>
                      </w:rPr>
                      <w:t xml:space="preserve">— </w:t>
                    </w:r>
                    <w:r>
                      <w:rPr>
                        <w:rFonts w:eastAsia="方正仿宋_GBK" w:cs="方正仿宋_GBK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  <w:rFonts w:eastAsia="方正仿宋_GBK" w:cs="方正仿宋_GBK"/>
                      </w:rPr>
                      <w:instrText xml:space="preserve"> PAGE </w:instrText>
                    </w:r>
                    <w:r>
                      <w:rPr>
                        <w:sz w:val="24"/>
                        <w:szCs w:val="24"/>
                        <w:rFonts w:eastAsia="方正仿宋_GBK" w:cs="方正仿宋_GBK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  <w:rFonts w:eastAsia="方正仿宋_GBK" w:cs="方正仿宋_GBK"/>
                      </w:rPr>
                      <w:t>7</w:t>
                    </w:r>
                    <w:r>
                      <w:rPr>
                        <w:sz w:val="24"/>
                        <w:szCs w:val="24"/>
                        <w:rFonts w:eastAsia="方正仿宋_GBK" w:cs="方正仿宋_GBK"/>
                      </w:rPr>
                      <w:fldChar w:fldCharType="end"/>
                    </w:r>
                    <w:r>
                      <w:rPr>
                        <w:rFonts w:eastAsia="方正仿宋_GBK" w:cs="方正仿宋_GBK"/>
                        <w:sz w:val="24"/>
                        <w:szCs w:val="24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13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HY-"/>
    <w:qFormat/>
    <w:pPr>
      <w:widowControl w:val="false"/>
      <w:bidi w:val="0"/>
      <w:spacing w:lineRule="exact" w:line="580"/>
      <w:ind w:firstLine="880" w:start="0" w:end="0"/>
      <w:jc w:val="both"/>
    </w:pPr>
    <w:rPr>
      <w:rFonts w:ascii="方正仿宋_GBK" w:hAnsi="方正仿宋_GBK" w:eastAsia="方正仿宋_GBK" w:cs="Times New Roman"/>
      <w:color w:val="auto"/>
      <w:kern w:val="2"/>
      <w:sz w:val="32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题注 Char"/>
    <w:qFormat/>
    <w:rPr>
      <w:rFonts w:ascii="方正仿宋_GBK" w:hAnsi="方正仿宋_GBK" w:eastAsia="方正仿宋_GBK" w:cs="方正仿宋_GBK"/>
      <w:sz w:val="32"/>
    </w:rPr>
  </w:style>
  <w:style w:type="character" w:styleId="Char1">
    <w:name w:val="公司内容重点 Char1"/>
    <w:qFormat/>
    <w:rPr>
      <w:rFonts w:ascii="方正楷体_GBK" w:hAnsi="方正楷体_GBK" w:eastAsia="方正楷体_GBK" w:cs="方正楷体_GBK"/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Y-">
    <w:name w:val="HY-正文"/>
    <w:basedOn w:val="Normal"/>
    <w:qFormat/>
    <w:pPr>
      <w:spacing w:lineRule="exact" w:line="580"/>
      <w:ind w:firstLine="200" w:start="0" w:end="0"/>
    </w:pPr>
    <w:rPr>
      <w:rFonts w:ascii="仿宋_GB2312;仿宋" w:hAnsi="仿宋_GB2312;仿宋" w:cs="Times New Roman"/>
      <w:szCs w:val="32"/>
    </w:rPr>
  </w:style>
  <w:style w:type="paragraph" w:styleId="Style15">
    <w:name w:val="正文缩进"/>
    <w:basedOn w:val="Normal"/>
    <w:next w:val="Normal"/>
    <w:qFormat/>
    <w:pPr>
      <w:ind w:firstLine="420" w:start="0" w:end="0"/>
    </w:pPr>
    <w:rPr/>
  </w:style>
  <w:style w:type="paragraph" w:styleId="Style16">
    <w:name w:val="题注"/>
    <w:basedOn w:val="Normal"/>
    <w:next w:val="Normal"/>
    <w:qFormat/>
    <w:pPr/>
    <w:rPr>
      <w:rFonts w:ascii="方正仿宋_GBK" w:hAnsi="方正仿宋_GBK" w:cs="方正仿宋_GBK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HTML">
    <w:name w:val="HTML 预设格式"/>
    <w:basedOn w:val="Normal"/>
    <w:qFormat/>
    <w:pPr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eastAsia="宋体" w:cs="宋体"/>
      <w:kern w:val="0"/>
      <w:sz w:val="24"/>
      <w:szCs w:val="24"/>
      <w:lang w:val="en-US" w:eastAsia="zh-CN" w:bidi="ar"/>
    </w:rPr>
  </w:style>
  <w:style w:type="paragraph" w:styleId="Style17">
    <w:name w:val="普通(网站)"/>
    <w:basedOn w:val="Normal"/>
    <w:qFormat/>
    <w:pPr/>
    <w:rPr>
      <w:sz w:val="24"/>
    </w:rPr>
  </w:style>
  <w:style w:type="paragraph" w:styleId="Style18">
    <w:name w:val="青岛二级标题"/>
    <w:basedOn w:val="Normal"/>
    <w:qFormat/>
    <w:pPr>
      <w:spacing w:lineRule="exact" w:line="580"/>
      <w:ind w:firstLine="632" w:start="0" w:end="0"/>
      <w:outlineLvl w:val="1"/>
    </w:pPr>
    <w:rPr>
      <w:rFonts w:ascii="方正楷体_GBK" w:hAnsi="方正楷体_GBK" w:eastAsia="方正楷体_GBK" w:cs="方正楷体_GBK"/>
      <w:b/>
      <w:sz w:val="32"/>
      <w:szCs w:val="32"/>
    </w:rPr>
  </w:style>
  <w:style w:type="paragraph" w:styleId="Style19">
    <w:name w:val="公司内容重点"/>
    <w:basedOn w:val="Normal"/>
    <w:qFormat/>
    <w:pPr>
      <w:spacing w:lineRule="exact" w:line="580"/>
      <w:ind w:firstLine="880" w:start="0" w:end="0"/>
    </w:pPr>
    <w:rPr>
      <w:rFonts w:ascii="方正楷体_GBK" w:hAnsi="方正楷体_GBK" w:eastAsia="方正楷体_GBK" w:cs="方正楷体_GBK"/>
      <w:b/>
      <w:sz w:val="32"/>
    </w:rPr>
  </w:style>
  <w:style w:type="paragraph" w:styleId="Style20">
    <w:name w:val="表格"/>
    <w:basedOn w:val="Normal"/>
    <w:qFormat/>
    <w:pPr>
      <w:widowControl/>
      <w:spacing w:lineRule="auto" w:line="240"/>
      <w:ind w:hanging="0" w:start="0" w:end="0"/>
      <w:jc w:val="center"/>
      <w:textAlignment w:val="center"/>
    </w:pPr>
    <w:rPr>
      <w:rFonts w:ascii="宋体" w:hAnsi="宋体" w:eastAsia="宋体" w:cs="宋体"/>
      <w:b w:val="false"/>
      <w:bCs/>
      <w:color w:val="000000"/>
      <w:sz w:val="20"/>
      <w:szCs w:val="20"/>
    </w:rPr>
  </w:style>
  <w:style w:type="paragraph" w:styleId="1">
    <w:name w:val="正文缩进1"/>
    <w:basedOn w:val="Style15"/>
    <w:qFormat/>
    <w:pPr/>
    <w:rPr>
      <w:rFonts w:ascii="Calibri" w:hAnsi="Calibri" w:eastAsia="宋体" w:cs="Times New Roman"/>
      <w:szCs w:val="21"/>
    </w:rPr>
  </w:style>
  <w:style w:type="paragraph" w:styleId="Style21">
    <w:name w:val="图"/>
    <w:basedOn w:val="Normal"/>
    <w:qFormat/>
    <w:pPr>
      <w:spacing w:lineRule="exact" w:line="300" w:before="0" w:after="50"/>
      <w:ind w:hanging="0" w:start="0" w:end="0"/>
      <w:jc w:val="center"/>
    </w:pPr>
    <w:rPr>
      <w:rFonts w:cs="方正仿宋_GBK"/>
      <w:color w:val="000000"/>
      <w:sz w:val="24"/>
    </w:rPr>
  </w:style>
  <w:style w:type="paragraph" w:styleId="Style22">
    <w:name w:val="表"/>
    <w:basedOn w:val="Normal"/>
    <w:qFormat/>
    <w:pPr>
      <w:spacing w:lineRule="exact" w:line="300" w:before="50" w:after="0"/>
      <w:ind w:hanging="0" w:start="0" w:end="0"/>
      <w:jc w:val="center"/>
    </w:pPr>
    <w:rPr>
      <w:rFonts w:cs="方正仿宋_GBK"/>
      <w:color w:val="00000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2026-01-29T01:57:38Z</dcterms:created>
  <dc:creator>Administrator</dc:creator>
  <dc:description/>
  <dc:language>en-US</dc:language>
  <cp:lastModifiedBy>和煦</cp:lastModifiedBy>
  <cp:lastPrinted>2026-04-30T11:05:00Z</cp:lastPrinted>
  <dcterms:modified xsi:type="dcterms:W3CDTF">2026-09-17T02:21:03Z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57FE13AEDF2C4203A8B41A332F79EA9E_13</vt:lpwstr>
  </property>
  <property fmtid="{D5CDD505-2E9C-101B-9397-08002B2CF9AE}" pid="3" name="KSOProductBuildVer">
    <vt:lpwstr>2052-12.1.0.21915</vt:lpwstr>
  </property>
</Properties>
</file>