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hanging="0" w:end="0"/>
        <w:jc w:val="center"/>
        <w:textAlignment w:val="auto"/>
        <w:rPr>
          <w:rFonts w:ascii="方正小标宋_GBK" w:hAnsi="方正小标宋_GBK" w:eastAsia="方正小标宋_GBK" w:cs="方正小标宋_GBK"/>
          <w:sz w:val="44"/>
          <w:szCs w:val="44"/>
        </w:rPr>
      </w:pPr>
      <w:r>
        <w:rPr>
          <w:rFonts w:ascii="方正小标宋_GBK" w:hAnsi="方正小标宋_GBK" w:cs="方正小标宋_GBK" w:eastAsia="方正小标宋_GBK"/>
          <w:sz w:val="44"/>
          <w:szCs w:val="44"/>
        </w:rPr>
        <w:t>国网青岛供电公司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hanging="0" w:end="0"/>
        <w:jc w:val="center"/>
        <w:textAlignment w:val="auto"/>
        <w:rPr>
          <w:rFonts w:ascii="方正小标宋_GBK" w:hAnsi="方正小标宋_GBK" w:eastAsia="方正小标宋_GBK" w:cs="方正小标宋_GBK"/>
          <w:sz w:val="44"/>
          <w:szCs w:val="44"/>
        </w:rPr>
      </w:pPr>
      <w:r>
        <w:rPr>
          <w:rFonts w:eastAsia="方正小标宋_GBK" w:cs="方正小标宋_GBK" w:ascii="方正小标宋_GBK" w:hAnsi="方正小标宋_GBK"/>
          <w:sz w:val="44"/>
          <w:szCs w:val="44"/>
        </w:rPr>
        <w:t>2026年9月份第1周安全承载力分析报告</w:t>
      </w:r>
    </w:p>
    <w:p>
      <w:pPr>
        <w:pStyle w:val="HY-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="640" w:end="0"/>
        <w:textAlignment w:val="auto"/>
        <w:rPr>
          <w:rFonts w:ascii="方正仿宋_GBK" w:hAnsi="方正仿宋_GBK" w:eastAsia="方正仿宋_GBK" w:cs="方正仿宋_GBK"/>
          <w:color w:val="000000"/>
          <w:sz w:val="32"/>
          <w:szCs w:val="32"/>
          <w:highlight w:val="none"/>
          <w:lang w:val="en-US" w:eastAsia="zh-CN"/>
        </w:rPr>
      </w:pPr>
      <w:r>
        <w:rPr>
          <w:rFonts w:eastAsia="方正仿宋_GBK" w:cs="方正仿宋_GBK" w:ascii="方正仿宋_GBK" w:hAnsi="方正仿宋_GBK"/>
          <w:color w:val="000000"/>
          <w:sz w:val="32"/>
          <w:szCs w:val="32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640" w:end="0"/>
        <w:textAlignment w:val="auto"/>
        <w:rPr>
          <w:rFonts w:ascii="方正黑体_GBK" w:hAnsi="方正黑体_GBK" w:eastAsia="方正黑体_GBK" w:cs="方正黑体_GBK"/>
          <w:b w:val="false"/>
          <w:bCs w:val="false"/>
          <w:sz w:val="32"/>
          <w:szCs w:val="32"/>
          <w:lang w:val="en-US" w:eastAsia="zh-CN"/>
        </w:rPr>
      </w:pPr>
      <w:r>
        <w:rPr>
          <w:rFonts w:ascii="方正黑体_GBK" w:hAnsi="方正黑体_GBK" w:cs="方正黑体_GBK" w:eastAsia="方正黑体_GBK"/>
          <w:b w:val="false"/>
          <w:bCs w:val="false"/>
          <w:sz w:val="32"/>
          <w:szCs w:val="32"/>
          <w:lang w:val="en-US" w:eastAsia="zh-CN"/>
        </w:rPr>
        <w:t>一、工作计划概况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="640" w:end="0"/>
        <w:textAlignment w:val="auto"/>
        <w:rPr>
          <w:rFonts w:cs="方正仿宋_GBK"/>
          <w:color w:val="000000"/>
          <w:spacing w:val="0"/>
          <w:kern w:val="2"/>
          <w:sz w:val="32"/>
          <w:szCs w:val="32"/>
          <w:highlight w:val="none"/>
          <w:lang w:val="en-US" w:eastAsia="zh-CN" w:bidi="ar"/>
        </w:rPr>
      </w:pPr>
      <w:r>
        <w:rPr>
          <w:rFonts w:cs="方正仿宋_GBK"/>
          <w:color w:val="000000"/>
          <w:spacing w:val="0"/>
          <w:kern w:val="2"/>
          <w:sz w:val="32"/>
          <w:szCs w:val="32"/>
          <w:lang w:val="en-US" w:eastAsia="zh-CN" w:bidi="ar"/>
        </w:rPr>
        <w:t>9月份第1周8月31日至9月6日，公司各单位共安排日计划3062项，其中二级风险作业0项、三级风险作业0项。本周三级及以上风险作业不单列明细。</w:t>
      </w:r>
    </w:p>
    <w:p>
      <w:pPr>
        <w:pStyle w:val="Style15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exact" w:line="580"/>
        <w:ind w:firstLine="640" w:end="0"/>
        <w:textAlignment w:val="auto"/>
        <w:rPr>
          <w:rFonts w:cs="方正仿宋_GBK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各作业类型日计划数量如下图所示：</w:t>
      </w:r>
    </w:p>
    <w:p>
      <w:pPr>
        <w:spacing w:before="0" w:after="0" w:line="240" w:lineRule="auto"/>
        <w:ind w:firstLine="0" w:firstLineChars="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524500" cy="20257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w1_作业类型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25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80"/>
        <w:ind w:firstLine="640" w:end="0"/>
        <w:textAlignment w:val="auto"/>
        <w:rPr>
          <w:rFonts w:ascii="方正黑体_GBK" w:hAnsi="方正黑体_GBK" w:eastAsia="方正黑体_GBK" w:cs="方正黑体_GBK"/>
          <w:b w:val="false"/>
          <w:bCs w:val="false"/>
          <w:sz w:val="32"/>
          <w:szCs w:val="32"/>
          <w:highlight w:val="none"/>
          <w:lang w:val="en-US" w:eastAsia="zh-CN"/>
        </w:rPr>
      </w:pPr>
      <w:r>
        <w:rPr>
          <w:rFonts w:ascii="方正黑体_GBK" w:hAnsi="方正黑体_GBK" w:cs="方正黑体_GBK" w:eastAsia="方正黑体_GBK"/>
          <w:b w:val="false"/>
          <w:bCs w:val="false"/>
          <w:sz w:val="32"/>
          <w:szCs w:val="32"/>
          <w:lang w:val="en-US" w:eastAsia="zh-CN"/>
        </w:rPr>
        <w:t>二、各单位承载力分析</w:t>
      </w:r>
    </w:p>
    <w:p>
      <w:pPr>
        <w:pStyle w:val="Normal"/>
        <w:spacing w:lineRule="exact" w:line="580"/>
        <w:ind w:firstLine="643" w:end="0"/>
        <w:rPr>
          <w:rFonts w:ascii="方正楷体_GBK" w:hAnsi="方正楷体_GBK" w:eastAsia="方正楷体_GBK" w:cs="方正楷体_GBK"/>
          <w:b/>
          <w:bCs/>
          <w:color w:val="000000"/>
          <w:sz w:val="32"/>
          <w:szCs w:val="32"/>
          <w:highlight w:val="none"/>
          <w:u w:val="none"/>
          <w:lang w:val="en-US" w:eastAsia="zh-CN"/>
        </w:rPr>
      </w:pPr>
      <w:r>
        <w:rPr>
          <w:rFonts w:ascii="方正楷体_GBK" w:hAnsi="方正楷体_GBK" w:cs="方正楷体_GBK" w:eastAsia="方正楷体_GBK"/>
          <w:b/>
          <w:bCs/>
          <w:color w:val="000000"/>
          <w:sz w:val="32"/>
          <w:szCs w:val="32"/>
          <w:u w:val="none"/>
          <w:lang w:val="en-US" w:eastAsia="zh-CN"/>
        </w:rPr>
        <w:t>（一）周承载力分析</w:t>
      </w:r>
    </w:p>
    <w:p>
      <w:pPr>
        <w:pStyle w:val="Normal"/>
        <w:spacing w:lineRule="exact" w:line="580"/>
        <w:ind w:firstLine="643" w:end="0"/>
        <w:rPr>
          <w:rFonts w:ascii="方正仿宋_GBK" w:hAnsi="方正仿宋_GBK" w:eastAsia="方正仿宋_GBK" w:cs="方正仿宋_GBK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b/>
          <w:bCs/>
          <w:lang w:val="en-US" w:eastAsia="zh-CN"/>
        </w:rPr>
        <w:t>1.</w:t>
      </w:r>
      <w:r>
        <w:rPr>
          <w:b/>
          <w:bCs/>
          <w:lang w:val="en-US" w:eastAsia="zh-CN"/>
        </w:rPr>
        <w:t>本周作业</w:t>
      </w:r>
      <w:r>
        <w:rPr>
          <w:rFonts w:ascii="方正仿宋_GBK" w:hAnsi="方正仿宋_GBK"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承载力如</w:t>
      </w:r>
      <w:r>
        <w:rPr>
          <w:rFonts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图</w:t>
      </w:r>
      <w:r>
        <w:rPr>
          <w:rFonts w:ascii="方正仿宋_GBK" w:hAnsi="方正仿宋_GBK"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所示</w:t>
      </w:r>
      <w:r>
        <w:rPr>
          <w:rFonts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hanging="0" w:end="0" w:firstLine="0" w:firstLineChars="0"/>
        <w:jc w:val="center"/>
        <w:textAlignment w:val="auto"/>
        <w:rPr>
          <w:rFonts w:ascii="方正黑体_GBK" w:hAnsi="方正黑体_GBK" w:eastAsia="方正黑体_GBK" w:cs="方正黑体_GBK"/>
          <w:b w:val="false"/>
          <w:bCs w:val="false"/>
          <w:sz w:val="32"/>
          <w:szCs w:val="32"/>
          <w:lang w:val="en-US" w:eastAsia="zh-CN"/>
        </w:rPr>
      </w:pPr>
      <w:r>
        <w:rPr/>
      </w:r>
      <w:r>
        <w:drawing>
          <wp:inline xmlns:a="http://schemas.openxmlformats.org/drawingml/2006/main" xmlns:pic="http://schemas.openxmlformats.org/drawingml/2006/picture">
            <wp:extent cx="5524500" cy="2054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w1_单位承载力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5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580"/>
        <w:ind w:firstLine="640" w:end="0"/>
        <w:rPr>
          <w:rFonts w:ascii="方正仿宋_GBK" w:hAnsi="方正仿宋_GBK" w:eastAsia="方正仿宋_GBK" w:cs="方正仿宋_GBK"/>
          <w:color w:val="000000"/>
          <w:kern w:val="2"/>
          <w:sz w:val="32"/>
          <w:szCs w:val="32"/>
          <w:highlight w:val="none"/>
          <w:u w:val="none"/>
          <w:lang w:val="en-US" w:eastAsia="zh-CN" w:bidi="ar-SA"/>
        </w:rPr>
      </w:pPr>
      <w:r>
        <w:rPr>
          <w:rFonts w:cs="方正仿宋_GBK"/>
          <w:color w:val="000000"/>
          <w:kern w:val="2"/>
          <w:sz w:val="32"/>
          <w:szCs w:val="32"/>
          <w:u w:val="none"/>
          <w:lang w:val="en-US" w:eastAsia="zh-CN" w:bidi="ar-SA"/>
        </w:rPr>
        <w:t>平度公司作业承载力满载（90%以上），主要开展作业计划1、作业计划2、作业计划3、作业计划4、作业计划5、作业计划6、国网山东青岛平度供电公司2026年智能表业扩新增、国网山东青岛平度供电公司2026年智能电能表功能性更换等工作。电缆中心作业承载力重载（75%以上），主要开展/、国网山东青岛供电公司35kV午枯线T1等49台电缆分支箱肘型头维修、国网山东青岛供电公司35kV薛景甲线T3等9台电缆分支箱改造、国网山东青岛供电公司35kV城阀线K6-1至K6-2开关箱电缆及通道维修等工作。</w:t>
      </w:r>
    </w:p>
    <w:p>
      <w:pPr>
        <w:pStyle w:val="Normal"/>
        <w:spacing w:lineRule="exact" w:line="580"/>
        <w:ind w:firstLine="620" w:end="0"/>
        <w:rPr>
          <w:rFonts w:cs="方正仿宋_GBK"/>
          <w:color w:val="000000"/>
          <w:kern w:val="0"/>
          <w:sz w:val="31"/>
          <w:szCs w:val="31"/>
          <w:lang w:val="en-US" w:eastAsia="zh-CN" w:bidi="ar"/>
        </w:rPr>
      </w:pPr>
      <w:r>
        <w:rPr>
          <w:rFonts w:cs="方正仿宋_GBK"/>
          <w:color w:val="000000"/>
          <w:kern w:val="0"/>
          <w:sz w:val="31"/>
          <w:szCs w:val="31"/>
          <w:lang w:val="en-US" w:eastAsia="zh-CN" w:bidi="ar"/>
        </w:rPr>
        <w:t>2.本周管理承载力为19%，现场管理人员满足作业管控需求。</w:t>
      </w:r>
    </w:p>
    <w:p>
      <w:pPr>
        <w:spacing w:before="0" w:after="0" w:line="240" w:lineRule="auto"/>
        <w:ind w:firstLine="0" w:firstLineChars="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524500" cy="20609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w1_管理承载力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06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Y-"/>
        <w:rPr>
          <w:rFonts w:cs="方正仿宋_GBK"/>
          <w:color w:val="000000"/>
          <w:kern w:val="0"/>
          <w:sz w:val="31"/>
          <w:szCs w:val="31"/>
          <w:lang w:val="en-US" w:eastAsia="zh-CN" w:bidi="ar"/>
        </w:rPr>
      </w:pPr>
      <w:r>
        <w:rPr>
          <w:rFonts w:cs="方正仿宋_GBK"/>
          <w:color w:val="000000"/>
          <w:kern w:val="0"/>
          <w:sz w:val="31"/>
          <w:szCs w:val="31"/>
          <w:lang w:val="en-US" w:eastAsia="zh-CN" w:bidi="ar"/>
        </w:rPr>
      </w:r>
    </w:p>
    <w:p>
      <w:pPr>
        <w:pStyle w:val="Normal"/>
        <w:spacing w:lineRule="exact" w:line="580"/>
        <w:ind w:firstLine="643" w:end="0"/>
        <w:rPr>
          <w:rFonts w:ascii="方正楷体_GBK" w:hAnsi="方正楷体_GBK" w:eastAsia="方正楷体_GBK" w:cs="方正楷体_GBK"/>
          <w:b/>
          <w:bCs/>
          <w:color w:val="000000"/>
          <w:sz w:val="32"/>
          <w:szCs w:val="32"/>
          <w:highlight w:val="none"/>
          <w:u w:val="none"/>
          <w:lang w:val="en-US" w:eastAsia="zh-CN"/>
        </w:rPr>
      </w:pPr>
      <w:r>
        <w:rPr>
          <w:rFonts w:eastAsia="方正楷体_GBK" w:cs="方正楷体_GBK" w:ascii="方正楷体_GBK" w:hAnsi="方正楷体_GBK"/>
          <w:b/>
          <w:bCs/>
          <w:color w:val="000000"/>
          <w:sz w:val="32"/>
          <w:szCs w:val="32"/>
          <w:u w:val="none"/>
          <w:lang w:val="en-US" w:eastAsia="zh-CN"/>
        </w:rPr>
      </w:r>
    </w:p>
    <w:p>
      <w:pPr>
        <w:pStyle w:val="Normal"/>
        <w:spacing w:lineRule="exact" w:line="580"/>
        <w:ind w:firstLine="643" w:end="0"/>
        <w:rPr>
          <w:rFonts w:ascii="方正楷体_GBK" w:hAnsi="方正楷体_GBK" w:eastAsia="方正楷体_GBK" w:cs="方正楷体_GBK"/>
          <w:b/>
          <w:bCs/>
          <w:color w:val="000000"/>
          <w:sz w:val="32"/>
          <w:szCs w:val="32"/>
          <w:highlight w:val="none"/>
          <w:u w:val="none"/>
          <w:lang w:val="en-US" w:eastAsia="zh-CN"/>
        </w:rPr>
      </w:pPr>
      <w:r>
        <w:rPr>
          <w:rFonts w:eastAsia="方正楷体_GBK" w:cs="方正楷体_GBK" w:ascii="方正楷体_GBK" w:hAnsi="方正楷体_GBK"/>
          <w:b/>
          <w:bCs/>
          <w:color w:val="000000"/>
          <w:sz w:val="32"/>
          <w:szCs w:val="32"/>
          <w:u w:val="none"/>
          <w:lang w:val="en-US" w:eastAsia="zh-CN"/>
        </w:rPr>
      </w:r>
    </w:p>
    <w:p>
      <w:pPr>
        <w:pStyle w:val="Normal"/>
        <w:spacing w:lineRule="exact" w:line="580"/>
        <w:ind w:firstLine="643" w:end="0"/>
        <w:rPr>
          <w:rFonts w:ascii="方正楷体_GBK" w:hAnsi="方正楷体_GBK" w:eastAsia="方正楷体_GBK" w:cs="方正楷体_GBK"/>
          <w:b/>
          <w:bCs/>
          <w:color w:val="000000"/>
          <w:sz w:val="32"/>
          <w:szCs w:val="32"/>
          <w:highlight w:val="none"/>
          <w:u w:val="none"/>
          <w:lang w:val="en-US" w:eastAsia="zh-CN"/>
        </w:rPr>
      </w:pPr>
      <w:r>
        <w:rPr>
          <w:rFonts w:ascii="方正楷体_GBK" w:hAnsi="方正楷体_GBK" w:cs="方正楷体_GBK" w:eastAsia="方正楷体_GBK"/>
          <w:b/>
          <w:bCs/>
          <w:color w:val="000000"/>
          <w:sz w:val="32"/>
          <w:szCs w:val="32"/>
          <w:u w:val="none"/>
          <w:lang w:val="en-US" w:eastAsia="zh-CN"/>
        </w:rPr>
        <w:t>（二）日承载力分析</w:t>
      </w:r>
    </w:p>
    <w:p>
      <w:pPr>
        <w:pStyle w:val="Normal"/>
        <w:rPr>
          <w:lang w:val="en-US" w:eastAsia="zh-CN"/>
        </w:rPr>
      </w:pPr>
      <w:r>
        <w:rPr>
          <w:lang w:val="en-US" w:eastAsia="zh-CN"/>
        </w:rPr>
        <w:t>各单位日计划如表所示：电缆中心（9月1日、9月3日-4日）超100%；平度公司（9月1日-6日）重载；电缆中心（9月2日）重载，请进一步优化调整工作计划安排，确保现场安全。</w:t>
      </w:r>
    </w:p>
    <w:tbl>
      <w:tblPr>
        <w:tblW w:w="88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00"/>
        <w:gridCol w:w="1274"/>
        <w:gridCol w:w="1274"/>
        <w:gridCol w:w="1274"/>
        <w:gridCol w:w="1274"/>
        <w:gridCol w:w="1274"/>
        <w:gridCol w:w="1274"/>
      </w:tblGrid>
      <w:tr>
        <w:trPr>
          <w:trHeight w:val="1155" w:hRule="atLeast"/>
        </w:trPr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日期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变电运维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变电检修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输电中心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带电中心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电缆中心</w:t>
            </w:r>
          </w:p>
        </w:tc>
        <w:tc>
          <w:tcPr>
            <w:tcW w:w="1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市南中心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8月31日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9月1日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27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54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111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9月2日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34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18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47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86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14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9月3日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41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18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69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100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12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9月4日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39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21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48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126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15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9月5日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27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18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5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8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9月6日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43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18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23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1274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11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1"/>
        </w:rPr>
        <w:t>（续表）</w:t>
      </w:r>
    </w:p>
    <w:tbl>
      <w:tblPr>
        <w:tblW w:w="88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00"/>
        <w:gridCol w:w="1528"/>
        <w:gridCol w:w="1528"/>
        <w:gridCol w:w="1528"/>
        <w:gridCol w:w="1528"/>
        <w:gridCol w:w="1528"/>
      </w:tblGrid>
      <w:tr>
        <w:trPr>
          <w:trHeight w:val="1155" w:hRule="atLeast"/>
        </w:trPr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日期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市北中心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崂山中心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李沧中心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城阳中心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安装公司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8月31日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9月1日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10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25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9月2日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10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19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24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9月3日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10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19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25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9月4日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10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25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9月5日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15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19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24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10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24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9月6日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16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23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10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24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1"/>
        </w:rPr>
        <w:t>（续表）</w:t>
      </w:r>
    </w:p>
    <w:tbl>
      <w:tblPr>
        <w:tblW w:w="88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00"/>
        <w:gridCol w:w="1528"/>
        <w:gridCol w:w="1528"/>
        <w:gridCol w:w="1528"/>
        <w:gridCol w:w="1528"/>
        <w:gridCol w:w="1528"/>
      </w:tblGrid>
      <w:tr>
        <w:trPr>
          <w:trHeight w:val="1155" w:hRule="atLeast"/>
        </w:trPr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日期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胶州公司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即墨公司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黄岛公司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平度公司</w:t>
            </w:r>
          </w:p>
        </w:tc>
        <w:tc>
          <w:tcPr>
            <w:tcW w:w="1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240" w:before="0" w:after="0"/>
              <w:ind w:hanging="0" w:end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false"/>
                <w:i w:val="false"/>
                <w:iCs w:val="false"/>
                <w:color w:val="000000"/>
                <w:sz w:val="21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莱西公司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8月31日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-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9月1日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18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47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14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85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9月2日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17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56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13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83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13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9月3日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11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55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13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82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14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9月4日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11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50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14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83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22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9月5日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8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25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14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83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22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9月6日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7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20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14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85</w:t>
            </w:r>
          </w:p>
        </w:tc>
        <w:tc>
          <w:tcPr>
            <w:tcW w:type="dxa" w:w="1528"/>
            <w:vAlign w:val="center"/>
          </w:tcPr>
          <w:p>
            <w:pPr>
              <w:spacing w:before="0" w:after="0" w:line="240" w:lineRule="auto"/>
              <w:jc w:val="center"/>
              <w:ind w:firstLine="0" w:firstLineChars="0"/>
            </w:pPr>
            <w:r>
              <w:rPr>
                <w:rFonts w:ascii="宋体" w:hAnsi="宋体" w:eastAsia="宋体" w:cs="宋体"/>
                <w:b w:val="0"/>
                <w:sz w:val="24"/>
              </w:rPr>
              <w:t>42</w:t>
            </w:r>
          </w:p>
        </w:tc>
      </w:tr>
    </w:tbl>
    <w:p>
      <w:pPr>
        <w:pStyle w:val="HY-"/>
        <w:bidi w:val="0"/>
        <w:rPr>
          <w:lang w:val="en-US" w:eastAsia="zh-CN"/>
        </w:rPr>
      </w:pPr>
      <w:r>
        <w:rPr>
          <w:lang w:val="en-US" w:eastAsia="zh-CN"/>
        </w:rPr>
        <w:t>三、辅助建议与风险管控提示</w:t>
      </w:r>
    </w:p>
    <w:p>
      <w:pPr>
        <w:pStyle w:val="HY-"/>
        <w:bidi w:val="0"/>
        <w:rPr>
          <w:lang w:val="en-US" w:eastAsia="zh-CN"/>
        </w:rPr>
      </w:pPr>
      <w:r>
        <w:rPr>
          <w:lang w:val="en-US" w:eastAsia="zh-CN"/>
        </w:rPr>
        <w:t>本周日计划3062项。单位承载力居前的是平度公司100.1%、电缆中心84.8%、输电中心52.4%。峰值单位平度公司为100.1%，已达满载，请压缩该单位同期作业。管理承载力为19%。请各单位按实际承载力安排现场作业。</w:t>
      </w:r>
    </w:p>
    <w:sectPr>
      <w:footerReference w:type="default" r:id="rId3"/>
      <w:type w:val="nextPage"/>
      <w:pgSz w:orient="landscape" w:w="11906" w:h="16838"/>
      <w:pgMar w:left="1587" w:right="1474" w:gutter="0" w:header="0" w:top="2098" w:footer="992" w:bottom="198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方正仿宋_GBK">
    <w:charset w:val="86"/>
    <w:family w:val="auto"/>
    <w:pitch w:val="default"/>
  </w:font>
  <w:font w:name="方正楷体_GBK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宋体">
    <w:charset w:val="86"/>
    <w:family w:val="auto"/>
    <w:pitch w:val="default"/>
  </w:font>
  <w:font w:name="Calibri">
    <w:charset w:val="00" w:characterSet="windows-1252"/>
    <w:family w:val="swiss"/>
    <w:pitch w:val="default"/>
  </w:font>
  <w:font w:name="方正小标宋_GBK">
    <w:charset w:val="86"/>
    <w:family w:val="auto"/>
    <w:pitch w:val="default"/>
  </w:font>
  <w:font w:name="方正黑体_GBK">
    <w:charset w:val="86"/>
    <w:family w:val="auto"/>
    <w:pitch w:val="default"/>
  </w:font>
  <w:font w:name="宋体">
    <w:charset w:val="88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031240" cy="36957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1240" cy="3695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t xml:space="preserve">— </w:t>
                          </w: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t>3</w:t>
                          </w:r>
                          <w:r>
                            <w:rPr>
                              <w:sz w:val="24"/>
                              <w:szCs w:val="24"/>
                              <w:rFonts w:eastAsia="方正仿宋_GBK" w:cs="方正仿宋_GBK"/>
                            </w:rPr>
                            <w:fldChar w:fldCharType="end"/>
                          </w:r>
                          <w:r>
                            <w:rPr>
                              <w:rFonts w:eastAsia="方正仿宋_GBK" w:cs="方正仿宋_GBK"/>
                              <w:sz w:val="24"/>
                              <w:szCs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81.2pt;height:29.1pt;mso-wrap-distance-left:9.05pt;mso-wrap-distance-right:9.05pt;mso-wrap-distance-top:0pt;mso-wrap-distance-bottom:0pt;margin-top:0pt;mso-position-vertical-relative:text;margin-left:180.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t xml:space="preserve">— </w:t>
                    </w: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instrText xml:space="preserve"> PAGE </w:instrText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t>3</w:t>
                    </w:r>
                    <w:r>
                      <w:rPr>
                        <w:sz w:val="24"/>
                        <w:szCs w:val="24"/>
                        <w:rFonts w:eastAsia="方正仿宋_GBK" w:cs="方正仿宋_GBK"/>
                      </w:rPr>
                      <w:fldChar w:fldCharType="end"/>
                    </w:r>
                    <w:r>
                      <w:rPr>
                        <w:rFonts w:eastAsia="方正仿宋_GBK" w:cs="方正仿宋_GBK"/>
                        <w:sz w:val="24"/>
                        <w:szCs w:val="24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HY-"/>
    <w:qFormat/>
    <w:pPr>
      <w:widowControl w:val="false"/>
      <w:bidi w:val="0"/>
      <w:spacing w:lineRule="exact" w:line="580"/>
      <w:ind w:firstLine="880" w:start="0" w:end="0"/>
      <w:jc w:val="both"/>
    </w:pPr>
    <w:rPr>
      <w:rFonts w:ascii="方正仿宋_GBK" w:hAnsi="方正仿宋_GBK" w:eastAsia="方正仿宋_GBK" w:cs="Times New Roman"/>
      <w:color w:val="auto"/>
      <w:kern w:val="2"/>
      <w:sz w:val="32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题注 Char"/>
    <w:qFormat/>
    <w:rPr>
      <w:rFonts w:ascii="方正仿宋_GBK" w:hAnsi="方正仿宋_GBK" w:eastAsia="方正仿宋_GBK" w:cs="方正仿宋_GBK"/>
      <w:sz w:val="32"/>
    </w:rPr>
  </w:style>
  <w:style w:type="character" w:styleId="Char1">
    <w:name w:val="公司内容重点 Char1"/>
    <w:qFormat/>
    <w:rPr>
      <w:rFonts w:ascii="方正楷体_GBK" w:hAnsi="方正楷体_GBK" w:eastAsia="方正楷体_GBK" w:cs="方正楷体_GBK"/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next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Y-">
    <w:name w:val="HY-正文"/>
    <w:basedOn w:val="Normal"/>
    <w:qFormat/>
    <w:pPr>
      <w:spacing w:lineRule="exact" w:line="580"/>
      <w:ind w:firstLine="200" w:start="0" w:end="0"/>
    </w:pPr>
    <w:rPr>
      <w:rFonts w:ascii="仿宋_GB2312" w:hAnsi="仿宋_GB2312" w:cs="Times New Roman"/>
      <w:szCs w:val="32"/>
    </w:rPr>
  </w:style>
  <w:style w:type="paragraph" w:styleId="Style15">
    <w:name w:val="正文缩进"/>
    <w:basedOn w:val="Normal"/>
    <w:next w:val="Normal"/>
    <w:qFormat/>
    <w:pPr>
      <w:ind w:firstLine="420" w:start="0" w:end="0"/>
    </w:pPr>
    <w:rPr/>
  </w:style>
  <w:style w:type="paragraph" w:styleId="Style16">
    <w:name w:val="题注"/>
    <w:basedOn w:val="Normal"/>
    <w:next w:val="Normal"/>
    <w:qFormat/>
    <w:pPr/>
    <w:rPr>
      <w:rFonts w:ascii="方正仿宋_GBK" w:hAnsi="方正仿宋_GBK" w:cs="方正仿宋_GBK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next w:val="Style17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Style17">
    <w:name w:val="正文首行缩进"/>
    <w:basedOn w:val="BodyText"/>
    <w:next w:val="Normal"/>
    <w:qFormat/>
    <w:pPr>
      <w:ind w:firstLine="420" w:start="0" w:end="0"/>
    </w:pPr>
    <w:rPr/>
  </w:style>
  <w:style w:type="paragraph" w:styleId="Header">
    <w:name w:val="Header"/>
    <w:basedOn w:val="Normal"/>
    <w:next w:val="Footer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HTML">
    <w:name w:val="HTML 预设格式"/>
    <w:basedOn w:val="Normal"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  <w:lang w:val="en-US" w:eastAsia="zh-CN" w:bidi="ar"/>
    </w:rPr>
  </w:style>
  <w:style w:type="paragraph" w:styleId="Style18">
    <w:name w:val="普通(网站)"/>
    <w:basedOn w:val="Normal"/>
    <w:qFormat/>
    <w:pPr/>
    <w:rPr>
      <w:sz w:val="24"/>
    </w:rPr>
  </w:style>
  <w:style w:type="paragraph" w:styleId="Style19">
    <w:name w:val="青岛二级标题"/>
    <w:basedOn w:val="Normal"/>
    <w:qFormat/>
    <w:pPr>
      <w:spacing w:lineRule="exact" w:line="580"/>
      <w:ind w:firstLine="632" w:start="0" w:end="0"/>
      <w:outlineLvl w:val="1"/>
    </w:pPr>
    <w:rPr>
      <w:rFonts w:ascii="方正楷体_GBK" w:hAnsi="方正楷体_GBK" w:eastAsia="方正楷体_GBK" w:cs="方正楷体_GBK"/>
      <w:b/>
      <w:sz w:val="32"/>
      <w:szCs w:val="32"/>
    </w:rPr>
  </w:style>
  <w:style w:type="paragraph" w:styleId="Style20">
    <w:name w:val="公司内容重点"/>
    <w:basedOn w:val="Normal"/>
    <w:qFormat/>
    <w:pPr>
      <w:spacing w:lineRule="exact" w:line="580"/>
      <w:ind w:firstLine="880" w:start="0" w:end="0"/>
    </w:pPr>
    <w:rPr>
      <w:rFonts w:ascii="方正楷体_GBK" w:hAnsi="方正楷体_GBK" w:eastAsia="方正楷体_GBK" w:cs="方正楷体_GBK"/>
      <w:b/>
      <w:sz w:val="32"/>
    </w:rPr>
  </w:style>
  <w:style w:type="paragraph" w:styleId="Style21">
    <w:name w:val="表格"/>
    <w:basedOn w:val="Normal"/>
    <w:qFormat/>
    <w:pPr>
      <w:widowControl/>
      <w:spacing w:lineRule="auto" w:line="240"/>
      <w:ind w:hanging="0" w:start="0" w:end="0"/>
      <w:jc w:val="center"/>
      <w:textAlignment w:val="center"/>
    </w:pPr>
    <w:rPr>
      <w:rFonts w:ascii="宋体" w:hAnsi="宋体" w:eastAsia="宋体" w:cs="宋体"/>
      <w:b w:val="false"/>
      <w:bCs/>
      <w:color w:val="000000"/>
      <w:sz w:val="20"/>
      <w:szCs w:val="20"/>
    </w:rPr>
  </w:style>
  <w:style w:type="paragraph" w:styleId="1">
    <w:name w:val="正文缩进1"/>
    <w:basedOn w:val="Style15"/>
    <w:qFormat/>
    <w:pPr/>
    <w:rPr>
      <w:rFonts w:ascii="Calibri" w:hAnsi="Calibri" w:eastAsia="宋体" w:cs="Times New Roman"/>
      <w:szCs w:val="21"/>
    </w:rPr>
  </w:style>
  <w:style w:type="paragraph" w:styleId="Style22">
    <w:name w:val="图"/>
    <w:basedOn w:val="Normal"/>
    <w:qFormat/>
    <w:pPr>
      <w:spacing w:lineRule="exact" w:line="300" w:before="0" w:after="50"/>
      <w:ind w:hanging="0" w:start="0" w:end="0"/>
      <w:jc w:val="center"/>
    </w:pPr>
    <w:rPr>
      <w:rFonts w:cs="方正仿宋_GBK"/>
      <w:color w:val="000000"/>
      <w:sz w:val="24"/>
    </w:rPr>
  </w:style>
  <w:style w:type="paragraph" w:styleId="Style23">
    <w:name w:val="表"/>
    <w:basedOn w:val="Normal"/>
    <w:qFormat/>
    <w:pPr>
      <w:spacing w:lineRule="exact" w:line="300" w:before="50" w:after="0"/>
      <w:ind w:hanging="0" w:start="0" w:end="0"/>
      <w:jc w:val="center"/>
    </w:pPr>
    <w:rPr>
      <w:rFonts w:cs="方正仿宋_GBK"/>
      <w:color w:val="00000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2026-01-29T01:57:38Z</dcterms:created>
  <dc:creator>Administrator</dc:creator>
  <dc:description/>
  <dc:language>en-US</dc:language>
  <cp:lastModifiedBy>admin</cp:lastModifiedBy>
  <cp:lastPrinted>2026-05-13T13:01:00Z</cp:lastPrinted>
  <dcterms:modified xsi:type="dcterms:W3CDTF">2026-09-03T10:43:50Z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6CBDDA544A3548418EE5CAF41BAA2C9B_13</vt:lpwstr>
  </property>
  <property fmtid="{D5CDD505-2E9C-101B-9397-08002B2CF9AE}" pid="3" name="KSOProductBuildVer">
    <vt:lpwstr>2052-12.8.2.19830</vt:lpwstr>
  </property>
</Properties>
</file>