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2026年9月份第4周安全承载力分析报告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一、工作计划概况</w:t>
      </w:r>
    </w:p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cs="方正仿宋_GBK"/>
          <w:sz w:val="24"/>
          <w:szCs w:val="24"/>
          <w:lang w:eastAsia="zh-CN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-SA"/>
        </w:rPr>
        <w:t>9月份第4周9月21日至9月27日，公司各单位共安排日计划3259项，其中三级风险作业17项、四级风险作业712项、五级风险作业2530项。三级风险工作明细表如下：</w:t>
      </w:r>
    </w:p>
    <w:tbl>
      <w:tblPr>
        <w:tblW w:w="88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1449"/>
        <w:gridCol w:w="2787"/>
        <w:gridCol w:w="668"/>
        <w:gridCol w:w="966"/>
        <w:gridCol w:w="817"/>
        <w:gridCol w:w="1635"/>
      </w:tblGrid>
      <w:tr>
        <w:trPr>
          <w:trHeight w:val="838" w:hRule="atLeast"/>
          <w:tblHeader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4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27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工作负责人</w:t>
            </w:r>
          </w:p>
        </w:tc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班组成员人数</w:t>
            </w:r>
          </w:p>
        </w:tc>
        <w:tc>
          <w:tcPr>
            <w:tcW w:w="1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overflowPunct w:val="fals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0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1449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278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6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96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817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6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pStyle w:val="Style15"/>
        <w:keepNext w:val="false"/>
        <w:keepLines w:val="false"/>
        <w:pageBreakBefore w:val="false"/>
        <w:widowControl w:val="false"/>
        <w:overflowPunct w:val="false"/>
        <w:bidi w:val="0"/>
        <w:snapToGrid w:val="fals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32131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pStyle w:val="Normal"/>
        <w:keepNext w:val="false"/>
        <w:keepLines w:val="false"/>
        <w:pageBreakBefore w:val="false"/>
        <w:widowControl w:val="false"/>
        <w:overflowPunct w:val="false"/>
        <w:bidi w:val="0"/>
        <w:snapToGrid w:val="true"/>
        <w:spacing w:lineRule="exact" w:line="580"/>
        <w:ind w:firstLine="640" w:end="0"/>
        <w:textAlignment w:val="auto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u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二、各单位承载力分析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b/>
          <w:bCs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（一）周承载力分析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/>
      </w:pPr>
      <w:r>
        <w:rPr>
          <w:b/>
          <w:bCs/>
          <w:lang w:val="en-US" w:eastAsia="zh-CN"/>
        </w:rPr>
        <w:t>1.</w:t>
      </w:r>
      <w:r>
        <w:rPr>
          <w:b/>
          <w:bCs/>
          <w:lang w:val="en-US" w:eastAsia="zh-CN"/>
        </w:rPr>
        <w:t>本周作业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承载力如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图</w:t>
      </w:r>
      <w:r>
        <w:rPr>
          <w:rFonts w:ascii="方正仿宋_GBK" w:hAnsi="方正仿宋_GBK"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所示</w:t>
      </w: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overflowPunct w:val="false"/>
        <w:bidi w:val="0"/>
        <w:snapToGrid w:val="true"/>
        <w:textAlignment w:val="auto"/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</w:pPr>
      <w:r>
        <w:rPr/>
        <w:drawing>
          <wp:inline distT="0" distB="0" distL="0" distR="0">
            <wp:extent cx="5524500" cy="21717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pStyle w:val="Normal"/>
        <w:spacing w:lineRule="exact" w:line="580"/>
        <w:ind w:firstLine="640" w:end="0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电缆中心、平度公司作业承载力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</w:t>
      </w:r>
    </w:p>
    <w:p>
      <w:pPr>
        <w:pStyle w:val="Normal"/>
        <w:spacing w:lineRule="exact" w:line="580"/>
        <w:ind w:firstLine="620" w:end="0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  <w:t>2.本周管理承载力为24%，其中市北中心达81%，现场管理人员满足作业管控需求。</w:t>
      </w:r>
    </w:p>
    <w:p>
      <w:pPr>
        <w:keepNext/>
        <w:keepLines/>
        <w:pageBreakBefore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pStyle w:val="HY-"/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pPr>
      <w:r>
        <w:rPr>
          <w:rFonts w:cs="方正仿宋_GBK"/>
          <w:color w:val="000000"/>
          <w:kern w:val="0"/>
          <w:sz w:val="31"/>
          <w:szCs w:val="31"/>
          <w:lang w:val="en-US" w:eastAsia="zh-CN" w:bidi="ar-SA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kern w:val="0"/>
          <w:sz w:val="32"/>
          <w:szCs w:val="32"/>
          <w:u w:val="none"/>
          <w:lang w:val="en-US" w:eastAsia="zh-CN" w:bidi="ar-SA"/>
        </w:rPr>
      </w:pPr>
      <w:r>
        <w:rPr>
          <w:rFonts w:eastAsia="方正楷体_GBK" w:cs="方正楷体_GBK" w:ascii="方正楷体_GBK" w:hAnsi="方正楷体_GBK"/>
          <w:b/>
          <w:bCs/>
          <w:color w:val="000000"/>
          <w:kern w:val="0"/>
          <w:sz w:val="32"/>
          <w:szCs w:val="32"/>
          <w:u w:val="none"/>
          <w:lang w:val="en-US" w:eastAsia="zh-CN" w:bidi="ar-SA"/>
        </w:rPr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u w:val="none"/>
          <w:lang w:val="en-US" w:eastAsia="zh-CN"/>
        </w:rPr>
      </w:pPr>
      <w:r>
        <w:rPr>
          <w:rFonts w:eastAsia="方正楷体_GBK" w:cs="方正楷体_GBK" w:ascii="方正楷体_GBK" w:hAnsi="方正楷体_GBK"/>
          <w:b/>
          <w:bCs/>
          <w:color w:val="000000"/>
          <w:sz w:val="32"/>
          <w:szCs w:val="32"/>
          <w:u w:val="none"/>
          <w:lang w:val="en-US" w:eastAsia="zh-CN"/>
        </w:rPr>
      </w:r>
    </w:p>
    <w:p>
      <w:pPr>
        <w:pStyle w:val="Normal"/>
        <w:spacing w:lineRule="exact" w:line="580"/>
        <w:ind w:firstLine="643" w:end="0"/>
        <w:rPr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（二）日承载力分析</w:t>
      </w:r>
    </w:p>
    <w:p>
      <w:pPr>
        <w:pStyle w:val="Normal"/>
        <w:rPr>
          <w:rFonts w:ascii="宋体" w:hAnsi="宋体" w:eastAsia="宋体" w:cs="宋体"/>
          <w:b/>
          <w:bCs/>
          <w:i w:val="false"/>
          <w:i w:val="false"/>
          <w:iCs w:val="false"/>
          <w:color w:val="000000"/>
          <w:kern w:val="0"/>
          <w:sz w:val="21"/>
          <w:szCs w:val="24"/>
          <w:u w:val="none"/>
          <w:lang w:val="en-US" w:eastAsia="zh-CN" w:bidi="ar-SA"/>
        </w:rPr>
      </w:pPr>
      <w:r>
        <w:rPr>
          <w:lang w:val="en-US" w:eastAsia="zh-CN"/>
        </w:rPr>
        <w:t>各单位日计划如表所示：电缆中心（9月21日-25日）超100%；平度公司（9月21日、9月23日-27日）重载，请进一步优化调整工作计划安排，确保现场安全。</w:t>
      </w:r>
    </w:p>
    <w:tbl>
      <w:tblPr>
        <w:tblW w:w="884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rPr>
          <w:trHeight w:val="1155" w:hRule="atLeast"/>
        </w:trPr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false"/>
                <w:i w:val="false"/>
                <w:iCs w:val="false"/>
                <w:color w:val="000000"/>
                <w:kern w:val="0"/>
                <w:sz w:val="21"/>
                <w:szCs w:val="24"/>
                <w:u w:val="none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sz w:val="24"/>
              </w:rPr>
              <w:t>日期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运维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变电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检修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输电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带电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电缆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市南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市北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崂山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李沧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城阳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中心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安装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胶州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即墨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黄岛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平度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  <w:tc>
          <w:tcPr>
            <w:tcW w:w="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overflowPunct w:val="false"/>
              <w:bidi w:val="0"/>
              <w:snapToGrid w:val="false"/>
              <w:spacing w:lineRule="auto" w:line="240" w:before="0" w:after="0"/>
              <w:ind w:hanging="0" w:end="0" w:firstLine="0" w:firstLineChars="0"/>
              <w:jc w:val="center"/>
              <w:textAlignment w:val="center"/>
              <w:rPr/>
            </w:pPr>
            <w:r>
              <w:rPr>
                <w:rFonts w:ascii="宋体" w:hAnsi="宋体" w:eastAsia="宋体" w:cs="宋体"/>
                <w:b/>
                <w:sz w:val="24"/>
              </w:rPr>
              <w:t>莱西</w:t>
              <w:br/>
            </w:r>
            <w:r>
              <w:rPr>
                <w:rFonts w:ascii="宋体" w:hAnsi="宋体" w:eastAsia="宋体" w:cs="宋体"/>
                <w:b/>
                <w:sz w:val="24"/>
              </w:rPr>
              <w:t>公司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35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47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63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25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51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69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21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79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  <w:tr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27</w:t>
              <w:br/>
            </w:r>
            <w:r>
              <w:rPr>
                <w:rFonts w:ascii="宋体" w:hAnsi="宋体" w:eastAsia="宋体" w:cs="宋体"/>
                <w:b w:val="0"/>
                <w:sz w:val="24"/>
              </w:rPr>
              <w:t>日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15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-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10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17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4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28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16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82</w:t>
            </w:r>
          </w:p>
        </w:tc>
        <w:tc>
          <w:tcPr>
            <w:tcW w:type="dxa" w:w="5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4"/>
              </w:rPr>
              <w:t>12</w:t>
            </w:r>
          </w:p>
        </w:tc>
      </w:tr>
    </w:tbl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/>
      </w:pPr>
      <w:r>
        <w:rPr>
          <w:lang w:val="en-US" w:eastAsia="zh-CN"/>
        </w:rPr>
        <w:t>本周日计划3259项，三级风险17项，四级风险712项，五级风险2530项。单位承载力居前的是电缆中心149.9%、平度公司136.6%、变电运维77.7%。峰值单位电缆中心为149.9%，已达满载，请压缩该单位同期作业。管理承载力为24%。请各单位按实际承载力安排现场作业。</w:t>
      </w:r>
    </w:p>
    <w:sectPr>
      <w:footerReference w:type="default" r:id="rId3"/>
      <w:type w:val="nextPage"/>
      <w:pgSz w:orient="landscape"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01"/>
    <w:family w:val="roman"/>
    <w:pitch w:val="variable"/>
  </w:font>
  <w:font w:name="方正楷体_GBK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仿宋_GB2312">
    <w:charset w:val="01"/>
    <w:family w:val="roman"/>
    <w:pitch w:val="variable"/>
  </w:font>
  <w:font w:name="宋体">
    <w:charset w:val="01"/>
    <w:family w:val="roman"/>
    <w:pitch w:val="variable"/>
  </w:font>
  <w:font w:name="Calibri">
    <w:charset w:val="01"/>
    <w:family w:val="roman"/>
    <w:pitch w:val="variable"/>
  </w:font>
  <w:font w:name="方正小标宋_GBK">
    <w:charset w:val="01"/>
    <w:family w:val="roman"/>
    <w:pitch w:val="variable"/>
  </w:font>
  <w:font w:name="方正黑体_GB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  <mc:AlternateContent>
        <mc:Choice Requires="wps">
          <w:drawing>
            <wp:anchor behindDoc="1" distT="0" distB="0" distL="114935" distR="0" simplePos="0" locked="0" layoutInCell="0" allowOverlap="1" relativeHeight="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8300"/>
              <wp:effectExtent l="2292350" t="635" r="0" b="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400" cy="368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l21600,21600l21600,xe">
              <v:stroke joinstyle="miter"/>
              <v:path gradientshapeok="t" o:connecttype="rect"/>
            </v:shapetype>
            <v:shape id="shape_0" fillcolor="white" stroked="f" o:allowincell="f" style="position:absolute;margin-left:180.5pt;margin-top:0.05pt;width:81.15pt;height:28.95pt;mso-wrap-style:none;v-text-anchor:middle;mso-position-horizontal:center;mso-position-horizontal-relative:margin" type="_x0000_t202">
              <v:textbox>
                <w:txbxContent>
                  <w:p>
                    <w:pPr>
                      <w:overflowPunct w:val="false"/>
                      <w:spacing w:lineRule="auto" w:line="240"/>
                      <w:jc w:val="start"/>
                      <w:rPr/>
                    </w:pPr>
                    <w:r>
                      <w:rPr>
                        <w:sz w:val="24"/>
                        <w:rFonts w:ascii="Liberation Serif" w:hAnsi="Liberation Serif" w:eastAsia="WenQuanYi Micro Hei" w:cs="Noto Sans Devanagari"/>
                        <w:lang w:bidi="hi-IN"/>
                      </w:rPr>
                    </w:r>
                  </w:p>
                </w:txbxContent>
              </v:textbox>
              <v:fill o:detectmouseclick="t" type="solid" color2="black" opacity="0"/>
              <v:stroke color="#3465a4" joinstyle="round" endcap="flat"/>
              <w10:wrap type="none"/>
            </v:shape>
          </w:pict>
        </mc:Fallback>
      </mc:AlternateContent>
    </w:r>
    <w:r>
      <mc:AlternateContent>
        <mc:Choice Requires="wps">
          <w:drawing>
            <wp:anchor behindDoc="1" distT="72390" distB="72390" distL="0" distR="0" simplePos="0" locked="0" layoutInCell="0" allowOverlap="1" relativeHeight="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875" cy="3689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875" cy="3689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3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>—</w:t>
                          </w:r>
                        </w:p>
                      </w:txbxContent>
                    </wps:txbx>
                    <wps:bodyPr anchor="t" lIns="1270" tIns="1270" rIns="1270" bIns="127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5pt;height:29.05pt;mso-wrap-distance-left:0pt;mso-wrap-distance-right:0pt;mso-wrap-distance-top:5.7pt;mso-wrap-distance-bottom:5.7pt;margin-top:0.05pt;mso-position-vertical-relative:text;margin-left:180.5pt;mso-position-horizontal:center;mso-position-horizontal-relative:margin">
              <v:fill opacity="0f"/>
              <v:textbox inset="0.00138888888888889in,0.00138888888888889in,0.00138888888888889in,0.00138888888888889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3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>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suppressAutoHyphens w:val="true"/>
      <w:bidi w:val="0"/>
      <w:spacing w:lineRule="exact" w:line="580" w:before="0" w:after="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WenQuanYi Micro Hei" w:cs="Noto Sans Devanagari"/>
      <w:sz w:val="28"/>
      <w:szCs w:val="28"/>
    </w:rPr>
  </w:style>
  <w:style w:type="paragraph" w:styleId="BodyText">
    <w:name w:val="Body Text"/>
    <w:basedOn w:val="Normal"/>
    <w:next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" w:hAnsi="仿宋_GB2312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next w:val="Style17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Style17">
    <w:name w:val="正文首行缩进"/>
    <w:basedOn w:val="BodyText"/>
    <w:next w:val="Normal"/>
    <w:qFormat/>
    <w:pPr>
      <w:ind w:firstLine="420" w:start="0" w:end="0"/>
    </w:pPr>
    <w:rPr/>
  </w:style>
  <w:style w:type="paragraph" w:styleId="Header">
    <w:name w:val="Header"/>
    <w:basedOn w:val="Normal"/>
    <w:next w:val="Footer"/>
    <w:pPr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paragraph" w:styleId="Style18">
    <w:name w:val="普通(网站)"/>
    <w:basedOn w:val="Normal"/>
    <w:qFormat/>
    <w:pPr/>
    <w:rPr>
      <w:sz w:val="24"/>
    </w:rPr>
  </w:style>
  <w:style w:type="paragraph" w:styleId="Style19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20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1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2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3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带
电
作
业</c:v>
                </c:pt>
                <c:pt idx="5">
                  <c:v>技
改</c:v>
                </c:pt>
                <c:pt idx="6">
                  <c:v>倒
闸</c:v>
                </c:pt>
                <c:pt idx="7">
                  <c:v>试
验
检
测</c:v>
                </c:pt>
                <c:pt idx="8">
                  <c:v>其
他</c:v>
                </c:pt>
                <c:pt idx="9">
                  <c:v>无
人
机
巡
检</c:v>
                </c:pt>
                <c:pt idx="10">
                  <c:v>输
变
电
工
程</c:v>
                </c:pt>
                <c:pt idx="11">
                  <c:v>业
扩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1171</c:v>
                </c:pt>
                <c:pt idx="1">
                  <c:v>895</c:v>
                </c:pt>
                <c:pt idx="2">
                  <c:v>323</c:v>
                </c:pt>
                <c:pt idx="3">
                  <c:v>193</c:v>
                </c:pt>
                <c:pt idx="4">
                  <c:v>98</c:v>
                </c:pt>
                <c:pt idx="5">
                  <c:v>77</c:v>
                </c:pt>
                <c:pt idx="6">
                  <c:v>75</c:v>
                </c:pt>
                <c:pt idx="7">
                  <c:v>62</c:v>
                </c:pt>
                <c:pt idx="8">
                  <c:v>57</c:v>
                </c:pt>
                <c:pt idx="9">
                  <c:v>45</c:v>
                </c:pt>
                <c:pt idx="10">
                  <c:v>24</c:v>
                </c:pt>
                <c:pt idx="11">
                  <c:v>19</c:v>
                </c:pt>
                <c:pt idx="12">
                  <c:v>18</c:v>
                </c:pt>
                <c:pt idx="13">
                  <c:v>11</c:v>
                </c:pt>
                <c:pt idx="14">
                  <c:v>11</c:v>
                </c:pt>
                <c:pt idx="15">
                  <c:v>9</c:v>
                </c:pt>
                <c:pt idx="16">
                  <c:v>5</c:v>
                </c:pt>
                <c:pt idx="17">
                  <c:v>3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admin</cp:lastModifiedBy>
  <cp:lastPrinted>2026-05-13T13:01:00Z</cp:lastPrinted>
  <dcterms:modified xsi:type="dcterms:W3CDTF">2026-09-03T10:43:50Z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6CBDDA544A3548418EE5CAF41BAA2C9B_13</vt:lpwstr>
  </property>
  <property fmtid="{D5CDD505-2E9C-101B-9397-08002B2CF9AE}" pid="3" name="KSOProductBuildVer">
    <vt:lpwstr>2052-12.8.2.19830</vt:lpwstr>
  </property>
</Properties>
</file>