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F480BA">
      <w:pPr>
        <w:jc w:val="center"/>
      </w:pPr>
    </w:p>
    <w:p w14:paraId="57FB452C">
      <w:pPr>
        <w:jc w:val="center"/>
      </w:pPr>
      <w:r>
        <w:rPr>
          <w:rFonts w:hint="eastAsia"/>
        </w:rPr>
        <w:drawing>
          <wp:inline distT="0" distB="0" distL="0" distR="0">
            <wp:extent cx="3914775" cy="923925"/>
            <wp:effectExtent l="0" t="0" r="0" b="0"/>
            <wp:docPr id="58" name="图片 58" descr="sy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sylogo3"/>
                    <pic:cNvPicPr>
                      <a:picLocks noChangeAspect="1" noChangeArrowheads="1"/>
                    </pic:cNvPicPr>
                  </pic:nvPicPr>
                  <pic:blipFill>
                    <a:blip r:embed="rId5" cstate="print">
                      <a:extLst>
                        <a:ext uri="{28A0092B-C50C-407E-A947-70E740481C1C}">
                          <a14:useLocalDpi xmlns:a14="http://schemas.microsoft.com/office/drawing/2010/main" val="0"/>
                        </a:ext>
                      </a:extLst>
                    </a:blip>
                    <a:srcRect r="16054"/>
                    <a:stretch>
                      <a:fillRect/>
                    </a:stretch>
                  </pic:blipFill>
                  <pic:spPr>
                    <a:xfrm>
                      <a:off x="0" y="0"/>
                      <a:ext cx="3914775" cy="923925"/>
                    </a:xfrm>
                    <a:prstGeom prst="rect">
                      <a:avLst/>
                    </a:prstGeom>
                    <a:noFill/>
                    <a:ln>
                      <a:noFill/>
                    </a:ln>
                  </pic:spPr>
                </pic:pic>
              </a:graphicData>
            </a:graphic>
          </wp:inline>
        </w:drawing>
      </w:r>
    </w:p>
    <w:p w14:paraId="5D998E83">
      <w:pPr>
        <w:jc w:val="center"/>
        <w:outlineLvl w:val="9"/>
        <w:rPr>
          <w:rFonts w:ascii="黑体" w:eastAsia="黑体"/>
          <w:b/>
          <w:sz w:val="48"/>
          <w:szCs w:val="48"/>
        </w:rPr>
      </w:pPr>
      <w:bookmarkStart w:id="0" w:name="_Toc3828"/>
      <w:r>
        <w:rPr>
          <w:rFonts w:hint="eastAsia" w:ascii="黑体" w:eastAsia="黑体"/>
          <w:b/>
          <w:sz w:val="48"/>
          <w:szCs w:val="48"/>
        </w:rPr>
        <w:t>本科生毕业</w:t>
      </w:r>
      <w:r>
        <w:rPr>
          <w:rFonts w:ascii="黑体" w:eastAsia="黑体"/>
          <w:b/>
          <w:sz w:val="48"/>
          <w:szCs w:val="48"/>
        </w:rPr>
        <w:t>设计（</w:t>
      </w:r>
      <w:r>
        <w:rPr>
          <w:rFonts w:hint="eastAsia" w:ascii="黑体" w:eastAsia="黑体"/>
          <w:b/>
          <w:sz w:val="48"/>
          <w:szCs w:val="48"/>
        </w:rPr>
        <w:t>论文</w:t>
      </w:r>
      <w:r>
        <w:rPr>
          <w:rFonts w:ascii="黑体" w:eastAsia="黑体"/>
          <w:b/>
          <w:sz w:val="48"/>
          <w:szCs w:val="48"/>
        </w:rPr>
        <w:t>）</w:t>
      </w:r>
      <w:r>
        <w:rPr>
          <w:rFonts w:hint="eastAsia" w:ascii="黑体" w:eastAsia="黑体"/>
          <w:b/>
          <w:sz w:val="48"/>
          <w:szCs w:val="48"/>
        </w:rPr>
        <w:t>开题报告</w:t>
      </w:r>
      <w:bookmarkEnd w:id="0"/>
    </w:p>
    <w:p w14:paraId="66FD1626">
      <w:pPr>
        <w:rPr>
          <w:rFonts w:ascii="黑体" w:eastAsia="黑体"/>
          <w:szCs w:val="21"/>
        </w:rPr>
      </w:pPr>
    </w:p>
    <w:p w14:paraId="1647927D">
      <w:pPr>
        <w:rPr>
          <w:rFonts w:ascii="黑体" w:eastAsia="黑体"/>
          <w:szCs w:val="21"/>
        </w:rPr>
      </w:pPr>
    </w:p>
    <w:p w14:paraId="52CB815A">
      <w:pPr>
        <w:rPr>
          <w:rFonts w:ascii="黑体" w:eastAsia="黑体"/>
          <w:szCs w:val="21"/>
        </w:rPr>
      </w:pPr>
    </w:p>
    <w:tbl>
      <w:tblPr>
        <w:tblStyle w:val="12"/>
        <w:tblW w:w="0" w:type="auto"/>
        <w:jc w:val="center"/>
        <w:tblLayout w:type="fixed"/>
        <w:tblCellMar>
          <w:top w:w="28" w:type="dxa"/>
          <w:left w:w="113" w:type="dxa"/>
          <w:bottom w:w="0" w:type="dxa"/>
          <w:right w:w="113" w:type="dxa"/>
        </w:tblCellMar>
      </w:tblPr>
      <w:tblGrid>
        <w:gridCol w:w="1522"/>
        <w:gridCol w:w="4987"/>
      </w:tblGrid>
      <w:tr w14:paraId="266056F3">
        <w:tblPrEx>
          <w:tblCellMar>
            <w:top w:w="28" w:type="dxa"/>
            <w:left w:w="113" w:type="dxa"/>
            <w:bottom w:w="0" w:type="dxa"/>
            <w:right w:w="113" w:type="dxa"/>
          </w:tblCellMar>
        </w:tblPrEx>
        <w:trPr>
          <w:trHeight w:val="737" w:hRule="atLeast"/>
          <w:jc w:val="center"/>
        </w:trPr>
        <w:tc>
          <w:tcPr>
            <w:tcW w:w="1522" w:type="dxa"/>
            <w:vAlign w:val="bottom"/>
          </w:tcPr>
          <w:p w14:paraId="642E3F85">
            <w:pPr>
              <w:spacing w:line="360" w:lineRule="auto"/>
              <w:jc w:val="distribute"/>
              <w:rPr>
                <w:rFonts w:ascii="仿宋_GB2312" w:eastAsia="仿宋_GB2312"/>
                <w:b/>
                <w:sz w:val="32"/>
                <w:szCs w:val="32"/>
              </w:rPr>
            </w:pPr>
            <w:r>
              <w:rPr>
                <w:rFonts w:hint="eastAsia" w:ascii="仿宋_GB2312" w:eastAsia="仿宋_GB2312"/>
                <w:b/>
                <w:sz w:val="32"/>
                <w:szCs w:val="32"/>
              </w:rPr>
              <w:t>课题名称</w:t>
            </w:r>
          </w:p>
        </w:tc>
        <w:tc>
          <w:tcPr>
            <w:tcW w:w="4987" w:type="dxa"/>
            <w:tcBorders>
              <w:bottom w:val="single" w:color="auto" w:sz="12" w:space="0"/>
            </w:tcBorders>
            <w:vAlign w:val="bottom"/>
          </w:tcPr>
          <w:p w14:paraId="5D47CBBF">
            <w:pPr>
              <w:spacing w:line="360" w:lineRule="auto"/>
              <w:rPr>
                <w:rFonts w:ascii="仿宋_GB2312" w:eastAsia="仿宋_GB2312"/>
                <w:b/>
                <w:sz w:val="32"/>
                <w:szCs w:val="32"/>
              </w:rPr>
            </w:pPr>
            <w:r>
              <w:rPr>
                <w:rFonts w:hint="eastAsia" w:ascii="仿宋_GB2312" w:eastAsia="仿宋_GB2312"/>
                <w:b/>
                <w:sz w:val="32"/>
                <w:szCs w:val="32"/>
                <w:lang w:val="en-US" w:eastAsia="zh-CN"/>
              </w:rPr>
              <w:t>基于高质量期刊文献挖掘的全球石油领域研究机构学术影响力评价与主题演化分析</w:t>
            </w:r>
          </w:p>
        </w:tc>
      </w:tr>
      <w:tr w14:paraId="1A0217DF">
        <w:tblPrEx>
          <w:tblCellMar>
            <w:top w:w="28" w:type="dxa"/>
            <w:left w:w="113" w:type="dxa"/>
            <w:bottom w:w="0" w:type="dxa"/>
            <w:right w:w="113" w:type="dxa"/>
          </w:tblCellMar>
        </w:tblPrEx>
        <w:trPr>
          <w:trHeight w:val="737" w:hRule="atLeast"/>
          <w:jc w:val="center"/>
        </w:trPr>
        <w:tc>
          <w:tcPr>
            <w:tcW w:w="1522" w:type="dxa"/>
            <w:vAlign w:val="center"/>
          </w:tcPr>
          <w:p w14:paraId="58F465B8">
            <w:pPr>
              <w:spacing w:line="360" w:lineRule="auto"/>
              <w:jc w:val="distribute"/>
              <w:rPr>
                <w:rFonts w:ascii="仿宋_GB2312" w:eastAsia="仿宋_GB2312"/>
                <w:b/>
                <w:sz w:val="32"/>
                <w:szCs w:val="32"/>
              </w:rPr>
            </w:pPr>
            <w:r>
              <w:rPr>
                <w:rFonts w:hint="eastAsia" w:ascii="仿宋_GB2312" w:eastAsia="仿宋_GB2312"/>
                <w:b/>
                <w:sz w:val="32"/>
                <w:szCs w:val="32"/>
              </w:rPr>
              <w:t>学号</w:t>
            </w:r>
          </w:p>
        </w:tc>
        <w:tc>
          <w:tcPr>
            <w:tcW w:w="4987" w:type="dxa"/>
            <w:tcBorders>
              <w:bottom w:val="single" w:color="auto" w:sz="12" w:space="0"/>
            </w:tcBorders>
            <w:vAlign w:val="center"/>
          </w:tcPr>
          <w:p w14:paraId="32EF1B96">
            <w:pPr>
              <w:spacing w:line="360" w:lineRule="auto"/>
              <w:rPr>
                <w:rFonts w:hint="default" w:ascii="仿宋_GB2312" w:eastAsia="仿宋_GB2312"/>
                <w:b/>
                <w:sz w:val="32"/>
                <w:szCs w:val="32"/>
                <w:lang w:val="en-US" w:eastAsia="zh-CN"/>
              </w:rPr>
            </w:pPr>
            <w:r>
              <w:rPr>
                <w:rFonts w:hint="eastAsia" w:ascii="仿宋_GB2312" w:eastAsia="仿宋_GB2312"/>
                <w:b/>
                <w:sz w:val="32"/>
                <w:szCs w:val="32"/>
                <w:lang w:val="en-US" w:eastAsia="zh-CN"/>
              </w:rPr>
              <w:t>2022012085</w:t>
            </w:r>
          </w:p>
        </w:tc>
      </w:tr>
      <w:tr w14:paraId="2645653D">
        <w:tblPrEx>
          <w:tblCellMar>
            <w:top w:w="28" w:type="dxa"/>
            <w:left w:w="113" w:type="dxa"/>
            <w:bottom w:w="0" w:type="dxa"/>
            <w:right w:w="113" w:type="dxa"/>
          </w:tblCellMar>
        </w:tblPrEx>
        <w:trPr>
          <w:trHeight w:val="737" w:hRule="atLeast"/>
          <w:jc w:val="center"/>
        </w:trPr>
        <w:tc>
          <w:tcPr>
            <w:tcW w:w="1522" w:type="dxa"/>
            <w:vAlign w:val="center"/>
          </w:tcPr>
          <w:p w14:paraId="5D5A7956">
            <w:pPr>
              <w:spacing w:line="360" w:lineRule="auto"/>
              <w:jc w:val="distribute"/>
              <w:rPr>
                <w:rFonts w:ascii="仿宋_GB2312" w:eastAsia="仿宋_GB2312"/>
                <w:b/>
                <w:sz w:val="32"/>
                <w:szCs w:val="32"/>
              </w:rPr>
            </w:pPr>
            <w:r>
              <w:rPr>
                <w:rFonts w:hint="eastAsia" w:ascii="仿宋_GB2312" w:eastAsia="仿宋_GB2312"/>
                <w:b/>
                <w:sz w:val="32"/>
                <w:szCs w:val="32"/>
              </w:rPr>
              <w:t>姓名</w:t>
            </w:r>
          </w:p>
        </w:tc>
        <w:tc>
          <w:tcPr>
            <w:tcW w:w="4987" w:type="dxa"/>
            <w:tcBorders>
              <w:top w:val="single" w:color="auto" w:sz="12" w:space="0"/>
              <w:bottom w:val="single" w:color="auto" w:sz="12" w:space="0"/>
            </w:tcBorders>
            <w:vAlign w:val="center"/>
          </w:tcPr>
          <w:p w14:paraId="72EDC256">
            <w:pPr>
              <w:spacing w:line="360" w:lineRule="auto"/>
              <w:rPr>
                <w:rFonts w:hint="default" w:ascii="仿宋_GB2312" w:eastAsia="仿宋_GB2312"/>
                <w:b/>
                <w:sz w:val="32"/>
                <w:szCs w:val="32"/>
                <w:lang w:val="en-US" w:eastAsia="zh-CN"/>
              </w:rPr>
            </w:pPr>
            <w:r>
              <w:rPr>
                <w:rFonts w:hint="eastAsia" w:ascii="仿宋_GB2312" w:eastAsia="仿宋_GB2312"/>
                <w:b/>
                <w:sz w:val="32"/>
                <w:szCs w:val="32"/>
                <w:lang w:val="en-US" w:eastAsia="zh-CN"/>
              </w:rPr>
              <w:t>余冰雁</w:t>
            </w:r>
          </w:p>
        </w:tc>
      </w:tr>
      <w:tr w14:paraId="68C61DCE">
        <w:tblPrEx>
          <w:tblCellMar>
            <w:top w:w="28" w:type="dxa"/>
            <w:left w:w="113" w:type="dxa"/>
            <w:bottom w:w="0" w:type="dxa"/>
            <w:right w:w="113" w:type="dxa"/>
          </w:tblCellMar>
        </w:tblPrEx>
        <w:trPr>
          <w:trHeight w:val="737" w:hRule="atLeast"/>
          <w:jc w:val="center"/>
        </w:trPr>
        <w:tc>
          <w:tcPr>
            <w:tcW w:w="1522" w:type="dxa"/>
            <w:vAlign w:val="center"/>
          </w:tcPr>
          <w:p w14:paraId="4F49A2B6">
            <w:pPr>
              <w:spacing w:line="360" w:lineRule="auto"/>
              <w:jc w:val="distribute"/>
              <w:rPr>
                <w:rFonts w:ascii="仿宋_GB2312" w:eastAsia="仿宋_GB2312"/>
                <w:b/>
                <w:sz w:val="32"/>
                <w:szCs w:val="32"/>
              </w:rPr>
            </w:pPr>
            <w:r>
              <w:rPr>
                <w:rFonts w:hint="eastAsia" w:ascii="仿宋_GB2312" w:eastAsia="仿宋_GB2312"/>
                <w:b/>
                <w:sz w:val="32"/>
                <w:szCs w:val="32"/>
              </w:rPr>
              <w:t>学院</w:t>
            </w:r>
          </w:p>
        </w:tc>
        <w:tc>
          <w:tcPr>
            <w:tcW w:w="4987" w:type="dxa"/>
            <w:tcBorders>
              <w:top w:val="single" w:color="auto" w:sz="12" w:space="0"/>
              <w:bottom w:val="single" w:color="auto" w:sz="12" w:space="0"/>
            </w:tcBorders>
            <w:vAlign w:val="center"/>
          </w:tcPr>
          <w:p w14:paraId="56F3F9E1">
            <w:pPr>
              <w:spacing w:line="360" w:lineRule="auto"/>
              <w:rPr>
                <w:rFonts w:hint="eastAsia" w:ascii="仿宋_GB2312" w:eastAsia="仿宋_GB2312"/>
                <w:b/>
                <w:sz w:val="32"/>
                <w:szCs w:val="32"/>
                <w:lang w:val="en-US" w:eastAsia="zh-CN"/>
              </w:rPr>
            </w:pPr>
            <w:r>
              <w:rPr>
                <w:rFonts w:hint="eastAsia" w:ascii="仿宋_GB2312" w:eastAsia="仿宋_GB2312"/>
                <w:b/>
                <w:sz w:val="32"/>
                <w:szCs w:val="32"/>
                <w:lang w:val="en-US" w:eastAsia="zh-CN"/>
              </w:rPr>
              <w:t>经济管理学院</w:t>
            </w:r>
          </w:p>
        </w:tc>
      </w:tr>
      <w:tr w14:paraId="71941B58">
        <w:tblPrEx>
          <w:tblCellMar>
            <w:top w:w="28" w:type="dxa"/>
            <w:left w:w="113" w:type="dxa"/>
            <w:bottom w:w="0" w:type="dxa"/>
            <w:right w:w="113" w:type="dxa"/>
          </w:tblCellMar>
        </w:tblPrEx>
        <w:trPr>
          <w:trHeight w:val="737" w:hRule="atLeast"/>
          <w:jc w:val="center"/>
        </w:trPr>
        <w:tc>
          <w:tcPr>
            <w:tcW w:w="1522" w:type="dxa"/>
            <w:vAlign w:val="center"/>
          </w:tcPr>
          <w:p w14:paraId="13724559">
            <w:pPr>
              <w:spacing w:line="360" w:lineRule="auto"/>
              <w:jc w:val="distribute"/>
              <w:rPr>
                <w:rFonts w:ascii="仿宋_GB2312" w:eastAsia="仿宋_GB2312"/>
                <w:b/>
                <w:sz w:val="32"/>
                <w:szCs w:val="32"/>
              </w:rPr>
            </w:pPr>
            <w:r>
              <w:rPr>
                <w:rFonts w:hint="eastAsia" w:ascii="仿宋_GB2312" w:eastAsia="仿宋_GB2312"/>
                <w:b/>
                <w:sz w:val="32"/>
                <w:szCs w:val="32"/>
              </w:rPr>
              <w:t>学科专业</w:t>
            </w:r>
          </w:p>
        </w:tc>
        <w:tc>
          <w:tcPr>
            <w:tcW w:w="4987" w:type="dxa"/>
            <w:tcBorders>
              <w:top w:val="single" w:color="auto" w:sz="12" w:space="0"/>
              <w:bottom w:val="single" w:color="auto" w:sz="12" w:space="0"/>
            </w:tcBorders>
            <w:vAlign w:val="center"/>
          </w:tcPr>
          <w:p w14:paraId="21DB352F">
            <w:pPr>
              <w:spacing w:line="360" w:lineRule="auto"/>
              <w:rPr>
                <w:rFonts w:hint="eastAsia" w:ascii="仿宋_GB2312" w:eastAsia="仿宋_GB2312"/>
                <w:b/>
                <w:sz w:val="32"/>
                <w:szCs w:val="32"/>
                <w:lang w:val="en-US" w:eastAsia="zh-CN"/>
              </w:rPr>
            </w:pPr>
            <w:r>
              <w:rPr>
                <w:rFonts w:hint="eastAsia" w:ascii="仿宋_GB2312" w:eastAsia="仿宋_GB2312"/>
                <w:b/>
                <w:sz w:val="32"/>
                <w:szCs w:val="32"/>
                <w:lang w:val="en-US" w:eastAsia="zh-CN"/>
              </w:rPr>
              <w:t>信息管理与信息系统</w:t>
            </w:r>
          </w:p>
        </w:tc>
      </w:tr>
    </w:tbl>
    <w:p w14:paraId="5F78339A">
      <w:pPr>
        <w:rPr>
          <w:rFonts w:ascii="黑体" w:eastAsia="黑体"/>
          <w:szCs w:val="21"/>
        </w:rPr>
      </w:pPr>
    </w:p>
    <w:p w14:paraId="2160740A">
      <w:pPr>
        <w:rPr>
          <w:rFonts w:ascii="黑体" w:eastAsia="黑体"/>
          <w:szCs w:val="21"/>
        </w:rPr>
      </w:pPr>
    </w:p>
    <w:p w14:paraId="0C5055FD">
      <w:pPr>
        <w:spacing w:before="156" w:after="156" w:line="480" w:lineRule="auto"/>
        <w:jc w:val="center"/>
        <w:rPr>
          <w:rFonts w:hint="eastAsia" w:eastAsiaTheme="minorEastAsia"/>
          <w:sz w:val="30"/>
          <w:szCs w:val="30"/>
          <w:lang w:val="en-US" w:eastAsia="zh-CN"/>
        </w:rPr>
        <w:sectPr>
          <w:footerReference r:id="rId3" w:type="default"/>
          <w:pgSz w:w="11907" w:h="16840"/>
          <w:pgMar w:top="1440" w:right="1800" w:bottom="1440" w:left="1800" w:header="851" w:footer="992" w:gutter="0"/>
          <w:cols w:space="425" w:num="1"/>
          <w:docGrid w:type="lines" w:linePitch="312" w:charSpace="0"/>
        </w:sectPr>
      </w:pPr>
      <w:r>
        <w:rPr>
          <w:rFonts w:hint="eastAsia"/>
          <w:sz w:val="30"/>
          <w:szCs w:val="30"/>
        </w:rPr>
        <w:t xml:space="preserve">完成时间：     </w:t>
      </w:r>
      <w:r>
        <w:rPr>
          <w:rFonts w:hint="eastAsia"/>
          <w:sz w:val="30"/>
          <w:szCs w:val="30"/>
          <w:lang w:val="en-US" w:eastAsia="zh-CN"/>
        </w:rPr>
        <w:t>2025</w:t>
      </w:r>
      <w:r>
        <w:rPr>
          <w:rFonts w:hint="eastAsia"/>
          <w:sz w:val="30"/>
          <w:szCs w:val="30"/>
        </w:rPr>
        <w:t xml:space="preserve">   年   </w:t>
      </w:r>
      <w:r>
        <w:rPr>
          <w:rFonts w:hint="eastAsia"/>
          <w:sz w:val="30"/>
          <w:szCs w:val="30"/>
          <w:lang w:val="en-US" w:eastAsia="zh-CN"/>
        </w:rPr>
        <w:t>12</w:t>
      </w:r>
      <w:r>
        <w:rPr>
          <w:rFonts w:hint="eastAsia"/>
          <w:sz w:val="30"/>
          <w:szCs w:val="30"/>
        </w:rPr>
        <w:t xml:space="preserve"> 月  </w:t>
      </w:r>
      <w:r>
        <w:rPr>
          <w:rFonts w:hint="eastAsia"/>
          <w:sz w:val="30"/>
          <w:szCs w:val="30"/>
          <w:lang w:val="en-US" w:eastAsia="zh-CN"/>
        </w:rPr>
        <w:t>26</w:t>
      </w:r>
      <w:r>
        <w:rPr>
          <w:rFonts w:hint="eastAsia"/>
          <w:sz w:val="30"/>
          <w:szCs w:val="30"/>
        </w:rPr>
        <w:t xml:space="preserve"> </w:t>
      </w:r>
      <w:r>
        <w:rPr>
          <w:rFonts w:hint="eastAsia"/>
          <w:sz w:val="30"/>
          <w:szCs w:val="30"/>
          <w:lang w:val="en-US" w:eastAsia="zh-CN"/>
        </w:rPr>
        <w:t>日</w:t>
      </w:r>
    </w:p>
    <w:sdt>
      <w:sdtPr>
        <w:rPr>
          <w:rFonts w:ascii="宋体" w:hAnsi="宋体" w:eastAsia="宋体" w:cstheme="minorBidi"/>
          <w:kern w:val="2"/>
          <w:sz w:val="21"/>
          <w:szCs w:val="24"/>
          <w:lang w:val="en-US" w:eastAsia="zh-CN" w:bidi="ar-SA"/>
        </w:rPr>
        <w:id w:val="147463461"/>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0BD701C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B89E38B">
          <w:pPr>
            <w:pStyle w:val="10"/>
            <w:tabs>
              <w:tab w:val="right" w:leader="dot" w:pos="8306"/>
            </w:tabs>
          </w:pPr>
          <w:r>
            <w:rPr>
              <w:rFonts w:hint="eastAsia" w:eastAsiaTheme="minorEastAsia"/>
              <w:lang w:eastAsia="zh-CN"/>
            </w:rPr>
            <w:fldChar w:fldCharType="begin"/>
          </w:r>
          <w:r>
            <w:rPr>
              <w:rFonts w:hint="eastAsia" w:eastAsiaTheme="minorEastAsia"/>
              <w:lang w:eastAsia="zh-CN"/>
            </w:rPr>
            <w:instrText xml:space="preserve">TOC \o "1-2" \h \u </w:instrText>
          </w:r>
          <w:r>
            <w:rPr>
              <w:rFonts w:hint="eastAsia" w:eastAsiaTheme="minorEastAsia"/>
              <w:lang w:eastAsia="zh-CN"/>
            </w:rPr>
            <w:fldChar w:fldCharType="separate"/>
          </w:r>
          <w:r>
            <w:rPr>
              <w:rFonts w:hint="eastAsia" w:eastAsiaTheme="minorEastAsia"/>
              <w:lang w:eastAsia="zh-CN"/>
            </w:rPr>
            <w:fldChar w:fldCharType="begin"/>
          </w:r>
          <w:r>
            <w:rPr>
              <w:rFonts w:hint="eastAsia" w:eastAsiaTheme="minorEastAsia"/>
              <w:lang w:eastAsia="zh-CN"/>
            </w:rPr>
            <w:instrText xml:space="preserve"> HYPERLINK \l _Toc18184 </w:instrText>
          </w:r>
          <w:r>
            <w:rPr>
              <w:rFonts w:hint="eastAsia" w:eastAsiaTheme="minorEastAsia"/>
              <w:lang w:eastAsia="zh-CN"/>
            </w:rPr>
            <w:fldChar w:fldCharType="separate"/>
          </w:r>
          <w:r>
            <w:rPr>
              <w:rFonts w:hint="default" w:ascii="宋体" w:hAnsi="宋体"/>
            </w:rPr>
            <w:t xml:space="preserve">一、 </w:t>
          </w:r>
          <w:r>
            <w:rPr>
              <w:rFonts w:hint="eastAsia" w:ascii="宋体" w:hAnsi="宋体"/>
            </w:rPr>
            <w:t>选题依据及研究意义</w:t>
          </w:r>
          <w:r>
            <w:tab/>
          </w:r>
          <w:r>
            <w:fldChar w:fldCharType="begin"/>
          </w:r>
          <w:r>
            <w:instrText xml:space="preserve"> PAGEREF _Toc18184 \h </w:instrText>
          </w:r>
          <w:r>
            <w:fldChar w:fldCharType="separate"/>
          </w:r>
          <w:r>
            <w:t>3</w:t>
          </w:r>
          <w:r>
            <w:fldChar w:fldCharType="end"/>
          </w:r>
          <w:r>
            <w:rPr>
              <w:rFonts w:hint="eastAsia" w:eastAsiaTheme="minorEastAsia"/>
              <w:lang w:eastAsia="zh-CN"/>
            </w:rPr>
            <w:fldChar w:fldCharType="end"/>
          </w:r>
        </w:p>
        <w:p w14:paraId="7FD52BD3">
          <w:pPr>
            <w:pStyle w:val="10"/>
            <w:tabs>
              <w:tab w:val="right" w:leader="dot" w:pos="8306"/>
            </w:tabs>
          </w:pPr>
          <w:r>
            <w:rPr>
              <w:rFonts w:hint="eastAsia" w:eastAsiaTheme="minorEastAsia"/>
              <w:lang w:eastAsia="zh-CN"/>
            </w:rPr>
            <w:fldChar w:fldCharType="begin"/>
          </w:r>
          <w:r>
            <w:rPr>
              <w:rFonts w:hint="eastAsia" w:eastAsiaTheme="minorEastAsia"/>
              <w:lang w:eastAsia="zh-CN"/>
            </w:rPr>
            <w:instrText xml:space="preserve"> HYPERLINK \l _Toc20838 </w:instrText>
          </w:r>
          <w:r>
            <w:rPr>
              <w:rFonts w:hint="eastAsia" w:eastAsiaTheme="minorEastAsia"/>
              <w:lang w:eastAsia="zh-CN"/>
            </w:rPr>
            <w:fldChar w:fldCharType="separate"/>
          </w:r>
          <w:r>
            <w:rPr>
              <w:rFonts w:hint="default"/>
            </w:rPr>
            <w:t xml:space="preserve">二、 </w:t>
          </w:r>
          <w:r>
            <w:rPr>
              <w:rFonts w:hint="eastAsia" w:ascii="宋体" w:hAnsi="宋体"/>
              <w:highlight w:val="none"/>
            </w:rPr>
            <w:t>国内外研究现状及存在问题</w:t>
          </w:r>
          <w:r>
            <w:tab/>
          </w:r>
          <w:r>
            <w:fldChar w:fldCharType="begin"/>
          </w:r>
          <w:r>
            <w:instrText xml:space="preserve"> PAGEREF _Toc20838 \h </w:instrText>
          </w:r>
          <w:r>
            <w:fldChar w:fldCharType="separate"/>
          </w:r>
          <w:r>
            <w:t>3</w:t>
          </w:r>
          <w:r>
            <w:fldChar w:fldCharType="end"/>
          </w:r>
          <w:r>
            <w:rPr>
              <w:rFonts w:hint="eastAsia" w:eastAsiaTheme="minorEastAsia"/>
              <w:lang w:eastAsia="zh-CN"/>
            </w:rPr>
            <w:fldChar w:fldCharType="end"/>
          </w:r>
        </w:p>
        <w:p w14:paraId="3FC8ECE7">
          <w:pPr>
            <w:pStyle w:val="10"/>
            <w:tabs>
              <w:tab w:val="right" w:leader="dot" w:pos="8306"/>
            </w:tabs>
          </w:pPr>
          <w:r>
            <w:rPr>
              <w:rFonts w:hint="eastAsia" w:eastAsiaTheme="minorEastAsia"/>
              <w:lang w:eastAsia="zh-CN"/>
            </w:rPr>
            <w:fldChar w:fldCharType="begin"/>
          </w:r>
          <w:r>
            <w:rPr>
              <w:rFonts w:hint="eastAsia" w:eastAsiaTheme="minorEastAsia"/>
              <w:lang w:eastAsia="zh-CN"/>
            </w:rPr>
            <w:instrText xml:space="preserve"> HYPERLINK \l _Toc30762 </w:instrText>
          </w:r>
          <w:r>
            <w:rPr>
              <w:rFonts w:hint="eastAsia" w:eastAsiaTheme="minorEastAsia"/>
              <w:lang w:eastAsia="zh-CN"/>
            </w:rPr>
            <w:fldChar w:fldCharType="separate"/>
          </w:r>
          <w:r>
            <w:rPr>
              <w:rFonts w:hint="default" w:ascii="宋体" w:hAnsi="宋体"/>
            </w:rPr>
            <w:t xml:space="preserve">三、 </w:t>
          </w:r>
          <w:r>
            <w:rPr>
              <w:rFonts w:hint="eastAsia" w:ascii="宋体" w:hAnsi="宋体"/>
            </w:rPr>
            <w:t>课题研究主要内容及研究方法</w:t>
          </w:r>
          <w:r>
            <w:tab/>
          </w:r>
          <w:r>
            <w:fldChar w:fldCharType="begin"/>
          </w:r>
          <w:r>
            <w:instrText xml:space="preserve"> PAGEREF _Toc30762 \h </w:instrText>
          </w:r>
          <w:r>
            <w:fldChar w:fldCharType="separate"/>
          </w:r>
          <w:r>
            <w:t>4</w:t>
          </w:r>
          <w:r>
            <w:fldChar w:fldCharType="end"/>
          </w:r>
          <w:r>
            <w:rPr>
              <w:rFonts w:hint="eastAsia" w:eastAsiaTheme="minorEastAsia"/>
              <w:lang w:eastAsia="zh-CN"/>
            </w:rPr>
            <w:fldChar w:fldCharType="end"/>
          </w:r>
        </w:p>
        <w:p w14:paraId="1B3CF8B3">
          <w:pPr>
            <w:pStyle w:val="11"/>
            <w:tabs>
              <w:tab w:val="right" w:leader="dot" w:pos="8306"/>
            </w:tabs>
          </w:pPr>
          <w:r>
            <w:rPr>
              <w:rFonts w:hint="eastAsia" w:eastAsiaTheme="minorEastAsia"/>
              <w:lang w:eastAsia="zh-CN"/>
            </w:rPr>
            <w:fldChar w:fldCharType="begin"/>
          </w:r>
          <w:r>
            <w:rPr>
              <w:rFonts w:hint="eastAsia" w:eastAsiaTheme="minorEastAsia"/>
              <w:lang w:eastAsia="zh-CN"/>
            </w:rPr>
            <w:instrText xml:space="preserve"> HYPERLINK \l _Toc22838 </w:instrText>
          </w:r>
          <w:r>
            <w:rPr>
              <w:rFonts w:hint="eastAsia" w:eastAsiaTheme="minorEastAsia"/>
              <w:lang w:eastAsia="zh-CN"/>
            </w:rPr>
            <w:fldChar w:fldCharType="separate"/>
          </w:r>
          <w:r>
            <w:rPr>
              <w:rFonts w:hint="eastAsia" w:ascii="宋体" w:hAnsi="宋体"/>
            </w:rPr>
            <w:t>3.1 研究主要内容</w:t>
          </w:r>
          <w:r>
            <w:tab/>
          </w:r>
          <w:r>
            <w:fldChar w:fldCharType="begin"/>
          </w:r>
          <w:r>
            <w:instrText xml:space="preserve"> PAGEREF _Toc22838 \h </w:instrText>
          </w:r>
          <w:r>
            <w:fldChar w:fldCharType="separate"/>
          </w:r>
          <w:r>
            <w:t>4</w:t>
          </w:r>
          <w:r>
            <w:fldChar w:fldCharType="end"/>
          </w:r>
          <w:r>
            <w:rPr>
              <w:rFonts w:hint="eastAsia" w:eastAsiaTheme="minorEastAsia"/>
              <w:lang w:eastAsia="zh-CN"/>
            </w:rPr>
            <w:fldChar w:fldCharType="end"/>
          </w:r>
        </w:p>
        <w:p w14:paraId="09FEEEFE">
          <w:pPr>
            <w:pStyle w:val="11"/>
            <w:tabs>
              <w:tab w:val="right" w:leader="dot" w:pos="8306"/>
            </w:tabs>
          </w:pPr>
          <w:r>
            <w:rPr>
              <w:rFonts w:hint="eastAsia" w:eastAsiaTheme="minorEastAsia"/>
              <w:lang w:eastAsia="zh-CN"/>
            </w:rPr>
            <w:fldChar w:fldCharType="begin"/>
          </w:r>
          <w:r>
            <w:rPr>
              <w:rFonts w:hint="eastAsia" w:eastAsiaTheme="minorEastAsia"/>
              <w:lang w:eastAsia="zh-CN"/>
            </w:rPr>
            <w:instrText xml:space="preserve"> HYPERLINK \l _Toc312 </w:instrText>
          </w:r>
          <w:r>
            <w:rPr>
              <w:rFonts w:hint="eastAsia" w:eastAsiaTheme="minorEastAsia"/>
              <w:lang w:eastAsia="zh-CN"/>
            </w:rPr>
            <w:fldChar w:fldCharType="separate"/>
          </w:r>
          <w:r>
            <w:rPr>
              <w:rFonts w:hint="eastAsia" w:ascii="宋体" w:hAnsi="宋体"/>
            </w:rPr>
            <w:t>3.2 研究方法</w:t>
          </w:r>
          <w:r>
            <w:tab/>
          </w:r>
          <w:r>
            <w:fldChar w:fldCharType="begin"/>
          </w:r>
          <w:r>
            <w:instrText xml:space="preserve"> PAGEREF _Toc312 \h </w:instrText>
          </w:r>
          <w:r>
            <w:fldChar w:fldCharType="separate"/>
          </w:r>
          <w:r>
            <w:t>5</w:t>
          </w:r>
          <w:r>
            <w:fldChar w:fldCharType="end"/>
          </w:r>
          <w:r>
            <w:rPr>
              <w:rFonts w:hint="eastAsia" w:eastAsiaTheme="minorEastAsia"/>
              <w:lang w:eastAsia="zh-CN"/>
            </w:rPr>
            <w:fldChar w:fldCharType="end"/>
          </w:r>
        </w:p>
        <w:p w14:paraId="3D67FC4E">
          <w:pPr>
            <w:pStyle w:val="10"/>
            <w:tabs>
              <w:tab w:val="right" w:leader="dot" w:pos="8306"/>
            </w:tabs>
          </w:pPr>
          <w:r>
            <w:rPr>
              <w:rFonts w:hint="eastAsia" w:eastAsiaTheme="minorEastAsia"/>
              <w:lang w:eastAsia="zh-CN"/>
            </w:rPr>
            <w:fldChar w:fldCharType="begin"/>
          </w:r>
          <w:r>
            <w:rPr>
              <w:rFonts w:hint="eastAsia" w:eastAsiaTheme="minorEastAsia"/>
              <w:lang w:eastAsia="zh-CN"/>
            </w:rPr>
            <w:instrText xml:space="preserve"> HYPERLINK \l _Toc1586 </w:instrText>
          </w:r>
          <w:r>
            <w:rPr>
              <w:rFonts w:hint="eastAsia" w:eastAsiaTheme="minorEastAsia"/>
              <w:lang w:eastAsia="zh-CN"/>
            </w:rPr>
            <w:fldChar w:fldCharType="separate"/>
          </w:r>
          <w:r>
            <w:rPr>
              <w:rFonts w:hint="default" w:ascii="宋体" w:hAnsi="宋体"/>
            </w:rPr>
            <w:t xml:space="preserve">四、 </w:t>
          </w:r>
          <w:r>
            <w:rPr>
              <w:rFonts w:hint="eastAsia" w:ascii="宋体" w:hAnsi="宋体"/>
            </w:rPr>
            <w:t>课题研究技术路线</w:t>
          </w:r>
          <w:r>
            <w:tab/>
          </w:r>
          <w:r>
            <w:fldChar w:fldCharType="begin"/>
          </w:r>
          <w:r>
            <w:instrText xml:space="preserve"> PAGEREF _Toc1586 \h </w:instrText>
          </w:r>
          <w:r>
            <w:fldChar w:fldCharType="separate"/>
          </w:r>
          <w:r>
            <w:t>6</w:t>
          </w:r>
          <w:r>
            <w:fldChar w:fldCharType="end"/>
          </w:r>
          <w:r>
            <w:rPr>
              <w:rFonts w:hint="eastAsia" w:eastAsiaTheme="minorEastAsia"/>
              <w:lang w:eastAsia="zh-CN"/>
            </w:rPr>
            <w:fldChar w:fldCharType="end"/>
          </w:r>
        </w:p>
        <w:p w14:paraId="16C7B06D">
          <w:pPr>
            <w:pStyle w:val="11"/>
            <w:tabs>
              <w:tab w:val="right" w:leader="dot" w:pos="8306"/>
            </w:tabs>
          </w:pPr>
          <w:r>
            <w:rPr>
              <w:rFonts w:hint="eastAsia" w:eastAsiaTheme="minorEastAsia"/>
              <w:lang w:eastAsia="zh-CN"/>
            </w:rPr>
            <w:fldChar w:fldCharType="begin"/>
          </w:r>
          <w:r>
            <w:rPr>
              <w:rFonts w:hint="eastAsia" w:eastAsiaTheme="minorEastAsia"/>
              <w:lang w:eastAsia="zh-CN"/>
            </w:rPr>
            <w:instrText xml:space="preserve"> HYPERLINK \l _Toc9457 </w:instrText>
          </w:r>
          <w:r>
            <w:rPr>
              <w:rFonts w:hint="eastAsia" w:eastAsiaTheme="minorEastAsia"/>
              <w:lang w:eastAsia="zh-CN"/>
            </w:rPr>
            <w:fldChar w:fldCharType="separate"/>
          </w:r>
          <w:r>
            <w:rPr>
              <w:rFonts w:hint="eastAsia" w:ascii="宋体" w:hAnsi="宋体"/>
            </w:rPr>
            <w:t>4.1 数据获取阶段</w:t>
          </w:r>
          <w:r>
            <w:tab/>
          </w:r>
          <w:r>
            <w:fldChar w:fldCharType="begin"/>
          </w:r>
          <w:r>
            <w:instrText xml:space="preserve"> PAGEREF _Toc9457 \h </w:instrText>
          </w:r>
          <w:r>
            <w:fldChar w:fldCharType="separate"/>
          </w:r>
          <w:r>
            <w:t>6</w:t>
          </w:r>
          <w:r>
            <w:fldChar w:fldCharType="end"/>
          </w:r>
          <w:r>
            <w:rPr>
              <w:rFonts w:hint="eastAsia" w:eastAsiaTheme="minorEastAsia"/>
              <w:lang w:eastAsia="zh-CN"/>
            </w:rPr>
            <w:fldChar w:fldCharType="end"/>
          </w:r>
        </w:p>
        <w:p w14:paraId="4822EA49">
          <w:pPr>
            <w:pStyle w:val="11"/>
            <w:tabs>
              <w:tab w:val="right" w:leader="dot" w:pos="8306"/>
            </w:tabs>
          </w:pPr>
          <w:r>
            <w:rPr>
              <w:rFonts w:hint="eastAsia" w:eastAsiaTheme="minorEastAsia"/>
              <w:lang w:eastAsia="zh-CN"/>
            </w:rPr>
            <w:fldChar w:fldCharType="begin"/>
          </w:r>
          <w:r>
            <w:rPr>
              <w:rFonts w:hint="eastAsia" w:eastAsiaTheme="minorEastAsia"/>
              <w:lang w:eastAsia="zh-CN"/>
            </w:rPr>
            <w:instrText xml:space="preserve"> HYPERLINK \l _Toc4513 </w:instrText>
          </w:r>
          <w:r>
            <w:rPr>
              <w:rFonts w:hint="eastAsia" w:eastAsiaTheme="minorEastAsia"/>
              <w:lang w:eastAsia="zh-CN"/>
            </w:rPr>
            <w:fldChar w:fldCharType="separate"/>
          </w:r>
          <w:r>
            <w:rPr>
              <w:rFonts w:hint="eastAsia" w:ascii="宋体" w:hAnsi="宋体"/>
              <w:lang w:val="en-US" w:eastAsia="zh-CN"/>
            </w:rPr>
            <w:t xml:space="preserve">4.2 </w:t>
          </w:r>
          <w:r>
            <w:rPr>
              <w:rFonts w:hint="eastAsia" w:ascii="宋体" w:hAnsi="宋体"/>
            </w:rPr>
            <w:t>指标计算阶段</w:t>
          </w:r>
          <w:r>
            <w:tab/>
          </w:r>
          <w:r>
            <w:fldChar w:fldCharType="begin"/>
          </w:r>
          <w:r>
            <w:instrText xml:space="preserve"> PAGEREF _Toc4513 \h </w:instrText>
          </w:r>
          <w:r>
            <w:fldChar w:fldCharType="separate"/>
          </w:r>
          <w:r>
            <w:t>7</w:t>
          </w:r>
          <w:r>
            <w:fldChar w:fldCharType="end"/>
          </w:r>
          <w:r>
            <w:rPr>
              <w:rFonts w:hint="eastAsia" w:eastAsiaTheme="minorEastAsia"/>
              <w:lang w:eastAsia="zh-CN"/>
            </w:rPr>
            <w:fldChar w:fldCharType="end"/>
          </w:r>
        </w:p>
        <w:p w14:paraId="3B94C0FC">
          <w:pPr>
            <w:pStyle w:val="11"/>
            <w:tabs>
              <w:tab w:val="right" w:leader="dot" w:pos="8306"/>
            </w:tabs>
          </w:pPr>
          <w:r>
            <w:rPr>
              <w:rFonts w:hint="eastAsia" w:eastAsiaTheme="minorEastAsia"/>
              <w:lang w:eastAsia="zh-CN"/>
            </w:rPr>
            <w:fldChar w:fldCharType="begin"/>
          </w:r>
          <w:r>
            <w:rPr>
              <w:rFonts w:hint="eastAsia" w:eastAsiaTheme="minorEastAsia"/>
              <w:lang w:eastAsia="zh-CN"/>
            </w:rPr>
            <w:instrText xml:space="preserve"> HYPERLINK \l _Toc15098 </w:instrText>
          </w:r>
          <w:r>
            <w:rPr>
              <w:rFonts w:hint="eastAsia" w:eastAsiaTheme="minorEastAsia"/>
              <w:lang w:eastAsia="zh-CN"/>
            </w:rPr>
            <w:fldChar w:fldCharType="separate"/>
          </w:r>
          <w:r>
            <w:rPr>
              <w:rFonts w:hint="eastAsia" w:ascii="宋体" w:hAnsi="宋体"/>
            </w:rPr>
            <w:t>4.3 模型构建阶段</w:t>
          </w:r>
          <w:r>
            <w:tab/>
          </w:r>
          <w:r>
            <w:fldChar w:fldCharType="begin"/>
          </w:r>
          <w:r>
            <w:instrText xml:space="preserve"> PAGEREF _Toc15098 \h </w:instrText>
          </w:r>
          <w:r>
            <w:fldChar w:fldCharType="separate"/>
          </w:r>
          <w:r>
            <w:t>7</w:t>
          </w:r>
          <w:r>
            <w:fldChar w:fldCharType="end"/>
          </w:r>
          <w:r>
            <w:rPr>
              <w:rFonts w:hint="eastAsia" w:eastAsiaTheme="minorEastAsia"/>
              <w:lang w:eastAsia="zh-CN"/>
            </w:rPr>
            <w:fldChar w:fldCharType="end"/>
          </w:r>
        </w:p>
        <w:p w14:paraId="6A027225">
          <w:pPr>
            <w:pStyle w:val="11"/>
            <w:tabs>
              <w:tab w:val="right" w:leader="dot" w:pos="8306"/>
            </w:tabs>
          </w:pPr>
          <w:r>
            <w:rPr>
              <w:rFonts w:hint="eastAsia" w:eastAsiaTheme="minorEastAsia"/>
              <w:lang w:eastAsia="zh-CN"/>
            </w:rPr>
            <w:fldChar w:fldCharType="begin"/>
          </w:r>
          <w:r>
            <w:rPr>
              <w:rFonts w:hint="eastAsia" w:eastAsiaTheme="minorEastAsia"/>
              <w:lang w:eastAsia="zh-CN"/>
            </w:rPr>
            <w:instrText xml:space="preserve"> HYPERLINK \l _Toc21026 </w:instrText>
          </w:r>
          <w:r>
            <w:rPr>
              <w:rFonts w:hint="eastAsia" w:eastAsiaTheme="minorEastAsia"/>
              <w:lang w:eastAsia="zh-CN"/>
            </w:rPr>
            <w:fldChar w:fldCharType="separate"/>
          </w:r>
          <w:r>
            <w:rPr>
              <w:rFonts w:hint="eastAsia" w:ascii="宋体" w:hAnsi="宋体"/>
            </w:rPr>
            <w:t>4.4 关联分析阶段</w:t>
          </w:r>
          <w:r>
            <w:tab/>
          </w:r>
          <w:r>
            <w:fldChar w:fldCharType="begin"/>
          </w:r>
          <w:r>
            <w:instrText xml:space="preserve"> PAGEREF _Toc21026 \h </w:instrText>
          </w:r>
          <w:r>
            <w:fldChar w:fldCharType="separate"/>
          </w:r>
          <w:r>
            <w:t>8</w:t>
          </w:r>
          <w:r>
            <w:fldChar w:fldCharType="end"/>
          </w:r>
          <w:r>
            <w:rPr>
              <w:rFonts w:hint="eastAsia" w:eastAsiaTheme="minorEastAsia"/>
              <w:lang w:eastAsia="zh-CN"/>
            </w:rPr>
            <w:fldChar w:fldCharType="end"/>
          </w:r>
        </w:p>
        <w:p w14:paraId="6D643A15">
          <w:pPr>
            <w:pStyle w:val="11"/>
            <w:tabs>
              <w:tab w:val="right" w:leader="dot" w:pos="8306"/>
            </w:tabs>
          </w:pPr>
          <w:r>
            <w:rPr>
              <w:rFonts w:hint="eastAsia" w:eastAsiaTheme="minorEastAsia"/>
              <w:lang w:eastAsia="zh-CN"/>
            </w:rPr>
            <w:fldChar w:fldCharType="begin"/>
          </w:r>
          <w:r>
            <w:rPr>
              <w:rFonts w:hint="eastAsia" w:eastAsiaTheme="minorEastAsia"/>
              <w:lang w:eastAsia="zh-CN"/>
            </w:rPr>
            <w:instrText xml:space="preserve"> HYPERLINK \l _Toc28352 </w:instrText>
          </w:r>
          <w:r>
            <w:rPr>
              <w:rFonts w:hint="eastAsia" w:eastAsiaTheme="minorEastAsia"/>
              <w:lang w:eastAsia="zh-CN"/>
            </w:rPr>
            <w:fldChar w:fldCharType="separate"/>
          </w:r>
          <w:r>
            <w:rPr>
              <w:rFonts w:hint="eastAsia" w:ascii="宋体" w:hAnsi="宋体"/>
            </w:rPr>
            <w:t>4.5 结论与建议阶段</w:t>
          </w:r>
          <w:r>
            <w:tab/>
          </w:r>
          <w:r>
            <w:fldChar w:fldCharType="begin"/>
          </w:r>
          <w:r>
            <w:instrText xml:space="preserve"> PAGEREF _Toc28352 \h </w:instrText>
          </w:r>
          <w:r>
            <w:fldChar w:fldCharType="separate"/>
          </w:r>
          <w:r>
            <w:t>8</w:t>
          </w:r>
          <w:r>
            <w:fldChar w:fldCharType="end"/>
          </w:r>
          <w:r>
            <w:rPr>
              <w:rFonts w:hint="eastAsia" w:eastAsiaTheme="minorEastAsia"/>
              <w:lang w:eastAsia="zh-CN"/>
            </w:rPr>
            <w:fldChar w:fldCharType="end"/>
          </w:r>
        </w:p>
        <w:p w14:paraId="6569BAF1">
          <w:pPr>
            <w:pStyle w:val="10"/>
            <w:tabs>
              <w:tab w:val="right" w:leader="dot" w:pos="8306"/>
            </w:tabs>
          </w:pPr>
          <w:r>
            <w:rPr>
              <w:rFonts w:hint="eastAsia" w:eastAsiaTheme="minorEastAsia"/>
              <w:lang w:eastAsia="zh-CN"/>
            </w:rPr>
            <w:fldChar w:fldCharType="begin"/>
          </w:r>
          <w:r>
            <w:rPr>
              <w:rFonts w:hint="eastAsia" w:eastAsiaTheme="minorEastAsia"/>
              <w:lang w:eastAsia="zh-CN"/>
            </w:rPr>
            <w:instrText xml:space="preserve"> HYPERLINK \l _Toc24467 </w:instrText>
          </w:r>
          <w:r>
            <w:rPr>
              <w:rFonts w:hint="eastAsia" w:eastAsiaTheme="minorEastAsia"/>
              <w:lang w:eastAsia="zh-CN"/>
            </w:rPr>
            <w:fldChar w:fldCharType="separate"/>
          </w:r>
          <w:r>
            <w:rPr>
              <w:rFonts w:hint="default" w:ascii="宋体" w:hAnsi="宋体"/>
            </w:rPr>
            <w:t xml:space="preserve">五、 </w:t>
          </w:r>
          <w:r>
            <w:rPr>
              <w:rFonts w:hint="eastAsia" w:ascii="宋体" w:hAnsi="宋体"/>
            </w:rPr>
            <w:t>课题的预期成果</w:t>
          </w:r>
          <w:r>
            <w:tab/>
          </w:r>
          <w:r>
            <w:fldChar w:fldCharType="begin"/>
          </w:r>
          <w:r>
            <w:instrText xml:space="preserve"> PAGEREF _Toc24467 \h </w:instrText>
          </w:r>
          <w:r>
            <w:fldChar w:fldCharType="separate"/>
          </w:r>
          <w:r>
            <w:t>8</w:t>
          </w:r>
          <w:r>
            <w:fldChar w:fldCharType="end"/>
          </w:r>
          <w:r>
            <w:rPr>
              <w:rFonts w:hint="eastAsia" w:eastAsiaTheme="minorEastAsia"/>
              <w:lang w:eastAsia="zh-CN"/>
            </w:rPr>
            <w:fldChar w:fldCharType="end"/>
          </w:r>
        </w:p>
        <w:p w14:paraId="327BC570">
          <w:pPr>
            <w:pStyle w:val="10"/>
            <w:tabs>
              <w:tab w:val="right" w:leader="dot" w:pos="8306"/>
            </w:tabs>
          </w:pPr>
          <w:r>
            <w:rPr>
              <w:rFonts w:hint="eastAsia" w:eastAsiaTheme="minorEastAsia"/>
              <w:lang w:eastAsia="zh-CN"/>
            </w:rPr>
            <w:fldChar w:fldCharType="begin"/>
          </w:r>
          <w:r>
            <w:rPr>
              <w:rFonts w:hint="eastAsia" w:eastAsiaTheme="minorEastAsia"/>
              <w:lang w:eastAsia="zh-CN"/>
            </w:rPr>
            <w:instrText xml:space="preserve"> HYPERLINK \l _Toc12868 </w:instrText>
          </w:r>
          <w:r>
            <w:rPr>
              <w:rFonts w:hint="eastAsia" w:eastAsiaTheme="minorEastAsia"/>
              <w:lang w:eastAsia="zh-CN"/>
            </w:rPr>
            <w:fldChar w:fldCharType="separate"/>
          </w:r>
          <w:r>
            <w:rPr>
              <w:rFonts w:hint="default" w:ascii="宋体" w:hAnsi="宋体"/>
            </w:rPr>
            <w:t xml:space="preserve">六、 </w:t>
          </w:r>
          <w:r>
            <w:rPr>
              <w:rFonts w:hint="eastAsia" w:ascii="宋体" w:hAnsi="宋体"/>
            </w:rPr>
            <w:t>课题工作进度安排</w:t>
          </w:r>
          <w:r>
            <w:tab/>
          </w:r>
          <w:r>
            <w:fldChar w:fldCharType="begin"/>
          </w:r>
          <w:r>
            <w:instrText xml:space="preserve"> PAGEREF _Toc12868 \h </w:instrText>
          </w:r>
          <w:r>
            <w:fldChar w:fldCharType="separate"/>
          </w:r>
          <w:r>
            <w:t>8</w:t>
          </w:r>
          <w:r>
            <w:fldChar w:fldCharType="end"/>
          </w:r>
          <w:r>
            <w:rPr>
              <w:rFonts w:hint="eastAsia" w:eastAsiaTheme="minorEastAsia"/>
              <w:lang w:eastAsia="zh-CN"/>
            </w:rPr>
            <w:fldChar w:fldCharType="end"/>
          </w:r>
        </w:p>
        <w:p w14:paraId="730C4AF6">
          <w:pPr>
            <w:pStyle w:val="10"/>
            <w:tabs>
              <w:tab w:val="right" w:leader="dot" w:pos="8306"/>
            </w:tabs>
          </w:pPr>
          <w:r>
            <w:rPr>
              <w:rFonts w:hint="eastAsia" w:eastAsiaTheme="minorEastAsia"/>
              <w:lang w:eastAsia="zh-CN"/>
            </w:rPr>
            <w:fldChar w:fldCharType="begin"/>
          </w:r>
          <w:r>
            <w:rPr>
              <w:rFonts w:hint="eastAsia" w:eastAsiaTheme="minorEastAsia"/>
              <w:lang w:eastAsia="zh-CN"/>
            </w:rPr>
            <w:instrText xml:space="preserve"> HYPERLINK \l _Toc7970 </w:instrText>
          </w:r>
          <w:r>
            <w:rPr>
              <w:rFonts w:hint="eastAsia" w:eastAsiaTheme="minorEastAsia"/>
              <w:lang w:eastAsia="zh-CN"/>
            </w:rPr>
            <w:fldChar w:fldCharType="separate"/>
          </w:r>
          <w:r>
            <w:rPr>
              <w:rFonts w:hint="default" w:ascii="宋体" w:hAnsi="宋体"/>
            </w:rPr>
            <w:t xml:space="preserve">七、 </w:t>
          </w:r>
          <w:r>
            <w:rPr>
              <w:rFonts w:hint="eastAsia" w:ascii="宋体" w:hAnsi="宋体"/>
            </w:rPr>
            <w:t>参考文献</w:t>
          </w:r>
          <w:r>
            <w:tab/>
          </w:r>
          <w:r>
            <w:fldChar w:fldCharType="begin"/>
          </w:r>
          <w:r>
            <w:instrText xml:space="preserve"> PAGEREF _Toc7970 \h </w:instrText>
          </w:r>
          <w:r>
            <w:fldChar w:fldCharType="separate"/>
          </w:r>
          <w:r>
            <w:t>10</w:t>
          </w:r>
          <w:r>
            <w:fldChar w:fldCharType="end"/>
          </w:r>
          <w:r>
            <w:rPr>
              <w:rFonts w:hint="eastAsia" w:eastAsiaTheme="minorEastAsia"/>
              <w:lang w:eastAsia="zh-CN"/>
            </w:rPr>
            <w:fldChar w:fldCharType="end"/>
          </w:r>
        </w:p>
        <w:p w14:paraId="47527FA0">
          <w:pPr>
            <w:rPr>
              <w:rFonts w:hint="eastAsia" w:asciiTheme="minorHAnsi" w:hAnsiTheme="minorHAnsi" w:eastAsiaTheme="minorEastAsia" w:cstheme="minorBidi"/>
              <w:kern w:val="2"/>
              <w:sz w:val="21"/>
              <w:szCs w:val="24"/>
              <w:lang w:val="en-US" w:eastAsia="zh-CN" w:bidi="ar-SA"/>
            </w:rPr>
          </w:pPr>
          <w:r>
            <w:rPr>
              <w:rFonts w:hint="eastAsia" w:eastAsiaTheme="minorEastAsia"/>
              <w:lang w:eastAsia="zh-CN"/>
            </w:rPr>
            <w:fldChar w:fldCharType="end"/>
          </w:r>
        </w:p>
      </w:sdtContent>
    </w:sdt>
    <w:p w14:paraId="231AA188">
      <w:pPr>
        <w:rPr>
          <w:rFonts w:hint="eastAsia" w:asciiTheme="minorHAnsi" w:hAnsiTheme="minorHAnsi" w:eastAsiaTheme="minorEastAsia" w:cstheme="minorBidi"/>
          <w:kern w:val="2"/>
          <w:sz w:val="21"/>
          <w:szCs w:val="24"/>
          <w:lang w:val="en-US" w:eastAsia="zh-CN" w:bidi="ar-SA"/>
        </w:rPr>
      </w:pPr>
    </w:p>
    <w:p w14:paraId="57905E8A">
      <w:pPr>
        <w:rPr>
          <w:rFonts w:hint="eastAsia" w:eastAsiaTheme="minorEastAsia"/>
          <w:lang w:eastAsia="zh-CN"/>
        </w:rPr>
      </w:pPr>
    </w:p>
    <w:p w14:paraId="2E86F669">
      <w:pPr>
        <w:rPr>
          <w:rFonts w:hint="eastAsia" w:eastAsiaTheme="minorEastAsia"/>
          <w:lang w:eastAsia="zh-CN"/>
        </w:rPr>
      </w:pPr>
    </w:p>
    <w:p w14:paraId="178A092F">
      <w:pPr>
        <w:rPr>
          <w:rFonts w:hint="eastAsia" w:eastAsiaTheme="minorEastAsia"/>
          <w:lang w:eastAsia="zh-CN"/>
        </w:rPr>
      </w:pPr>
    </w:p>
    <w:p w14:paraId="64797D17">
      <w:pPr>
        <w:rPr>
          <w:rFonts w:hint="eastAsia" w:eastAsiaTheme="minorEastAsia"/>
          <w:lang w:eastAsia="zh-CN"/>
        </w:rPr>
      </w:pPr>
    </w:p>
    <w:p w14:paraId="5D6E5126">
      <w:pPr>
        <w:rPr>
          <w:rFonts w:hint="eastAsia" w:eastAsiaTheme="minorEastAsia"/>
          <w:lang w:eastAsia="zh-CN"/>
        </w:rPr>
      </w:pPr>
    </w:p>
    <w:p w14:paraId="0D0C1E69">
      <w:pPr>
        <w:rPr>
          <w:rFonts w:hint="eastAsia" w:eastAsiaTheme="minorEastAsia"/>
          <w:lang w:eastAsia="zh-CN"/>
        </w:rPr>
      </w:pPr>
    </w:p>
    <w:p w14:paraId="16D68C6E">
      <w:pPr>
        <w:rPr>
          <w:rFonts w:hint="eastAsia" w:eastAsiaTheme="minorEastAsia"/>
          <w:lang w:eastAsia="zh-CN"/>
        </w:rPr>
      </w:pPr>
    </w:p>
    <w:p w14:paraId="752DE778">
      <w:pPr>
        <w:rPr>
          <w:rFonts w:hint="eastAsia" w:eastAsiaTheme="minorEastAsia"/>
          <w:lang w:eastAsia="zh-CN"/>
        </w:rPr>
      </w:pPr>
    </w:p>
    <w:p w14:paraId="304E7544">
      <w:pPr>
        <w:rPr>
          <w:rFonts w:hint="eastAsia" w:eastAsiaTheme="minorEastAsia"/>
          <w:lang w:eastAsia="zh-CN"/>
        </w:rPr>
      </w:pPr>
    </w:p>
    <w:p w14:paraId="52DB8785">
      <w:pPr>
        <w:rPr>
          <w:rFonts w:hint="eastAsia" w:eastAsiaTheme="minorEastAsia"/>
          <w:lang w:eastAsia="zh-CN"/>
        </w:rPr>
      </w:pPr>
    </w:p>
    <w:p w14:paraId="5524357E">
      <w:pPr>
        <w:rPr>
          <w:rFonts w:hint="eastAsia" w:eastAsiaTheme="minorEastAsia"/>
          <w:lang w:eastAsia="zh-CN"/>
        </w:rPr>
      </w:pPr>
    </w:p>
    <w:p w14:paraId="66A587D2">
      <w:pPr>
        <w:rPr>
          <w:rFonts w:hint="eastAsia" w:eastAsiaTheme="minorEastAsia"/>
          <w:lang w:eastAsia="zh-CN"/>
        </w:rPr>
      </w:pPr>
    </w:p>
    <w:p w14:paraId="3231E13F">
      <w:pPr>
        <w:rPr>
          <w:rFonts w:hint="eastAsia" w:eastAsiaTheme="minorEastAsia"/>
          <w:lang w:eastAsia="zh-CN"/>
        </w:rPr>
      </w:pPr>
    </w:p>
    <w:p w14:paraId="5777EABF">
      <w:pPr>
        <w:rPr>
          <w:rFonts w:hint="eastAsia" w:eastAsiaTheme="minorEastAsia"/>
          <w:lang w:eastAsia="zh-CN"/>
        </w:rPr>
      </w:pPr>
    </w:p>
    <w:p w14:paraId="2D4103CD">
      <w:pPr>
        <w:rPr>
          <w:rFonts w:hint="eastAsia" w:eastAsiaTheme="minorEastAsia"/>
          <w:lang w:eastAsia="zh-CN"/>
        </w:rPr>
      </w:pPr>
    </w:p>
    <w:p w14:paraId="5BDF6B91">
      <w:pPr>
        <w:rPr>
          <w:rFonts w:hint="eastAsia" w:eastAsiaTheme="minorEastAsia"/>
          <w:lang w:eastAsia="zh-CN"/>
        </w:rPr>
      </w:pPr>
    </w:p>
    <w:p w14:paraId="6B2BFB06">
      <w:pPr>
        <w:rPr>
          <w:rFonts w:hint="eastAsia" w:eastAsiaTheme="minorEastAsia"/>
          <w:lang w:eastAsia="zh-CN"/>
        </w:rPr>
      </w:pPr>
    </w:p>
    <w:p w14:paraId="722489FA">
      <w:pPr>
        <w:rPr>
          <w:rFonts w:hint="eastAsia" w:eastAsiaTheme="minorEastAsia"/>
          <w:lang w:eastAsia="zh-CN"/>
        </w:rPr>
      </w:pPr>
    </w:p>
    <w:p w14:paraId="24DD4CFA">
      <w:pPr>
        <w:rPr>
          <w:rFonts w:hint="eastAsia" w:eastAsiaTheme="minorEastAsia"/>
          <w:lang w:eastAsia="zh-CN"/>
        </w:rPr>
      </w:pPr>
    </w:p>
    <w:p w14:paraId="4E2A7793">
      <w:pPr>
        <w:rPr>
          <w:rFonts w:hint="eastAsia" w:eastAsiaTheme="minorEastAsia"/>
          <w:lang w:eastAsia="zh-CN"/>
        </w:rPr>
      </w:pPr>
    </w:p>
    <w:p w14:paraId="74388AF1">
      <w:pPr>
        <w:rPr>
          <w:rFonts w:hint="eastAsia" w:eastAsiaTheme="minorEastAsia"/>
          <w:lang w:eastAsia="zh-CN"/>
        </w:rPr>
      </w:pPr>
    </w:p>
    <w:p w14:paraId="232042DF">
      <w:pPr>
        <w:rPr>
          <w:rFonts w:hint="eastAsia" w:eastAsiaTheme="minorEastAsia"/>
          <w:lang w:eastAsia="zh-CN"/>
        </w:rPr>
      </w:pPr>
    </w:p>
    <w:p w14:paraId="251ACFE0">
      <w:pPr>
        <w:rPr>
          <w:rFonts w:hint="eastAsia" w:eastAsiaTheme="minorEastAsia"/>
          <w:lang w:eastAsia="zh-CN"/>
        </w:rPr>
      </w:pPr>
    </w:p>
    <w:p w14:paraId="44D24E5A">
      <w:pPr>
        <w:rPr>
          <w:rFonts w:hint="eastAsia" w:eastAsiaTheme="minorEastAsia"/>
          <w:lang w:eastAsia="zh-CN"/>
        </w:rPr>
      </w:pPr>
    </w:p>
    <w:p w14:paraId="2329BAB3">
      <w:pPr>
        <w:rPr>
          <w:rFonts w:hint="eastAsia" w:eastAsiaTheme="minorEastAsia"/>
          <w:lang w:eastAsia="zh-CN"/>
        </w:rPr>
      </w:pPr>
    </w:p>
    <w:p w14:paraId="4B2CD780">
      <w:pPr>
        <w:rPr>
          <w:rFonts w:hint="eastAsia" w:eastAsiaTheme="minorEastAsia"/>
          <w:lang w:eastAsia="zh-CN"/>
        </w:rPr>
      </w:pPr>
    </w:p>
    <w:p w14:paraId="582CD094">
      <w:pPr>
        <w:rPr>
          <w:rFonts w:hint="eastAsia" w:eastAsiaTheme="minorEastAsia"/>
          <w:lang w:eastAsia="zh-CN"/>
        </w:rPr>
      </w:pPr>
    </w:p>
    <w:p w14:paraId="19861F52">
      <w:pPr>
        <w:pStyle w:val="2"/>
        <w:numPr>
          <w:ilvl w:val="0"/>
          <w:numId w:val="1"/>
        </w:numPr>
        <w:bidi w:val="0"/>
        <w:rPr>
          <w:rFonts w:hint="eastAsia" w:asciiTheme="majorEastAsia" w:hAnsiTheme="majorEastAsia" w:eastAsiaTheme="majorEastAsia" w:cstheme="majorEastAsia"/>
        </w:rPr>
      </w:pPr>
      <w:bookmarkStart w:id="1" w:name="_Toc18184"/>
      <w:r>
        <w:rPr>
          <w:rFonts w:hint="eastAsia" w:asciiTheme="majorEastAsia" w:hAnsiTheme="majorEastAsia" w:eastAsiaTheme="majorEastAsia" w:cstheme="majorEastAsia"/>
        </w:rPr>
        <w:t>选题依据及研究意义</w:t>
      </w:r>
      <w:bookmarkEnd w:id="1"/>
    </w:p>
    <w:p w14:paraId="55764C66">
      <w:pPr>
        <w:pStyle w:val="7"/>
        <w:numPr>
          <w:ilvl w:val="0"/>
          <w:numId w:val="0"/>
        </w:numPr>
        <w:spacing w:before="156" w:after="156"/>
        <w:ind w:leftChars="0" w:firstLine="420" w:firstLineChars="200"/>
        <w:rPr>
          <w:rFonts w:hint="eastAsia" w:ascii="宋体" w:hAnsi="宋体"/>
          <w:highlight w:val="none"/>
        </w:rPr>
      </w:pPr>
      <w:r>
        <w:rPr>
          <w:rFonts w:hint="eastAsia"/>
        </w:rPr>
        <w:t>石油作为国家战略资源，其科技创新能力直接关系到国家能源安全与经济发展。随着全球能源结构的转型和技术的迭代，科研机构作为技术创新的主体，其学术竞争力和研究方向的演变</w:t>
      </w:r>
      <w:r>
        <w:rPr>
          <w:rFonts w:hint="eastAsia"/>
          <w:lang w:val="en-US" w:eastAsia="zh-CN"/>
        </w:rPr>
        <w:t>也</w:t>
      </w:r>
      <w:r>
        <w:rPr>
          <w:rFonts w:hint="eastAsia"/>
        </w:rPr>
        <w:t>备受</w:t>
      </w:r>
      <w:r>
        <w:rPr>
          <w:rFonts w:hint="eastAsia"/>
          <w:lang w:val="en-US" w:eastAsia="zh-CN"/>
        </w:rPr>
        <w:t>人们</w:t>
      </w:r>
      <w:r>
        <w:rPr>
          <w:rFonts w:hint="eastAsia"/>
        </w:rPr>
        <w:t>关注。当前，海量的学术文献数据中蕴藏着关于</w:t>
      </w:r>
      <w:r>
        <w:rPr>
          <w:rFonts w:hint="eastAsia"/>
          <w:lang w:val="en-US" w:eastAsia="zh-CN"/>
        </w:rPr>
        <w:t>全球石油领域研究机构的</w:t>
      </w:r>
      <w:r>
        <w:rPr>
          <w:rFonts w:hint="eastAsia"/>
        </w:rPr>
        <w:t>科研产出、合作网络及</w:t>
      </w:r>
      <w:r>
        <w:rPr>
          <w:rFonts w:hint="eastAsia"/>
          <w:highlight w:val="none"/>
        </w:rPr>
        <w:t>技术演进的丰富信息。然而，传统的定性评价往往缺乏客观数据支撑，而单一的计量指标又难以全面反映机构的综合实力。</w:t>
      </w:r>
      <w:r>
        <w:rPr>
          <w:rFonts w:hint="eastAsia"/>
          <w:highlight w:val="none"/>
          <w:lang w:val="en-US" w:eastAsia="zh-CN"/>
        </w:rPr>
        <w:t>基于此，</w:t>
      </w:r>
      <w:r>
        <w:rPr>
          <w:rFonts w:hint="eastAsia"/>
          <w:highlight w:val="none"/>
        </w:rPr>
        <w:t>本研究将科学计量学、文本挖掘与复杂网络分析相结合，构建了一套专门针对石油领域的机构影响力评价模型，丰富了科技评价与情报分析的理论方法体系，特别是在特定垂直领域的深度挖掘方面具有探索价值。</w:t>
      </w:r>
      <w:r>
        <w:rPr>
          <w:rFonts w:hint="eastAsia"/>
          <w:highlight w:val="none"/>
          <w:lang w:val="en-US" w:eastAsia="zh-CN"/>
        </w:rPr>
        <w:t>就其实际意义来说，</w:t>
      </w:r>
      <w:r>
        <w:rPr>
          <w:rFonts w:hint="eastAsia"/>
          <w:highlight w:val="none"/>
        </w:rPr>
        <w:t>能够帮助</w:t>
      </w:r>
      <w:r>
        <w:rPr>
          <w:rFonts w:hint="eastAsia"/>
          <w:highlight w:val="none"/>
          <w:lang w:val="en-US" w:eastAsia="zh-CN"/>
        </w:rPr>
        <w:t>科研</w:t>
      </w:r>
      <w:r>
        <w:rPr>
          <w:rFonts w:hint="eastAsia"/>
          <w:highlight w:val="none"/>
        </w:rPr>
        <w:t>机构精准定位自身在全球的学术坐标，识别优势与短板，发现潜在的合作伙伴。对于政策制定者</w:t>
      </w:r>
      <w:r>
        <w:rPr>
          <w:rFonts w:hint="eastAsia"/>
          <w:highlight w:val="none"/>
          <w:lang w:val="en-US" w:eastAsia="zh-CN"/>
        </w:rPr>
        <w:t>而言，</w:t>
      </w:r>
      <w:r>
        <w:rPr>
          <w:rFonts w:hint="eastAsia"/>
          <w:highlight w:val="none"/>
        </w:rPr>
        <w:t>通过揭示全球石油科技的主题演化脉络，有助于国家及相关部门把握技术前沿，优化科研资源配置，制定更具前瞻性的能源科技战略。</w:t>
      </w:r>
      <w:r>
        <w:rPr>
          <w:rFonts w:hint="eastAsia"/>
          <w:highlight w:val="none"/>
          <w:lang w:val="en-US" w:eastAsia="zh-CN"/>
        </w:rPr>
        <w:t>而</w:t>
      </w:r>
      <w:r>
        <w:rPr>
          <w:rFonts w:hint="eastAsia"/>
          <w:highlight w:val="none"/>
        </w:rPr>
        <w:t>对于学科发展</w:t>
      </w:r>
      <w:r>
        <w:rPr>
          <w:rFonts w:hint="eastAsia"/>
          <w:highlight w:val="none"/>
          <w:lang w:val="en-US" w:eastAsia="zh-CN"/>
        </w:rPr>
        <w:t>来说，</w:t>
      </w:r>
      <w:r>
        <w:rPr>
          <w:rFonts w:hint="eastAsia"/>
          <w:highlight w:val="none"/>
        </w:rPr>
        <w:t>有助于梳理石油领域的历史知识图谱，预测未来的技术爆发点，推动学科交叉与创新。</w:t>
      </w:r>
    </w:p>
    <w:p w14:paraId="3E50F657">
      <w:pPr>
        <w:pStyle w:val="7"/>
        <w:numPr>
          <w:ilvl w:val="0"/>
          <w:numId w:val="0"/>
        </w:numPr>
        <w:spacing w:before="156" w:after="156"/>
        <w:ind w:leftChars="0"/>
        <w:rPr>
          <w:rFonts w:hint="eastAsia" w:ascii="宋体" w:hAnsi="宋体"/>
          <w:highlight w:val="none"/>
        </w:rPr>
      </w:pPr>
    </w:p>
    <w:p w14:paraId="390FB555">
      <w:pPr>
        <w:pStyle w:val="2"/>
        <w:numPr>
          <w:ilvl w:val="0"/>
          <w:numId w:val="1"/>
        </w:numPr>
        <w:bidi w:val="0"/>
        <w:rPr>
          <w:rFonts w:hint="eastAsia" w:asciiTheme="majorEastAsia" w:hAnsiTheme="majorEastAsia" w:eastAsiaTheme="majorEastAsia" w:cstheme="majorEastAsia"/>
          <w:b/>
        </w:rPr>
      </w:pPr>
      <w:bookmarkStart w:id="2" w:name="_Toc20838"/>
      <w:r>
        <w:rPr>
          <w:rFonts w:hint="eastAsia" w:asciiTheme="majorEastAsia" w:hAnsiTheme="majorEastAsia" w:eastAsiaTheme="majorEastAsia" w:cstheme="majorEastAsia"/>
          <w:b/>
        </w:rPr>
        <w:t>国内外研究现状及存在问题</w:t>
      </w:r>
      <w:bookmarkEnd w:id="2"/>
    </w:p>
    <w:p w14:paraId="72B8AA59">
      <w:pPr>
        <w:pStyle w:val="7"/>
        <w:numPr>
          <w:ilvl w:val="0"/>
          <w:numId w:val="0"/>
        </w:numPr>
        <w:spacing w:before="156" w:after="156"/>
        <w:ind w:leftChars="0" w:firstLine="420" w:firstLineChars="200"/>
        <w:rPr>
          <w:rFonts w:hint="eastAsia"/>
        </w:rPr>
      </w:pPr>
      <w:r>
        <w:rPr>
          <w:rFonts w:hint="eastAsia"/>
        </w:rPr>
        <w:t>近年来，国内外关于科研机构影响力评价及趋势分析的研究持续增多，科学计量学、数据挖掘等方法在该领域的应用已取得显著成果。国内研究方面，张芹等依托SCIE和ESI数据库，对比中国石油大学北京、华东两校区的论文数量、被引情况及国际国内合作现状，结合ESI标尺数据剖析两校区学科发展态势；贾珍臻等从科研生产力、科研影响力、科研创新力、论文合作情况以及载文期刊质量等方面，对不同高校在地质资源与地质工程学科领域的科研绩效展开对比分析，为特定学科或单一机构群的评价提供了实践参考。</w:t>
      </w:r>
    </w:p>
    <w:p w14:paraId="78A4583E">
      <w:pPr>
        <w:pStyle w:val="7"/>
        <w:numPr>
          <w:ilvl w:val="0"/>
          <w:numId w:val="0"/>
        </w:numPr>
        <w:spacing w:before="156" w:after="156"/>
        <w:ind w:leftChars="0" w:firstLine="420" w:firstLineChars="200"/>
        <w:rPr>
          <w:rFonts w:hint="eastAsia"/>
        </w:rPr>
      </w:pPr>
      <w:r>
        <w:rPr>
          <w:rFonts w:hint="eastAsia"/>
        </w:rPr>
        <w:t>国外研究层面，相关</w:t>
      </w:r>
      <w:r>
        <w:rPr>
          <w:rFonts w:hint="eastAsia"/>
          <w:lang w:val="en-US" w:eastAsia="zh-CN"/>
        </w:rPr>
        <w:t>研究</w:t>
      </w:r>
      <w:r>
        <w:rPr>
          <w:rFonts w:hint="eastAsia"/>
        </w:rPr>
        <w:t>更注重评价维度的系统性与方法的批判性反思。Schlögl等在科学计量学评价研究中指出，全球高校排名及机构评价多依赖出版物和引文指标，但这些指标的选取与组合往往缺乏实证依据，具有一定主观性。其研究识别出科研产出评价的9个核心维度（包括时间周期、机构规模、代表人员范围、数据源、语言、文献类型及权重等）和科研影响力评价的14个维度（涵盖引文时间周期、自引处理、合作引文计数等），通过对两所大学院系的案例分析发现，仅改变单一维度的属性</w:t>
      </w:r>
      <w:r>
        <w:rPr>
          <w:rFonts w:hint="eastAsia"/>
          <w:lang w:eastAsia="zh-CN"/>
        </w:rPr>
        <w:t>，</w:t>
      </w:r>
      <w:r>
        <w:rPr>
          <w:rFonts w:hint="eastAsia"/>
        </w:rPr>
        <w:t>如数据源从Web of Science切换为Scopus或Google Scholar、合作作者计数方式从整体计数改为分数计数，就可能导致机构排名结果产生显著差异。此外，国外研究普遍关注现有评价体系的缺陷，例如多数全球大学排名未充分考虑机构规模差异，采用整体计数而非分数计数法核算合作成果，且过度依赖单一数据源导致文献覆盖不全，这些问题使得评价结果的公平性和有效性受到质疑。同时，部分国外研究聚焦不同维度属性对评价结果的影响，如时间周期选择、文献类型权重分配、语言偏好等，为评价体系的优化提供了细致参考。</w:t>
      </w:r>
    </w:p>
    <w:p w14:paraId="3BE5038F">
      <w:pPr>
        <w:pStyle w:val="7"/>
        <w:numPr>
          <w:ilvl w:val="0"/>
          <w:numId w:val="0"/>
        </w:numPr>
        <w:spacing w:before="156" w:after="156"/>
        <w:ind w:leftChars="0" w:firstLine="420" w:firstLineChars="200"/>
        <w:rPr>
          <w:rFonts w:hint="eastAsia"/>
        </w:rPr>
      </w:pPr>
      <w:r>
        <w:rPr>
          <w:rFonts w:hint="eastAsia"/>
        </w:rPr>
        <w:t>然而，现有研究仍存在明显不足：一是地域覆盖局限，国内研究多聚焦单一机构或特定国家的个案分析，国外研究虽涉及排名体系批判，但针对全球石油领域这类垂直细分领域的跨区域、多类型机构综合比较仍较为匮乏；二是数据利用与评价维度欠缺，多数研究未能充分挖掘高质量期刊数据的价值，侧重论文数量、被引频次等量化指标的统计，忽视了机构规模差异、合作质量、文献类型权重、自引过滤等影响评价公平性的关键因素，且对不同机构类型的差异性考虑不足；三是</w:t>
      </w:r>
      <w:r>
        <w:rPr>
          <w:rFonts w:hint="eastAsia"/>
          <w:lang w:val="en-US" w:eastAsia="zh-CN"/>
        </w:rPr>
        <w:t>研究内容脱节</w:t>
      </w:r>
      <w:r>
        <w:rPr>
          <w:rFonts w:hint="eastAsia"/>
        </w:rPr>
        <w:t>，现有成果多将影响力评价与主题演化分析分开开展，未能深入探讨不同层级、不同类型机构在研究主题选择上的差异及其对学术影响力的正向或反向作用。因此，如何整合科学计量学的多维评价视角，基于高质量文献构建兼顾公平性与针对性的评价体系，并实现影响力评价与主题演化分析的深度融合，成为当前全球垂直领域机构研究的关键挑战。</w:t>
      </w:r>
    </w:p>
    <w:p w14:paraId="07AD9161">
      <w:pPr>
        <w:pStyle w:val="7"/>
        <w:numPr>
          <w:ilvl w:val="0"/>
          <w:numId w:val="0"/>
        </w:numPr>
        <w:spacing w:before="156" w:after="156"/>
        <w:ind w:leftChars="0" w:firstLine="420" w:firstLineChars="200"/>
        <w:rPr>
          <w:rFonts w:hint="eastAsia"/>
          <w:lang w:eastAsia="zh-CN"/>
        </w:rPr>
      </w:pPr>
    </w:p>
    <w:p w14:paraId="069A27E7">
      <w:pPr>
        <w:pStyle w:val="2"/>
        <w:numPr>
          <w:ilvl w:val="0"/>
          <w:numId w:val="1"/>
        </w:numPr>
        <w:bidi w:val="0"/>
        <w:rPr>
          <w:rFonts w:hint="eastAsia" w:asciiTheme="majorEastAsia" w:hAnsiTheme="majorEastAsia" w:eastAsiaTheme="majorEastAsia" w:cstheme="majorEastAsia"/>
        </w:rPr>
      </w:pPr>
      <w:bookmarkStart w:id="3" w:name="_Toc30762"/>
      <w:r>
        <w:rPr>
          <w:rFonts w:hint="eastAsia" w:asciiTheme="majorEastAsia" w:hAnsiTheme="majorEastAsia" w:eastAsiaTheme="majorEastAsia" w:cstheme="majorEastAsia"/>
        </w:rPr>
        <w:t>课题研究主要内容及研究方法</w:t>
      </w:r>
      <w:bookmarkEnd w:id="3"/>
    </w:p>
    <w:p w14:paraId="5725491A">
      <w:pPr>
        <w:pStyle w:val="3"/>
        <w:bidi w:val="0"/>
        <w:rPr>
          <w:rFonts w:hint="eastAsia" w:asciiTheme="majorEastAsia" w:hAnsiTheme="majorEastAsia" w:eastAsiaTheme="majorEastAsia" w:cstheme="majorEastAsia"/>
        </w:rPr>
      </w:pPr>
      <w:r>
        <w:rPr>
          <w:rFonts w:hint="eastAsia" w:asciiTheme="majorEastAsia" w:hAnsiTheme="majorEastAsia" w:eastAsiaTheme="majorEastAsia" w:cstheme="majorEastAsia"/>
        </w:rPr>
        <w:t xml:space="preserve"> </w:t>
      </w:r>
      <w:bookmarkStart w:id="4" w:name="_Toc22838"/>
      <w:r>
        <w:rPr>
          <w:rFonts w:hint="eastAsia" w:asciiTheme="majorEastAsia" w:hAnsiTheme="majorEastAsia" w:eastAsiaTheme="majorEastAsia" w:cstheme="majorEastAsia"/>
        </w:rPr>
        <w:t>3.1 研究主要内容</w:t>
      </w:r>
      <w:bookmarkEnd w:id="4"/>
      <w:r>
        <w:rPr>
          <w:rFonts w:hint="eastAsia" w:asciiTheme="majorEastAsia" w:hAnsiTheme="majorEastAsia" w:eastAsiaTheme="majorEastAsia" w:cstheme="majorEastAsia"/>
        </w:rPr>
        <w:t xml:space="preserve"> </w:t>
      </w:r>
    </w:p>
    <w:p w14:paraId="72980A18">
      <w:pPr>
        <w:pStyle w:val="4"/>
        <w:bidi w:val="0"/>
        <w:rPr>
          <w:rFonts w:hint="eastAsia" w:asciiTheme="majorEastAsia" w:hAnsiTheme="majorEastAsia" w:eastAsiaTheme="majorEastAsia" w:cstheme="majorEastAsia"/>
        </w:rPr>
      </w:pPr>
      <w:r>
        <w:rPr>
          <w:rFonts w:hint="eastAsia" w:asciiTheme="majorEastAsia" w:hAnsiTheme="majorEastAsia" w:eastAsiaTheme="majorEastAsia" w:cstheme="majorEastAsia"/>
        </w:rPr>
        <w:t>（1）高质量文献数据集的构建</w:t>
      </w:r>
    </w:p>
    <w:p w14:paraId="03D29C10">
      <w:pPr>
        <w:pStyle w:val="7"/>
        <w:numPr>
          <w:ilvl w:val="0"/>
          <w:numId w:val="0"/>
        </w:numPr>
        <w:spacing w:before="156" w:after="156"/>
        <w:ind w:leftChars="0" w:firstLine="420" w:firstLineChars="200"/>
        <w:rPr>
          <w:rFonts w:hint="eastAsia" w:ascii="宋体" w:hAnsi="宋体"/>
        </w:rPr>
      </w:pPr>
      <w:r>
        <w:rPr>
          <w:rFonts w:hint="eastAsia" w:ascii="宋体" w:hAnsi="宋体"/>
        </w:rPr>
        <w:t>本研究以中国科协发布的《石油领域高质量科技期刊分级目录》为核心依据，精准筛选出目录内</w:t>
      </w:r>
      <w:r>
        <w:rPr>
          <w:rFonts w:hint="eastAsia" w:ascii="宋体" w:hAnsi="宋体"/>
          <w:lang w:val="en-US" w:eastAsia="zh-CN"/>
        </w:rPr>
        <w:t>标注出的高质量</w:t>
      </w:r>
      <w:r>
        <w:rPr>
          <w:rFonts w:hint="eastAsia" w:ascii="宋体" w:hAnsi="宋体"/>
        </w:rPr>
        <w:t>期刊作为基础数据来源，整合CSCD、CNKI、DBdata等数据库的文献资源，实现多源数据的互补覆盖。通过限定近10-15年（2011-2025）石油领域主题文献的检索范围，系统采集论文题录（含作者单位、发表时间、期刊名称）、引文数据及摘要内容，并对数据进行去重、格式统一、字段补全</w:t>
      </w:r>
      <w:r>
        <w:rPr>
          <w:rFonts w:hint="eastAsia" w:ascii="宋体" w:hAnsi="宋体"/>
          <w:lang w:val="en-US" w:eastAsia="zh-CN"/>
        </w:rPr>
        <w:t>的</w:t>
      </w:r>
      <w:r>
        <w:rPr>
          <w:rFonts w:hint="eastAsia" w:ascii="宋体" w:hAnsi="宋体"/>
        </w:rPr>
        <w:t>处理，构建一套来源权威</w:t>
      </w:r>
      <w:r>
        <w:rPr>
          <w:rFonts w:hint="eastAsia" w:ascii="宋体" w:hAnsi="宋体"/>
          <w:lang w:val="en-US" w:eastAsia="zh-CN"/>
        </w:rPr>
        <w:t>明晰</w:t>
      </w:r>
      <w:r>
        <w:rPr>
          <w:rFonts w:hint="eastAsia" w:ascii="宋体" w:hAnsi="宋体"/>
        </w:rPr>
        <w:t>、主题聚焦、字段完整的</w:t>
      </w:r>
      <w:r>
        <w:rPr>
          <w:rFonts w:hint="eastAsia" w:ascii="宋体" w:hAnsi="宋体"/>
          <w:lang w:val="en-US" w:eastAsia="zh-CN"/>
        </w:rPr>
        <w:t>石油领域</w:t>
      </w:r>
      <w:r>
        <w:rPr>
          <w:rFonts w:hint="eastAsia" w:ascii="宋体" w:hAnsi="宋体"/>
        </w:rPr>
        <w:t>高质量文献数据集，为后续机构筛选与分析提供数据支撑。</w:t>
      </w:r>
    </w:p>
    <w:p w14:paraId="4A3CA882">
      <w:pPr>
        <w:pStyle w:val="4"/>
        <w:numPr>
          <w:ilvl w:val="0"/>
          <w:numId w:val="2"/>
        </w:numPr>
        <w:bidi w:val="0"/>
        <w:rPr>
          <w:rFonts w:hint="eastAsia" w:asciiTheme="majorEastAsia" w:hAnsiTheme="majorEastAsia" w:eastAsiaTheme="majorEastAsia" w:cstheme="majorEastAsia"/>
        </w:rPr>
      </w:pPr>
      <w:r>
        <w:rPr>
          <w:rFonts w:hint="eastAsia" w:asciiTheme="majorEastAsia" w:hAnsiTheme="majorEastAsia" w:eastAsiaTheme="majorEastAsia" w:cstheme="majorEastAsia"/>
        </w:rPr>
        <w:t>学术影响</w:t>
      </w:r>
      <w:r>
        <w:rPr>
          <w:rFonts w:hint="eastAsia" w:asciiTheme="majorEastAsia" w:hAnsiTheme="majorEastAsia" w:eastAsiaTheme="majorEastAsia" w:cstheme="majorEastAsia"/>
          <w:lang w:val="en-US" w:eastAsia="zh-CN"/>
        </w:rPr>
        <w:t>力</w:t>
      </w:r>
      <w:r>
        <w:rPr>
          <w:rFonts w:hint="eastAsia" w:asciiTheme="majorEastAsia" w:hAnsiTheme="majorEastAsia" w:eastAsiaTheme="majorEastAsia" w:cstheme="majorEastAsia"/>
        </w:rPr>
        <w:t>量化分析</w:t>
      </w:r>
    </w:p>
    <w:p w14:paraId="0F542876">
      <w:pPr>
        <w:pStyle w:val="7"/>
        <w:numPr>
          <w:ilvl w:val="0"/>
          <w:numId w:val="0"/>
        </w:numPr>
        <w:spacing w:before="156" w:after="156"/>
        <w:ind w:firstLine="420" w:firstLineChars="200"/>
        <w:rPr>
          <w:rFonts w:hint="eastAsia" w:ascii="宋体" w:hAnsi="宋体"/>
        </w:rPr>
      </w:pPr>
      <w:r>
        <w:rPr>
          <w:rFonts w:hint="eastAsia" w:ascii="宋体" w:hAnsi="宋体"/>
        </w:rPr>
        <w:t>本研究从科研产出、学术影响、国际合作三个维度，构建量化指标体系，全面评估全球石油领域研究机构的学术表现：</w:t>
      </w:r>
    </w:p>
    <w:p w14:paraId="3B92BF92">
      <w:pPr>
        <w:pStyle w:val="7"/>
        <w:numPr>
          <w:ilvl w:val="0"/>
          <w:numId w:val="0"/>
        </w:numPr>
        <w:spacing w:before="156" w:after="156"/>
        <w:ind w:firstLine="420" w:firstLineChars="200"/>
        <w:rPr>
          <w:rFonts w:hint="eastAsia" w:ascii="宋体" w:hAnsi="宋体"/>
        </w:rPr>
      </w:pPr>
      <w:r>
        <w:rPr>
          <w:rFonts w:hint="eastAsia" w:ascii="宋体" w:hAnsi="宋体"/>
          <w:lang w:val="en-US" w:eastAsia="zh-CN"/>
        </w:rPr>
        <w:t>①</w:t>
      </w:r>
      <w:r>
        <w:rPr>
          <w:rFonts w:hint="eastAsia" w:ascii="宋体" w:hAnsi="宋体"/>
        </w:rPr>
        <w:t>科研产出维度：</w:t>
      </w:r>
      <w:r>
        <w:rPr>
          <w:rFonts w:hint="eastAsia" w:ascii="宋体" w:hAnsi="宋体"/>
          <w:lang w:val="en-US" w:eastAsia="zh-CN"/>
        </w:rPr>
        <w:t>兼顾质量与数量，</w:t>
      </w:r>
      <w:r>
        <w:rPr>
          <w:rFonts w:hint="eastAsia" w:ascii="宋体" w:hAnsi="宋体"/>
        </w:rPr>
        <w:t>统计</w:t>
      </w:r>
      <w:r>
        <w:rPr>
          <w:rFonts w:hint="eastAsia" w:ascii="宋体" w:hAnsi="宋体"/>
          <w:lang w:val="en-US" w:eastAsia="zh-CN"/>
        </w:rPr>
        <w:t>科研</w:t>
      </w:r>
      <w:r>
        <w:rPr>
          <w:rFonts w:hint="eastAsia" w:ascii="宋体" w:hAnsi="宋体"/>
        </w:rPr>
        <w:t>机构在目标期刊的论文总量、核心作者论文占比、石油主题论文占比，同时区分原创性研究论文、综述类文献的占比差异，避免单一数量统计的局限性；</w:t>
      </w:r>
    </w:p>
    <w:p w14:paraId="3DC566C1">
      <w:pPr>
        <w:pStyle w:val="7"/>
        <w:numPr>
          <w:ilvl w:val="0"/>
          <w:numId w:val="0"/>
        </w:numPr>
        <w:spacing w:before="156" w:after="156"/>
        <w:ind w:firstLine="420" w:firstLineChars="200"/>
        <w:rPr>
          <w:rFonts w:hint="eastAsia" w:ascii="宋体" w:hAnsi="宋体"/>
        </w:rPr>
      </w:pPr>
      <w:r>
        <w:rPr>
          <w:rFonts w:hint="eastAsia" w:ascii="宋体" w:hAnsi="宋体"/>
          <w:lang w:val="en-US" w:eastAsia="zh-CN"/>
        </w:rPr>
        <w:t>②</w:t>
      </w:r>
      <w:r>
        <w:rPr>
          <w:rFonts w:hint="eastAsia" w:ascii="宋体" w:hAnsi="宋体"/>
        </w:rPr>
        <w:t>学术影响维度：</w:t>
      </w:r>
      <w:r>
        <w:rPr>
          <w:rFonts w:hint="eastAsia" w:ascii="宋体" w:hAnsi="宋体"/>
          <w:lang w:val="en-US" w:eastAsia="zh-CN"/>
        </w:rPr>
        <w:t>兼顾</w:t>
      </w:r>
      <w:r>
        <w:rPr>
          <w:rFonts w:hint="eastAsia" w:ascii="宋体" w:hAnsi="宋体"/>
        </w:rPr>
        <w:t>传播度</w:t>
      </w:r>
      <w:r>
        <w:rPr>
          <w:rFonts w:hint="eastAsia" w:ascii="宋体" w:hAnsi="宋体"/>
          <w:lang w:val="en-US" w:eastAsia="zh-CN"/>
        </w:rPr>
        <w:t>和</w:t>
      </w:r>
      <w:r>
        <w:rPr>
          <w:rFonts w:hint="eastAsia" w:ascii="宋体" w:hAnsi="宋体"/>
        </w:rPr>
        <w:t>认可度，计算机构论文的总被引频次、篇均被引、高被引论文数量，同时引入机构级H指数、被引半衰期等指标；</w:t>
      </w:r>
      <w:bookmarkStart w:id="15" w:name="_GoBack"/>
      <w:bookmarkEnd w:id="15"/>
    </w:p>
    <w:p w14:paraId="15E705EC">
      <w:pPr>
        <w:pStyle w:val="7"/>
        <w:numPr>
          <w:ilvl w:val="0"/>
          <w:numId w:val="0"/>
        </w:numPr>
        <w:spacing w:before="156" w:after="156"/>
        <w:ind w:firstLine="420" w:firstLineChars="200"/>
        <w:rPr>
          <w:rFonts w:hint="eastAsia" w:ascii="宋体" w:hAnsi="宋体"/>
        </w:rPr>
      </w:pPr>
      <w:r>
        <w:rPr>
          <w:rFonts w:hint="eastAsia" w:ascii="宋体" w:hAnsi="宋体"/>
          <w:lang w:val="en-US" w:eastAsia="zh-CN"/>
        </w:rPr>
        <w:t>③</w:t>
      </w:r>
      <w:r>
        <w:rPr>
          <w:rFonts w:hint="eastAsia" w:ascii="宋体" w:hAnsi="宋体"/>
        </w:rPr>
        <w:t>国际合作维度：</w:t>
      </w:r>
      <w:r>
        <w:rPr>
          <w:rFonts w:hint="eastAsia" w:ascii="宋体" w:hAnsi="宋体"/>
          <w:lang w:val="en-US" w:eastAsia="zh-CN"/>
        </w:rPr>
        <w:t>兼顾合作</w:t>
      </w:r>
      <w:r>
        <w:rPr>
          <w:rFonts w:hint="eastAsia" w:ascii="宋体" w:hAnsi="宋体"/>
        </w:rPr>
        <w:t>网络</w:t>
      </w:r>
      <w:r>
        <w:rPr>
          <w:rFonts w:hint="eastAsia" w:ascii="宋体" w:hAnsi="宋体"/>
          <w:lang w:val="en-US" w:eastAsia="zh-CN"/>
        </w:rPr>
        <w:t>和</w:t>
      </w:r>
      <w:r>
        <w:rPr>
          <w:rFonts w:hint="eastAsia" w:ascii="宋体" w:hAnsi="宋体"/>
        </w:rPr>
        <w:t>合作质量，统计机构的国际合作论文数、合作国家</w:t>
      </w:r>
      <w:r>
        <w:rPr>
          <w:rFonts w:hint="eastAsia" w:ascii="宋体" w:hAnsi="宋体"/>
          <w:lang w:val="en-US" w:eastAsia="zh-CN"/>
        </w:rPr>
        <w:t>/</w:t>
      </w:r>
      <w:r>
        <w:rPr>
          <w:rFonts w:hint="eastAsia" w:ascii="宋体" w:hAnsi="宋体"/>
        </w:rPr>
        <w:t>地区覆盖数，同时识别其与全球</w:t>
      </w:r>
      <w:r>
        <w:rPr>
          <w:rFonts w:hint="eastAsia" w:ascii="宋体" w:hAnsi="宋体"/>
          <w:lang w:val="en-US" w:eastAsia="zh-CN"/>
        </w:rPr>
        <w:t>顶级</w:t>
      </w:r>
      <w:r>
        <w:rPr>
          <w:rFonts w:hint="eastAsia" w:ascii="宋体" w:hAnsi="宋体"/>
        </w:rPr>
        <w:t>石油</w:t>
      </w:r>
      <w:r>
        <w:rPr>
          <w:rFonts w:hint="eastAsia" w:ascii="宋体" w:hAnsi="宋体"/>
          <w:lang w:val="en-US" w:eastAsia="zh-CN"/>
        </w:rPr>
        <w:t>科研</w:t>
      </w:r>
      <w:r>
        <w:rPr>
          <w:rFonts w:hint="eastAsia" w:ascii="宋体" w:hAnsi="宋体"/>
        </w:rPr>
        <w:t>机构的合作频次，刻画机构在国际学术网络中的协作能力。通过该维度的量化分析，清晰定位各机构在全球学术竞争中的层级，明确其在产出效率、成果影响力、国际协作方面的优势与短板。</w:t>
      </w:r>
    </w:p>
    <w:p w14:paraId="68FC8C4E">
      <w:pPr>
        <w:pStyle w:val="4"/>
        <w:numPr>
          <w:ilvl w:val="0"/>
          <w:numId w:val="2"/>
        </w:numPr>
        <w:bidi w:val="0"/>
        <w:rPr>
          <w:rFonts w:hint="eastAsia" w:asciiTheme="majorEastAsia" w:hAnsiTheme="majorEastAsia" w:eastAsiaTheme="majorEastAsia" w:cstheme="majorEastAsia"/>
        </w:rPr>
      </w:pPr>
      <w:r>
        <w:rPr>
          <w:rFonts w:hint="eastAsia" w:asciiTheme="majorEastAsia" w:hAnsiTheme="majorEastAsia" w:eastAsiaTheme="majorEastAsia" w:cstheme="majorEastAsia"/>
        </w:rPr>
        <w:t>学术影响力评价体系的构建</w:t>
      </w:r>
    </w:p>
    <w:p w14:paraId="48F53DC6">
      <w:pPr>
        <w:pStyle w:val="7"/>
        <w:numPr>
          <w:ilvl w:val="0"/>
          <w:numId w:val="0"/>
        </w:numPr>
        <w:spacing w:before="156" w:after="156"/>
        <w:ind w:leftChars="0" w:firstLine="420" w:firstLineChars="200"/>
        <w:rPr>
          <w:rFonts w:hint="eastAsia" w:ascii="宋体" w:hAnsi="宋体"/>
        </w:rPr>
      </w:pPr>
      <w:r>
        <w:rPr>
          <w:rFonts w:hint="eastAsia" w:ascii="宋体" w:hAnsi="宋体"/>
        </w:rPr>
        <w:t>基于科研产出、学术影响、国际合作</w:t>
      </w:r>
      <w:r>
        <w:rPr>
          <w:rFonts w:hint="eastAsia" w:ascii="宋体" w:hAnsi="宋体"/>
          <w:lang w:val="en-US" w:eastAsia="zh-CN"/>
        </w:rPr>
        <w:t>的</w:t>
      </w:r>
      <w:r>
        <w:rPr>
          <w:rFonts w:hint="eastAsia" w:ascii="宋体" w:hAnsi="宋体"/>
        </w:rPr>
        <w:t>三</w:t>
      </w:r>
      <w:r>
        <w:rPr>
          <w:rFonts w:hint="eastAsia" w:ascii="宋体" w:hAnsi="宋体"/>
          <w:lang w:val="en-US" w:eastAsia="zh-CN"/>
        </w:rPr>
        <w:t>个</w:t>
      </w:r>
      <w:r>
        <w:rPr>
          <w:rFonts w:hint="eastAsia" w:ascii="宋体" w:hAnsi="宋体"/>
        </w:rPr>
        <w:t>维度指标，构建一套适配石油领域的学术影响力评价体系：首先通过德尔菲法</w:t>
      </w:r>
      <w:r>
        <w:rPr>
          <w:rFonts w:hint="eastAsia" w:ascii="宋体" w:hAnsi="宋体"/>
          <w:lang w:eastAsia="zh-CN"/>
        </w:rPr>
        <w:t>，</w:t>
      </w:r>
      <w:r>
        <w:rPr>
          <w:rFonts w:hint="eastAsia" w:ascii="宋体" w:hAnsi="宋体"/>
          <w:lang w:val="en-US" w:eastAsia="zh-CN"/>
        </w:rPr>
        <w:t>结合</w:t>
      </w:r>
      <w:r>
        <w:rPr>
          <w:rFonts w:hint="eastAsia" w:ascii="宋体" w:hAnsi="宋体"/>
        </w:rPr>
        <w:t>石油领域专家对各指标的重要性</w:t>
      </w:r>
      <w:r>
        <w:rPr>
          <w:rFonts w:hint="eastAsia" w:ascii="宋体" w:hAnsi="宋体"/>
          <w:lang w:val="en-US" w:eastAsia="zh-CN"/>
        </w:rPr>
        <w:t>的评估</w:t>
      </w:r>
      <w:r>
        <w:rPr>
          <w:rFonts w:hint="eastAsia" w:ascii="宋体" w:hAnsi="宋体"/>
        </w:rPr>
        <w:t>，利用数据自身离散度</w:t>
      </w:r>
      <w:r>
        <w:rPr>
          <w:rFonts w:hint="eastAsia" w:ascii="宋体" w:hAnsi="宋体"/>
          <w:lang w:val="en-US" w:eastAsia="zh-CN"/>
        </w:rPr>
        <w:t>通过熵权法</w:t>
      </w:r>
      <w:r>
        <w:rPr>
          <w:rFonts w:hint="eastAsia" w:ascii="宋体" w:hAnsi="宋体"/>
        </w:rPr>
        <w:t>确定指标权重，避免主观赋值偏差；随后对各机构的三维度指标进行归一化处理，计算综合得分并完成全球石油领域研究机构的学术竞争力排名；最后依据得分分布，将机构划分为头部引领型、中坚创新型、特色细分型三个层级，为后续主题演化的分层对比提供基础。</w:t>
      </w:r>
    </w:p>
    <w:p w14:paraId="4428A413">
      <w:pPr>
        <w:pStyle w:val="4"/>
        <w:numPr>
          <w:ilvl w:val="0"/>
          <w:numId w:val="2"/>
        </w:numPr>
        <w:bidi w:val="0"/>
        <w:rPr>
          <w:rFonts w:hint="eastAsia" w:asciiTheme="majorEastAsia" w:hAnsiTheme="majorEastAsia" w:eastAsiaTheme="majorEastAsia" w:cstheme="majorEastAsia"/>
        </w:rPr>
      </w:pPr>
      <w:r>
        <w:rPr>
          <w:rFonts w:hint="eastAsia" w:asciiTheme="majorEastAsia" w:hAnsiTheme="majorEastAsia" w:eastAsiaTheme="majorEastAsia" w:cstheme="majorEastAsia"/>
        </w:rPr>
        <w:t>研究主题动态演化分析</w:t>
      </w:r>
    </w:p>
    <w:p w14:paraId="068BA6AE">
      <w:pPr>
        <w:pStyle w:val="7"/>
        <w:numPr>
          <w:ilvl w:val="0"/>
          <w:numId w:val="0"/>
        </w:numPr>
        <w:spacing w:before="156" w:after="156"/>
        <w:ind w:leftChars="0" w:firstLine="420" w:firstLineChars="200"/>
        <w:rPr>
          <w:rFonts w:hint="eastAsia" w:ascii="宋体" w:hAnsi="宋体"/>
        </w:rPr>
      </w:pPr>
      <w:r>
        <w:rPr>
          <w:rFonts w:hint="eastAsia" w:ascii="宋体" w:hAnsi="宋体"/>
        </w:rPr>
        <w:t>依托构建的高质量文献数据集，运用自然语言处理与主题建模技术，开展石油领域研究主题的动态演化分析：首先对论文摘要进行分词、去停用词、词频统计等预处理，构建领域专属词库；随后采用LDA（潜在狄利克雷分配）主题模型，分2011-2015、2016-2020、2021-2025三个阶段训练模型，生成各阶段的主题-关键词分布，识别不同时期的研究热点；同时针对高校/科研院所、企业研发中心、国际组织三类机构，分别提取其各阶段的主题分布，对比不同类型机构的研究方向差异与转变趋势，进而梳理石油领域技术创新的学术脉络。</w:t>
      </w:r>
    </w:p>
    <w:p w14:paraId="7106759B">
      <w:pPr>
        <w:pStyle w:val="4"/>
        <w:numPr>
          <w:ilvl w:val="0"/>
          <w:numId w:val="2"/>
        </w:numPr>
        <w:bidi w:val="0"/>
        <w:rPr>
          <w:rFonts w:hint="eastAsia" w:asciiTheme="majorEastAsia" w:hAnsiTheme="majorEastAsia" w:eastAsiaTheme="majorEastAsia" w:cstheme="majorEastAsia"/>
        </w:rPr>
      </w:pPr>
      <w:r>
        <w:rPr>
          <w:rFonts w:hint="eastAsia" w:asciiTheme="majorEastAsia" w:hAnsiTheme="majorEastAsia" w:eastAsiaTheme="majorEastAsia" w:cstheme="majorEastAsia"/>
        </w:rPr>
        <w:t>策略性讨论与政策建议</w:t>
      </w:r>
    </w:p>
    <w:p w14:paraId="653BF590">
      <w:pPr>
        <w:pStyle w:val="7"/>
        <w:numPr>
          <w:ilvl w:val="0"/>
          <w:numId w:val="0"/>
        </w:numPr>
        <w:spacing w:before="156" w:after="156"/>
        <w:ind w:leftChars="0" w:firstLine="420" w:firstLineChars="200"/>
        <w:rPr>
          <w:rFonts w:hint="eastAsia" w:ascii="宋体" w:hAnsi="宋体"/>
        </w:rPr>
      </w:pPr>
      <w:r>
        <w:rPr>
          <w:rFonts w:hint="eastAsia" w:ascii="宋体" w:hAnsi="宋体"/>
        </w:rPr>
        <w:t>结合学术影响力评估结果与主题演化分析结论，从机构类型-资源配置-战略定位的关联视角展开策略性讨论：对比头部机构与特色机构的主题选择，同时结合不同机构的资源投入</w:t>
      </w:r>
      <w:r>
        <w:rPr>
          <w:rFonts w:hint="eastAsia" w:ascii="宋体" w:hAnsi="宋体"/>
          <w:lang w:eastAsia="zh-CN"/>
        </w:rPr>
        <w:t>，</w:t>
      </w:r>
      <w:r>
        <w:rPr>
          <w:rFonts w:hint="eastAsia" w:ascii="宋体" w:hAnsi="宋体"/>
        </w:rPr>
        <w:t>如企业研发机构的技术转化资源、高校的基础研究资源，探讨资源配置方式对主题选择及学术影响力的作用机制。最终针对不同类型机构提出差异化建议，为行业科研能力提升提供参考。</w:t>
      </w:r>
    </w:p>
    <w:p w14:paraId="2095A6EA">
      <w:pPr>
        <w:pStyle w:val="3"/>
        <w:bidi w:val="0"/>
        <w:rPr>
          <w:rFonts w:hint="eastAsia" w:asciiTheme="majorEastAsia" w:hAnsiTheme="majorEastAsia" w:eastAsiaTheme="majorEastAsia" w:cstheme="majorEastAsia"/>
        </w:rPr>
      </w:pPr>
      <w:bookmarkStart w:id="5" w:name="_Toc312"/>
      <w:r>
        <w:rPr>
          <w:rFonts w:hint="eastAsia" w:asciiTheme="majorEastAsia" w:hAnsiTheme="majorEastAsia" w:eastAsiaTheme="majorEastAsia" w:cstheme="majorEastAsia"/>
        </w:rPr>
        <w:t>3.2 研究方法</w:t>
      </w:r>
      <w:bookmarkEnd w:id="5"/>
    </w:p>
    <w:p w14:paraId="250F96A1">
      <w:pPr>
        <w:pStyle w:val="3"/>
        <w:bidi w:val="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（1）文献计量法</w:t>
      </w:r>
    </w:p>
    <w:p w14:paraId="7E603266">
      <w:pPr>
        <w:pStyle w:val="7"/>
        <w:numPr>
          <w:ilvl w:val="0"/>
          <w:numId w:val="0"/>
        </w:numPr>
        <w:spacing w:before="156" w:after="156"/>
        <w:ind w:firstLine="420" w:firstLineChars="0"/>
        <w:rPr>
          <w:rFonts w:hint="eastAsia" w:ascii="宋体" w:hAnsi="宋体"/>
        </w:rPr>
      </w:pPr>
      <w:r>
        <w:rPr>
          <w:rFonts w:hint="eastAsia" w:ascii="宋体" w:hAnsi="宋体"/>
        </w:rPr>
        <w:t>系统统计</w:t>
      </w:r>
      <w:r>
        <w:rPr>
          <w:rFonts w:hint="eastAsia" w:ascii="宋体" w:hAnsi="宋体"/>
          <w:lang w:val="en-US" w:eastAsia="zh-CN"/>
        </w:rPr>
        <w:t>研究机构</w:t>
      </w:r>
      <w:r>
        <w:rPr>
          <w:rFonts w:hint="eastAsia" w:ascii="宋体" w:hAnsi="宋体"/>
        </w:rPr>
        <w:t>的论文产出数量、作者单位分布、引文关系网络及国际合作频次，量化刻画机构的学术生产、成果传播与协作网络特征，为影响力评价提供基础数据支撑。</w:t>
      </w:r>
    </w:p>
    <w:p w14:paraId="5D69F291">
      <w:pPr>
        <w:pStyle w:val="4"/>
        <w:numPr>
          <w:ilvl w:val="0"/>
          <w:numId w:val="3"/>
        </w:numPr>
        <w:bidi w:val="0"/>
        <w:rPr>
          <w:rFonts w:hint="eastAsia" w:asciiTheme="majorEastAsia" w:hAnsiTheme="majorEastAsia" w:eastAsiaTheme="majorEastAsia" w:cstheme="majorEastAsia"/>
        </w:rPr>
      </w:pPr>
      <w:r>
        <w:rPr>
          <w:rFonts w:hint="eastAsia" w:asciiTheme="majorEastAsia" w:hAnsiTheme="majorEastAsia" w:eastAsiaTheme="majorEastAsia" w:cstheme="majorEastAsia"/>
        </w:rPr>
        <w:t>数据挖掘技术</w:t>
      </w:r>
    </w:p>
    <w:p w14:paraId="0D732F6A">
      <w:pPr>
        <w:pStyle w:val="7"/>
        <w:numPr>
          <w:ilvl w:val="0"/>
          <w:numId w:val="0"/>
        </w:numPr>
        <w:spacing w:before="156" w:after="156"/>
        <w:ind w:firstLine="420" w:firstLineChars="0"/>
        <w:rPr>
          <w:rFonts w:hint="eastAsia" w:ascii="宋体" w:hAnsi="宋体"/>
        </w:rPr>
      </w:pPr>
      <w:r>
        <w:rPr>
          <w:rFonts w:hint="eastAsia" w:ascii="宋体" w:hAnsi="宋体"/>
        </w:rPr>
        <w:t>基于Python语言，利用Pandas、Numpy等库完成数据清洗（去重、补全缺失值）、机构名称标准化（如统一中英文/简称）、特征工程（指标归一化、词频特征提取</w:t>
      </w:r>
      <w:r>
        <w:rPr>
          <w:rFonts w:hint="eastAsia" w:ascii="宋体" w:hAnsi="宋体"/>
          <w:lang w:val="en-US" w:eastAsia="zh-CN"/>
        </w:rPr>
        <w:t>等</w:t>
      </w:r>
      <w:r>
        <w:rPr>
          <w:rFonts w:hint="eastAsia" w:ascii="宋体" w:hAnsi="宋体"/>
        </w:rPr>
        <w:t>），实现多源数据的结构化处理。</w:t>
      </w:r>
    </w:p>
    <w:p w14:paraId="7E975D56">
      <w:pPr>
        <w:pStyle w:val="4"/>
        <w:numPr>
          <w:ilvl w:val="0"/>
          <w:numId w:val="3"/>
        </w:numPr>
        <w:bidi w:val="0"/>
        <w:jc w:val="both"/>
        <w:rPr>
          <w:rFonts w:hint="eastAsia" w:asciiTheme="majorEastAsia" w:hAnsiTheme="majorEastAsia" w:eastAsiaTheme="majorEastAsia" w:cstheme="majorEastAsia"/>
        </w:rPr>
      </w:pPr>
      <w:r>
        <w:rPr>
          <w:rFonts w:hint="eastAsia" w:asciiTheme="majorEastAsia" w:hAnsiTheme="majorEastAsia" w:eastAsiaTheme="majorEastAsia" w:cstheme="majorEastAsia"/>
        </w:rPr>
        <w:t>文本分析法</w:t>
      </w:r>
    </w:p>
    <w:p w14:paraId="2E29C76F">
      <w:pPr>
        <w:pStyle w:val="7"/>
        <w:numPr>
          <w:ilvl w:val="0"/>
          <w:numId w:val="0"/>
        </w:numPr>
        <w:spacing w:before="156" w:after="156"/>
        <w:ind w:leftChars="0" w:firstLine="420" w:firstLineChars="0"/>
        <w:rPr>
          <w:rFonts w:hint="eastAsia" w:ascii="宋体" w:hAnsi="宋体"/>
        </w:rPr>
      </w:pPr>
      <w:r>
        <w:rPr>
          <w:rFonts w:hint="eastAsia" w:ascii="宋体" w:hAnsi="宋体"/>
        </w:rPr>
        <w:t>借助NLP工具</w:t>
      </w:r>
      <w:r>
        <w:rPr>
          <w:rFonts w:hint="eastAsia" w:ascii="宋体" w:hAnsi="宋体"/>
          <w:lang w:val="en-US" w:eastAsia="zh-CN"/>
        </w:rPr>
        <w:t>如</w:t>
      </w:r>
      <w:r>
        <w:rPr>
          <w:rFonts w:hint="eastAsia" w:ascii="宋体" w:hAnsi="宋体"/>
        </w:rPr>
        <w:t>Jieba分词、NLTK</w:t>
      </w:r>
      <w:r>
        <w:rPr>
          <w:rFonts w:hint="eastAsia" w:ascii="宋体" w:hAnsi="宋体"/>
          <w:lang w:val="en-US" w:eastAsia="zh-CN"/>
        </w:rPr>
        <w:t>等</w:t>
      </w:r>
      <w:r>
        <w:rPr>
          <w:rFonts w:hint="eastAsia" w:ascii="宋体" w:hAnsi="宋体"/>
        </w:rPr>
        <w:t>完成中文/英文文本的分词、去停用词；通过Gensim库构建LDA主题模型，生成主题-关键词分布，实现研究主题的自动化识别与演化分析。</w:t>
      </w:r>
    </w:p>
    <w:p w14:paraId="1B018168">
      <w:pPr>
        <w:pStyle w:val="4"/>
        <w:numPr>
          <w:ilvl w:val="0"/>
          <w:numId w:val="3"/>
        </w:numPr>
        <w:bidi w:val="0"/>
        <w:rPr>
          <w:rFonts w:hint="eastAsia" w:asciiTheme="majorEastAsia" w:hAnsiTheme="majorEastAsia" w:eastAsiaTheme="majorEastAsia" w:cstheme="majorEastAsia"/>
        </w:rPr>
      </w:pPr>
      <w:r>
        <w:rPr>
          <w:rFonts w:hint="eastAsia" w:asciiTheme="majorEastAsia" w:hAnsiTheme="majorEastAsia" w:eastAsiaTheme="majorEastAsia" w:cstheme="majorEastAsia"/>
        </w:rPr>
        <w:t>可视化分析</w:t>
      </w:r>
    </w:p>
    <w:p w14:paraId="0B889B84">
      <w:pPr>
        <w:pStyle w:val="7"/>
        <w:numPr>
          <w:ilvl w:val="0"/>
          <w:numId w:val="0"/>
        </w:numPr>
        <w:spacing w:before="156" w:after="156"/>
        <w:ind w:firstLine="420" w:firstLineChars="0"/>
        <w:rPr>
          <w:rFonts w:hint="eastAsia" w:ascii="宋体" w:hAnsi="宋体"/>
        </w:rPr>
      </w:pPr>
      <w:r>
        <w:rPr>
          <w:rFonts w:hint="eastAsia" w:ascii="宋体" w:hAnsi="宋体"/>
        </w:rPr>
        <w:t>使用Gephi或VOSviewer绘制全球石油机构的国际合作网络图谱</w:t>
      </w:r>
      <w:r>
        <w:rPr>
          <w:rFonts w:hint="eastAsia" w:ascii="宋体" w:hAnsi="宋体"/>
          <w:lang w:eastAsia="zh-CN"/>
        </w:rPr>
        <w:t>，</w:t>
      </w:r>
      <w:r>
        <w:rPr>
          <w:rFonts w:hint="eastAsia" w:ascii="宋体" w:hAnsi="宋体"/>
        </w:rPr>
        <w:t>直观展示机构的合作关系与网络中心性；通过Tableau或Matplotlib生成机构得分排名图、主题强度时序折线图、不同类型机构主题对比热力图，提升分析结果的可读性与直观性。</w:t>
      </w:r>
    </w:p>
    <w:p w14:paraId="1F881D3D">
      <w:pPr>
        <w:pStyle w:val="4"/>
        <w:numPr>
          <w:ilvl w:val="0"/>
          <w:numId w:val="3"/>
        </w:numPr>
        <w:bidi w:val="0"/>
        <w:rPr>
          <w:rFonts w:hint="eastAsia" w:asciiTheme="majorEastAsia" w:hAnsiTheme="majorEastAsia" w:eastAsiaTheme="majorEastAsia" w:cstheme="majorEastAsia"/>
        </w:rPr>
      </w:pPr>
      <w:r>
        <w:rPr>
          <w:rFonts w:hint="eastAsia" w:asciiTheme="majorEastAsia" w:hAnsiTheme="majorEastAsia" w:eastAsiaTheme="majorEastAsia" w:cstheme="majorEastAsia"/>
        </w:rPr>
        <w:t>综合评价法</w:t>
      </w:r>
    </w:p>
    <w:p w14:paraId="7B2839C7">
      <w:pPr>
        <w:pStyle w:val="7"/>
        <w:numPr>
          <w:ilvl w:val="0"/>
          <w:numId w:val="0"/>
        </w:numPr>
        <w:spacing w:before="156" w:after="156"/>
        <w:ind w:leftChars="0" w:firstLine="420" w:firstLineChars="0"/>
        <w:rPr>
          <w:rFonts w:hint="eastAsia" w:ascii="宋体" w:hAnsi="宋体"/>
        </w:rPr>
      </w:pPr>
      <w:r>
        <w:rPr>
          <w:rFonts w:hint="eastAsia" w:ascii="宋体" w:hAnsi="宋体"/>
          <w:lang w:val="en-US" w:eastAsia="zh-CN"/>
        </w:rPr>
        <w:t>结合</w:t>
      </w:r>
      <w:r>
        <w:rPr>
          <w:rFonts w:hint="eastAsia" w:ascii="宋体" w:hAnsi="宋体"/>
        </w:rPr>
        <w:t>德尔菲法</w:t>
      </w:r>
      <w:r>
        <w:rPr>
          <w:rFonts w:hint="eastAsia" w:ascii="宋体" w:hAnsi="宋体"/>
          <w:lang w:val="en-US" w:eastAsia="zh-CN"/>
        </w:rPr>
        <w:t>和</w:t>
      </w:r>
      <w:r>
        <w:rPr>
          <w:rFonts w:hint="eastAsia" w:ascii="宋体" w:hAnsi="宋体"/>
        </w:rPr>
        <w:t>熵权法，兼顾专家经验与数据客观性；运用TOPSIS法对各机构的多维度指标进行综合排序，构建科学的学术影响力评价模型，避免单一指标评价的片面性。</w:t>
      </w:r>
    </w:p>
    <w:p w14:paraId="0D6F697A">
      <w:pPr>
        <w:pStyle w:val="7"/>
        <w:numPr>
          <w:ilvl w:val="0"/>
          <w:numId w:val="0"/>
        </w:numPr>
        <w:spacing w:before="156" w:after="156"/>
        <w:ind w:leftChars="0" w:firstLine="420" w:firstLineChars="0"/>
        <w:rPr>
          <w:rFonts w:hint="eastAsia" w:ascii="宋体" w:hAnsi="宋体"/>
        </w:rPr>
      </w:pPr>
    </w:p>
    <w:p w14:paraId="6E1D1CE2">
      <w:pPr>
        <w:pStyle w:val="2"/>
        <w:numPr>
          <w:ilvl w:val="0"/>
          <w:numId w:val="1"/>
        </w:numPr>
        <w:bidi w:val="0"/>
        <w:rPr>
          <w:rFonts w:hint="eastAsia" w:asciiTheme="majorEastAsia" w:hAnsiTheme="majorEastAsia" w:eastAsiaTheme="majorEastAsia" w:cstheme="majorEastAsia"/>
        </w:rPr>
      </w:pPr>
      <w:bookmarkStart w:id="6" w:name="_Toc1586"/>
      <w:r>
        <w:rPr>
          <w:rFonts w:hint="eastAsia" w:asciiTheme="majorEastAsia" w:hAnsiTheme="majorEastAsia" w:eastAsiaTheme="majorEastAsia" w:cstheme="majorEastAsia"/>
        </w:rPr>
        <w:t>课题研究技术路线</w:t>
      </w:r>
      <w:bookmarkEnd w:id="6"/>
    </w:p>
    <w:p w14:paraId="7A49FB57">
      <w:pPr>
        <w:pStyle w:val="7"/>
        <w:numPr>
          <w:ilvl w:val="0"/>
          <w:numId w:val="0"/>
        </w:numPr>
        <w:spacing w:before="156" w:after="156"/>
        <w:ind w:leftChars="0"/>
      </w:pPr>
      <w:r>
        <w:rPr>
          <w:rFonts w:hint="eastAsia"/>
          <w:lang w:val="en-US" w:eastAsia="zh-CN"/>
        </w:rPr>
        <w:t xml:space="preserve">             </w:t>
      </w:r>
      <w:r>
        <w:drawing>
          <wp:inline distT="0" distB="0" distL="114300" distR="114300">
            <wp:extent cx="3697605" cy="3899535"/>
            <wp:effectExtent l="0" t="0" r="10795" b="12065"/>
            <wp:docPr id="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
                    <pic:cNvPicPr>
                      <a:picLocks noChangeAspect="1"/>
                    </pic:cNvPicPr>
                  </pic:nvPicPr>
                  <pic:blipFill>
                    <a:blip r:embed="rId6"/>
                    <a:stretch>
                      <a:fillRect/>
                    </a:stretch>
                  </pic:blipFill>
                  <pic:spPr>
                    <a:xfrm>
                      <a:off x="0" y="0"/>
                      <a:ext cx="3697605" cy="3899535"/>
                    </a:xfrm>
                    <a:prstGeom prst="rect">
                      <a:avLst/>
                    </a:prstGeom>
                    <a:noFill/>
                    <a:ln>
                      <a:noFill/>
                    </a:ln>
                  </pic:spPr>
                </pic:pic>
              </a:graphicData>
            </a:graphic>
          </wp:inline>
        </w:drawing>
      </w:r>
    </w:p>
    <w:p w14:paraId="5137773F">
      <w:pPr>
        <w:pStyle w:val="5"/>
        <w:numPr>
          <w:ilvl w:val="0"/>
          <w:numId w:val="0"/>
        </w:numPr>
        <w:spacing w:before="156" w:after="156"/>
        <w:ind w:leftChars="0"/>
        <w:jc w:val="center"/>
        <w:rPr>
          <w:rFonts w:hint="eastAsia" w:eastAsia="宋体"/>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技术路线图</w:t>
      </w:r>
    </w:p>
    <w:p w14:paraId="7707EE5E">
      <w:pPr>
        <w:pStyle w:val="7"/>
        <w:numPr>
          <w:ilvl w:val="0"/>
          <w:numId w:val="0"/>
        </w:numPr>
        <w:spacing w:before="156" w:after="156"/>
        <w:ind w:leftChars="0"/>
        <w:rPr>
          <w:rFonts w:hint="eastAsia" w:ascii="宋体" w:hAnsi="宋体"/>
          <w:lang w:val="en-US" w:eastAsia="zh-CN"/>
        </w:rPr>
      </w:pPr>
      <w:r>
        <w:rPr>
          <w:rFonts w:hint="eastAsia" w:ascii="宋体" w:hAnsi="宋体"/>
          <w:lang w:val="en-US" w:eastAsia="zh-CN"/>
        </w:rPr>
        <w:t>如图1，本研究技术路线如下：</w:t>
      </w:r>
    </w:p>
    <w:p w14:paraId="48F5A965">
      <w:pPr>
        <w:pStyle w:val="3"/>
        <w:bidi w:val="0"/>
        <w:rPr>
          <w:rFonts w:hint="eastAsia"/>
        </w:rPr>
      </w:pPr>
      <w:bookmarkStart w:id="7" w:name="_Toc9457"/>
      <w:r>
        <w:rPr>
          <w:rFonts w:hint="eastAsia"/>
        </w:rPr>
        <w:t xml:space="preserve">4.1 </w:t>
      </w:r>
      <w:r>
        <w:rPr>
          <w:rFonts w:hint="eastAsia" w:asciiTheme="majorEastAsia" w:hAnsiTheme="majorEastAsia" w:eastAsiaTheme="majorEastAsia" w:cstheme="majorEastAsia"/>
        </w:rPr>
        <w:t>数据获取阶段</w:t>
      </w:r>
      <w:bookmarkEnd w:id="7"/>
    </w:p>
    <w:p w14:paraId="31D5ABBA">
      <w:pPr>
        <w:pStyle w:val="7"/>
        <w:numPr>
          <w:ilvl w:val="0"/>
          <w:numId w:val="0"/>
        </w:numPr>
        <w:spacing w:before="156" w:after="156"/>
        <w:ind w:firstLine="420" w:firstLineChars="200"/>
        <w:rPr>
          <w:rFonts w:hint="default" w:ascii="宋体" w:hAnsi="宋体"/>
          <w:lang w:val="en-US" w:eastAsia="zh-CN"/>
        </w:rPr>
      </w:pPr>
      <w:r>
        <w:rPr>
          <w:rFonts w:hint="eastAsia" w:ascii="宋体" w:hAnsi="宋体"/>
        </w:rPr>
        <w:t>依据中国科协石油领域高质量科技期刊分级目录，确定顶级期刊清单</w:t>
      </w:r>
      <w:r>
        <w:rPr>
          <w:rFonts w:hint="eastAsia" w:ascii="宋体" w:hAnsi="宋体"/>
          <w:lang w:eastAsia="zh-CN"/>
        </w:rPr>
        <w:t>，</w:t>
      </w:r>
      <w:r>
        <w:rPr>
          <w:rFonts w:hint="eastAsia" w:ascii="宋体" w:hAnsi="宋体"/>
        </w:rPr>
        <w:t>通过CSCD、CNKI、DBdata数据库的高级检索功能，以期刊清单</w:t>
      </w:r>
      <w:r>
        <w:rPr>
          <w:rFonts w:hint="eastAsia" w:ascii="宋体" w:hAnsi="宋体"/>
          <w:lang w:val="en-US" w:eastAsia="zh-CN"/>
        </w:rPr>
        <w:t>和</w:t>
      </w:r>
      <w:r>
        <w:rPr>
          <w:rFonts w:hint="eastAsia" w:ascii="宋体" w:hAnsi="宋体"/>
        </w:rPr>
        <w:t>石油领域核心关键词为检索条件，</w:t>
      </w:r>
      <w:r>
        <w:rPr>
          <w:rFonts w:hint="eastAsia" w:ascii="宋体" w:hAnsi="宋体"/>
          <w:lang w:val="en-US" w:eastAsia="zh-CN"/>
        </w:rPr>
        <w:t>获取</w:t>
      </w:r>
      <w:r>
        <w:rPr>
          <w:rFonts w:hint="eastAsia" w:ascii="宋体" w:hAnsi="宋体"/>
        </w:rPr>
        <w:t>2011-2025年的文献数据</w:t>
      </w:r>
      <w:r>
        <w:rPr>
          <w:rFonts w:hint="eastAsia" w:ascii="宋体" w:hAnsi="宋体"/>
          <w:lang w:eastAsia="zh-CN"/>
        </w:rPr>
        <w:t>，</w:t>
      </w:r>
      <w:r>
        <w:rPr>
          <w:rFonts w:hint="eastAsia" w:ascii="宋体" w:hAnsi="宋体"/>
        </w:rPr>
        <w:t>含题录、引文、摘要</w:t>
      </w:r>
      <w:r>
        <w:rPr>
          <w:rFonts w:hint="eastAsia" w:ascii="宋体" w:hAnsi="宋体"/>
          <w:lang w:eastAsia="zh-CN"/>
        </w:rPr>
        <w:t>。</w:t>
      </w:r>
      <w:r>
        <w:rPr>
          <w:rFonts w:hint="eastAsia" w:ascii="宋体" w:hAnsi="宋体"/>
        </w:rPr>
        <w:t>对采集数据进行清洗，包括剔除重复文献、补全缺失的作者单位</w:t>
      </w:r>
      <w:r>
        <w:rPr>
          <w:rFonts w:hint="eastAsia" w:ascii="宋体" w:hAnsi="宋体"/>
          <w:lang w:eastAsia="zh-CN"/>
        </w:rPr>
        <w:t>、</w:t>
      </w:r>
      <w:r>
        <w:rPr>
          <w:rFonts w:hint="eastAsia" w:ascii="宋体" w:hAnsi="宋体"/>
        </w:rPr>
        <w:t>被引数据、统一字段格式</w:t>
      </w:r>
      <w:r>
        <w:rPr>
          <w:rFonts w:hint="eastAsia" w:ascii="宋体" w:hAnsi="宋体"/>
          <w:lang w:val="en-US" w:eastAsia="zh-CN"/>
        </w:rPr>
        <w:t>等。</w:t>
      </w:r>
    </w:p>
    <w:p w14:paraId="3566B1F9">
      <w:pPr>
        <w:pStyle w:val="3"/>
        <w:bidi w:val="0"/>
        <w:rPr>
          <w:rFonts w:hint="eastAsia" w:asciiTheme="majorEastAsia" w:hAnsiTheme="majorEastAsia" w:eastAsiaTheme="majorEastAsia" w:cstheme="majorEastAsia"/>
        </w:rPr>
      </w:pPr>
      <w:bookmarkStart w:id="8" w:name="_Toc4513"/>
      <w:r>
        <w:rPr>
          <w:rFonts w:hint="eastAsia" w:asciiTheme="majorEastAsia" w:hAnsiTheme="majorEastAsia" w:eastAsiaTheme="majorEastAsia" w:cstheme="majorEastAsia"/>
          <w:lang w:val="en-US" w:eastAsia="zh-CN"/>
        </w:rPr>
        <w:t xml:space="preserve">4.2 </w:t>
      </w:r>
      <w:r>
        <w:rPr>
          <w:rFonts w:hint="eastAsia" w:asciiTheme="majorEastAsia" w:hAnsiTheme="majorEastAsia" w:eastAsiaTheme="majorEastAsia" w:cstheme="majorEastAsia"/>
        </w:rPr>
        <w:t>指标计算阶段</w:t>
      </w:r>
      <w:bookmarkEnd w:id="8"/>
    </w:p>
    <w:p w14:paraId="75E33E07">
      <w:pPr>
        <w:pStyle w:val="7"/>
        <w:numPr>
          <w:ilvl w:val="0"/>
          <w:numId w:val="0"/>
        </w:numPr>
        <w:spacing w:before="156" w:after="156"/>
        <w:ind w:firstLine="420" w:firstLineChars="200"/>
        <w:rPr>
          <w:rFonts w:hint="eastAsia" w:ascii="宋体" w:hAnsi="宋体"/>
        </w:rPr>
      </w:pPr>
      <w:r>
        <w:rPr>
          <w:rFonts w:hint="eastAsia" w:ascii="宋体" w:hAnsi="宋体"/>
          <w:lang w:val="en-US" w:eastAsia="zh-CN"/>
        </w:rPr>
        <w:t>如下表1指标维度分类表，</w:t>
      </w:r>
      <w:r>
        <w:rPr>
          <w:rFonts w:hint="eastAsia" w:ascii="宋体" w:hAnsi="宋体"/>
        </w:rPr>
        <w:t>基于科研产出、学术影响、国际合作三个维度，构建包含细分指标的指标库</w:t>
      </w:r>
      <w:r>
        <w:rPr>
          <w:rFonts w:hint="eastAsia" w:ascii="宋体" w:hAnsi="宋体"/>
          <w:lang w:eastAsia="zh-CN"/>
        </w:rPr>
        <w:t>，</w:t>
      </w:r>
      <w:r>
        <w:rPr>
          <w:rFonts w:hint="eastAsia" w:ascii="宋体" w:hAnsi="宋体"/>
        </w:rPr>
        <w:t>利用Python统计各机构的基础计量指标，并计算衍生指标</w:t>
      </w:r>
      <w:r>
        <w:rPr>
          <w:rFonts w:hint="eastAsia" w:ascii="宋体" w:hAnsi="宋体"/>
          <w:lang w:eastAsia="zh-CN"/>
        </w:rPr>
        <w:t>，</w:t>
      </w:r>
      <w:r>
        <w:rPr>
          <w:rFonts w:hint="eastAsia" w:ascii="宋体" w:hAnsi="宋体"/>
        </w:rPr>
        <w:t>如篇均被引、H指数</w:t>
      </w:r>
      <w:r>
        <w:rPr>
          <w:rFonts w:hint="eastAsia" w:ascii="宋体" w:hAnsi="宋体"/>
          <w:lang w:val="en-US" w:eastAsia="zh-CN"/>
        </w:rPr>
        <w:t>等。</w:t>
      </w:r>
      <w:r>
        <w:rPr>
          <w:rFonts w:hint="eastAsia" w:ascii="宋体" w:hAnsi="宋体"/>
        </w:rPr>
        <w:t>以机构为节点、合作关系为边，构建国际合作网络矩阵，记录机构间的合作论文数量</w:t>
      </w:r>
    </w:p>
    <w:p w14:paraId="3B518924">
      <w:pPr>
        <w:pStyle w:val="5"/>
        <w:jc w:val="center"/>
        <w:rPr>
          <w:rFonts w:hint="default" w:ascii="宋体" w:hAnsi="宋体"/>
          <w:lang w:val="en-US"/>
        </w:rP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指标维度分类</w:t>
      </w:r>
      <w:r>
        <w:rPr>
          <w:rFonts w:hint="eastAsia"/>
          <w:lang w:val="en-US" w:eastAsia="zh-CN"/>
        </w:rPr>
        <w:t>表格</w:t>
      </w:r>
    </w:p>
    <w:tbl>
      <w:tblPr>
        <w:tblStyle w:val="13"/>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8"/>
        <w:gridCol w:w="2839"/>
        <w:gridCol w:w="2840"/>
      </w:tblGrid>
      <w:tr w14:paraId="1D1EE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666" w:type="pct"/>
            <w:vAlign w:val="center"/>
          </w:tcPr>
          <w:p w14:paraId="7277A160">
            <w:pPr>
              <w:pStyle w:val="7"/>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宋体" w:hAnsi="宋体"/>
                <w:sz w:val="20"/>
                <w:szCs w:val="22"/>
                <w:vertAlign w:val="baseline"/>
              </w:rPr>
            </w:pPr>
            <w:r>
              <w:rPr>
                <w:rFonts w:hint="eastAsia" w:ascii="宋体" w:hAnsi="宋体"/>
                <w:sz w:val="20"/>
                <w:szCs w:val="22"/>
                <w:vertAlign w:val="baseline"/>
              </w:rPr>
              <w:t>维度分类</w:t>
            </w:r>
          </w:p>
        </w:tc>
        <w:tc>
          <w:tcPr>
            <w:tcW w:w="1666" w:type="pct"/>
            <w:vAlign w:val="center"/>
          </w:tcPr>
          <w:p w14:paraId="74F4207F">
            <w:pPr>
              <w:pStyle w:val="7"/>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宋体" w:hAnsi="宋体"/>
                <w:sz w:val="20"/>
                <w:szCs w:val="22"/>
                <w:vertAlign w:val="baseline"/>
              </w:rPr>
            </w:pPr>
            <w:r>
              <w:rPr>
                <w:rFonts w:hint="eastAsia" w:ascii="宋体" w:hAnsi="宋体"/>
                <w:sz w:val="20"/>
                <w:szCs w:val="22"/>
                <w:vertAlign w:val="baseline"/>
              </w:rPr>
              <w:t>直接对应字段</w:t>
            </w:r>
          </w:p>
        </w:tc>
        <w:tc>
          <w:tcPr>
            <w:tcW w:w="1667" w:type="pct"/>
            <w:vAlign w:val="center"/>
          </w:tcPr>
          <w:p w14:paraId="4F06DF93">
            <w:pPr>
              <w:pStyle w:val="7"/>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宋体" w:hAnsi="宋体"/>
                <w:sz w:val="20"/>
                <w:szCs w:val="22"/>
                <w:vertAlign w:val="baseline"/>
              </w:rPr>
            </w:pPr>
            <w:r>
              <w:rPr>
                <w:rFonts w:hint="eastAsia" w:ascii="宋体" w:hAnsi="宋体"/>
                <w:sz w:val="20"/>
                <w:szCs w:val="22"/>
                <w:vertAlign w:val="baseline"/>
              </w:rPr>
              <w:t>延伸指标</w:t>
            </w:r>
          </w:p>
        </w:tc>
      </w:tr>
      <w:tr w14:paraId="24C09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2" w:hRule="atLeast"/>
        </w:trPr>
        <w:tc>
          <w:tcPr>
            <w:tcW w:w="1666" w:type="pct"/>
            <w:vAlign w:val="center"/>
          </w:tcPr>
          <w:p w14:paraId="643B7B6A">
            <w:pPr>
              <w:pStyle w:val="7"/>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宋体" w:hAnsi="宋体"/>
                <w:vertAlign w:val="baseline"/>
              </w:rPr>
            </w:pPr>
            <w:r>
              <w:rPr>
                <w:rFonts w:hint="eastAsia" w:ascii="宋体" w:hAnsi="宋体"/>
                <w:vertAlign w:val="baseline"/>
              </w:rPr>
              <w:t>科研产出</w:t>
            </w:r>
          </w:p>
        </w:tc>
        <w:tc>
          <w:tcPr>
            <w:tcW w:w="1666" w:type="pct"/>
            <w:vAlign w:val="center"/>
          </w:tcPr>
          <w:p w14:paraId="19C2BDD3">
            <w:pPr>
              <w:pStyle w:val="7"/>
              <w:keepNext w:val="0"/>
              <w:keepLines w:val="0"/>
              <w:pageBreakBefore w:val="0"/>
              <w:widowControl w:val="0"/>
              <w:numPr>
                <w:ilvl w:val="0"/>
                <w:numId w:val="0"/>
              </w:numPr>
              <w:kinsoku/>
              <w:wordWrap/>
              <w:overflowPunct/>
              <w:topLinePunct w:val="0"/>
              <w:autoSpaceDE/>
              <w:autoSpaceDN/>
              <w:bidi w:val="0"/>
              <w:adjustRightInd/>
              <w:snapToGrid/>
              <w:spacing w:line="120" w:lineRule="auto"/>
              <w:jc w:val="center"/>
              <w:textAlignment w:val="auto"/>
              <w:rPr>
                <w:rFonts w:hint="eastAsia" w:ascii="宋体" w:hAnsi="宋体"/>
                <w:vertAlign w:val="baseline"/>
              </w:rPr>
            </w:pPr>
            <w:r>
              <w:rPr>
                <w:rFonts w:hint="eastAsia" w:ascii="宋体" w:hAnsi="宋体"/>
                <w:sz w:val="16"/>
                <w:szCs w:val="20"/>
                <w:vertAlign w:val="baseline"/>
              </w:rPr>
              <w:t>出版物类型、文档类型、作者、作者全名、团体作者、文献标题、作者关键词、扩展关键词、摘要、学科类别、出版物名称、国际标准连续出版物编号、电子版国际标准连续出版物编号、Web of Science 分类、出版日期、出版年份、卷、期、页数、资助机构和资助号</w:t>
            </w:r>
          </w:p>
        </w:tc>
        <w:tc>
          <w:tcPr>
            <w:tcW w:w="1667" w:type="pct"/>
            <w:vAlign w:val="center"/>
          </w:tcPr>
          <w:p w14:paraId="71DF3772">
            <w:pPr>
              <w:pStyle w:val="7"/>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宋体" w:hAnsi="宋体"/>
                <w:vertAlign w:val="baseline"/>
              </w:rPr>
            </w:pPr>
            <w:r>
              <w:rPr>
                <w:rFonts w:hint="eastAsia" w:ascii="宋体" w:hAnsi="宋体"/>
                <w:sz w:val="16"/>
                <w:szCs w:val="20"/>
                <w:vertAlign w:val="baseline"/>
              </w:rPr>
              <w:t>不同类型成果占比、核心作者贡献度、石油主题论文占比、细分领域产出分布、高影响力期刊发文占比、年度产出量时序变化、单篇成果平均篇幅、资助项目支持成果占比</w:t>
            </w:r>
          </w:p>
        </w:tc>
      </w:tr>
      <w:tr w14:paraId="3F58D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24B9DE07">
            <w:pPr>
              <w:pStyle w:val="7"/>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宋体" w:hAnsi="宋体"/>
                <w:vertAlign w:val="baseline"/>
              </w:rPr>
            </w:pPr>
            <w:r>
              <w:rPr>
                <w:rFonts w:hint="eastAsia" w:ascii="宋体" w:hAnsi="宋体"/>
                <w:vertAlign w:val="baseline"/>
              </w:rPr>
              <w:t>学术影响</w:t>
            </w:r>
          </w:p>
        </w:tc>
        <w:tc>
          <w:tcPr>
            <w:tcW w:w="1666" w:type="pct"/>
            <w:vAlign w:val="center"/>
          </w:tcPr>
          <w:p w14:paraId="493F1362">
            <w:pPr>
              <w:pStyle w:val="7"/>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宋体" w:hAnsi="宋体"/>
                <w:vertAlign w:val="baseline"/>
              </w:rPr>
            </w:pPr>
            <w:r>
              <w:rPr>
                <w:rFonts w:hint="eastAsia" w:ascii="宋体" w:hAnsi="宋体"/>
                <w:sz w:val="16"/>
                <w:szCs w:val="20"/>
                <w:vertAlign w:val="baseline"/>
              </w:rPr>
              <w:t>被引频次、总被引次数（含非 WOS 来源）、过去 180 天使用次数、自 2013 年以来使用次数、引用参考文献、引用参考文献数量、开放获取标志、数字对象唯一标识符、唯一文章标识符</w:t>
            </w:r>
          </w:p>
        </w:tc>
        <w:tc>
          <w:tcPr>
            <w:tcW w:w="1667" w:type="pct"/>
            <w:vAlign w:val="center"/>
          </w:tcPr>
          <w:p w14:paraId="6208C94C">
            <w:pPr>
              <w:pStyle w:val="7"/>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宋体" w:hAnsi="宋体"/>
                <w:vertAlign w:val="baseline"/>
              </w:rPr>
            </w:pPr>
            <w:r>
              <w:rPr>
                <w:rFonts w:hint="eastAsia" w:ascii="宋体" w:hAnsi="宋体"/>
                <w:sz w:val="16"/>
                <w:szCs w:val="20"/>
                <w:vertAlign w:val="baseline"/>
              </w:rPr>
              <w:t>篇均被引频次、高被引论文占比、成果短期 / 长期关注度、参考文献领域覆盖度、自引率、开放获取成果占比</w:t>
            </w:r>
          </w:p>
        </w:tc>
      </w:tr>
      <w:tr w14:paraId="318E4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2B51ECA9">
            <w:pPr>
              <w:pStyle w:val="7"/>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宋体" w:hAnsi="宋体"/>
                <w:vertAlign w:val="baseline"/>
              </w:rPr>
            </w:pPr>
            <w:r>
              <w:rPr>
                <w:rFonts w:hint="eastAsia" w:ascii="宋体" w:hAnsi="宋体"/>
                <w:vertAlign w:val="baseline"/>
              </w:rPr>
              <w:t>国际合作</w:t>
            </w:r>
          </w:p>
        </w:tc>
        <w:tc>
          <w:tcPr>
            <w:tcW w:w="1666" w:type="pct"/>
            <w:vAlign w:val="center"/>
          </w:tcPr>
          <w:p w14:paraId="357F1156">
            <w:pPr>
              <w:pStyle w:val="7"/>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宋体" w:hAnsi="宋体"/>
                <w:vertAlign w:val="baseline"/>
              </w:rPr>
            </w:pPr>
            <w:r>
              <w:rPr>
                <w:rFonts w:hint="eastAsia" w:ascii="宋体" w:hAnsi="宋体"/>
                <w:sz w:val="16"/>
                <w:szCs w:val="20"/>
                <w:vertAlign w:val="baseline"/>
              </w:rPr>
              <w:t>作者地址、研究者地址、联系作者地址、会议标题、会议地点、团体作者</w:t>
            </w:r>
          </w:p>
        </w:tc>
        <w:tc>
          <w:tcPr>
            <w:tcW w:w="1667" w:type="pct"/>
            <w:vAlign w:val="center"/>
          </w:tcPr>
          <w:p w14:paraId="47DA08C4">
            <w:pPr>
              <w:pStyle w:val="7"/>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宋体" w:hAnsi="宋体"/>
                <w:vertAlign w:val="baseline"/>
              </w:rPr>
            </w:pPr>
            <w:r>
              <w:rPr>
                <w:rFonts w:hint="eastAsia" w:ascii="宋体" w:hAnsi="宋体"/>
                <w:sz w:val="16"/>
                <w:szCs w:val="20"/>
                <w:vertAlign w:val="baseline"/>
              </w:rPr>
              <w:t>国际合作论文占比、合作国家地区覆盖数、国际会议成果占比、国际合作机构数量</w:t>
            </w:r>
          </w:p>
        </w:tc>
      </w:tr>
    </w:tbl>
    <w:p w14:paraId="1C25BD99">
      <w:pPr>
        <w:pStyle w:val="3"/>
        <w:bidi w:val="0"/>
        <w:rPr>
          <w:rFonts w:hint="eastAsia" w:asciiTheme="majorEastAsia" w:hAnsiTheme="majorEastAsia" w:eastAsiaTheme="majorEastAsia" w:cstheme="majorEastAsia"/>
        </w:rPr>
      </w:pPr>
      <w:bookmarkStart w:id="9" w:name="_Toc15098"/>
      <w:r>
        <w:rPr>
          <w:rFonts w:hint="eastAsia" w:asciiTheme="majorEastAsia" w:hAnsiTheme="majorEastAsia" w:eastAsiaTheme="majorEastAsia" w:cstheme="majorEastAsia"/>
        </w:rPr>
        <w:t>4.3 模型构建阶段</w:t>
      </w:r>
      <w:bookmarkEnd w:id="9"/>
    </w:p>
    <w:p w14:paraId="7A0D9187">
      <w:pPr>
        <w:pStyle w:val="4"/>
        <w:bidi w:val="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rPr>
        <w:t>（1）</w:t>
      </w:r>
      <w:r>
        <w:rPr>
          <w:rFonts w:hint="eastAsia" w:asciiTheme="majorEastAsia" w:hAnsiTheme="majorEastAsia" w:eastAsiaTheme="majorEastAsia" w:cstheme="majorEastAsia"/>
          <w:lang w:val="en-US" w:eastAsia="zh-CN"/>
        </w:rPr>
        <w:t>学术竞争力</w:t>
      </w:r>
      <w:r>
        <w:rPr>
          <w:rFonts w:hint="eastAsia" w:asciiTheme="majorEastAsia" w:hAnsiTheme="majorEastAsia" w:eastAsiaTheme="majorEastAsia" w:cstheme="majorEastAsia"/>
        </w:rPr>
        <w:t>评价模型</w:t>
      </w:r>
      <w:r>
        <w:rPr>
          <w:rFonts w:hint="eastAsia" w:asciiTheme="majorEastAsia" w:hAnsiTheme="majorEastAsia" w:eastAsiaTheme="majorEastAsia" w:cstheme="majorEastAsia"/>
          <w:lang w:val="en-US" w:eastAsia="zh-CN"/>
        </w:rPr>
        <w:t>构建</w:t>
      </w:r>
    </w:p>
    <w:p w14:paraId="7FDF1FE0">
      <w:pPr>
        <w:pStyle w:val="7"/>
        <w:numPr>
          <w:ilvl w:val="0"/>
          <w:numId w:val="0"/>
        </w:numPr>
        <w:spacing w:before="156" w:after="156"/>
        <w:ind w:firstLine="420" w:firstLineChars="0"/>
        <w:rPr>
          <w:rFonts w:hint="eastAsia" w:ascii="宋体" w:hAnsi="宋体"/>
        </w:rPr>
      </w:pPr>
      <w:r>
        <w:rPr>
          <w:rFonts w:hint="eastAsia" w:ascii="宋体" w:hAnsi="宋体"/>
          <w:lang w:val="en-US" w:eastAsia="zh-CN"/>
        </w:rPr>
        <w:t>结合</w:t>
      </w:r>
      <w:r>
        <w:rPr>
          <w:rFonts w:hint="eastAsia" w:ascii="宋体" w:hAnsi="宋体"/>
        </w:rPr>
        <w:t>石油领域专家对指标重要性</w:t>
      </w:r>
      <w:r>
        <w:rPr>
          <w:rFonts w:hint="eastAsia" w:ascii="宋体" w:hAnsi="宋体"/>
          <w:lang w:val="en-US" w:eastAsia="zh-CN"/>
        </w:rPr>
        <w:t>的</w:t>
      </w:r>
      <w:r>
        <w:rPr>
          <w:rFonts w:hint="eastAsia" w:ascii="宋体" w:hAnsi="宋体"/>
        </w:rPr>
        <w:t>评分</w:t>
      </w:r>
      <w:r>
        <w:rPr>
          <w:rFonts w:hint="eastAsia" w:ascii="宋体" w:hAnsi="宋体"/>
          <w:lang w:eastAsia="zh-CN"/>
        </w:rPr>
        <w:t>，</w:t>
      </w:r>
      <w:r>
        <w:rPr>
          <w:rFonts w:hint="eastAsia" w:ascii="宋体" w:hAnsi="宋体"/>
          <w:lang w:val="en-US" w:eastAsia="zh-CN"/>
        </w:rPr>
        <w:t>运用</w:t>
      </w:r>
      <w:r>
        <w:rPr>
          <w:rFonts w:hint="eastAsia" w:ascii="宋体" w:hAnsi="宋体"/>
        </w:rPr>
        <w:t>熵权法计算各指标的组合权重</w:t>
      </w:r>
      <w:r>
        <w:rPr>
          <w:rFonts w:hint="eastAsia" w:ascii="宋体" w:hAnsi="宋体"/>
          <w:lang w:eastAsia="zh-CN"/>
        </w:rPr>
        <w:t>。</w:t>
      </w:r>
      <w:r>
        <w:rPr>
          <w:rFonts w:hint="eastAsia" w:ascii="宋体" w:hAnsi="宋体"/>
        </w:rPr>
        <w:t>采用TOPSIS法对各机构的指标数据进行归一化处理，计算与正理想解的贴近度，得到综合得分</w:t>
      </w:r>
      <w:r>
        <w:rPr>
          <w:rFonts w:hint="eastAsia" w:ascii="宋体" w:hAnsi="宋体"/>
          <w:lang w:eastAsia="zh-CN"/>
        </w:rPr>
        <w:t>，</w:t>
      </w:r>
      <w:r>
        <w:rPr>
          <w:rFonts w:hint="eastAsia" w:ascii="宋体" w:hAnsi="宋体"/>
        </w:rPr>
        <w:t xml:space="preserve">依据综合得分对机构进行排名，并按得分区间划分为头部、中坚、特色三个层级。 </w:t>
      </w:r>
    </w:p>
    <w:p w14:paraId="264E83E1">
      <w:pPr>
        <w:pStyle w:val="4"/>
        <w:numPr>
          <w:ilvl w:val="0"/>
          <w:numId w:val="4"/>
        </w:numPr>
        <w:bidi w:val="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rPr>
        <w:t>主题</w:t>
      </w:r>
      <w:r>
        <w:rPr>
          <w:rFonts w:hint="eastAsia" w:asciiTheme="majorEastAsia" w:hAnsiTheme="majorEastAsia" w:eastAsiaTheme="majorEastAsia" w:cstheme="majorEastAsia"/>
          <w:lang w:val="en-US" w:eastAsia="zh-CN"/>
        </w:rPr>
        <w:t>分析</w:t>
      </w:r>
      <w:r>
        <w:rPr>
          <w:rFonts w:hint="eastAsia" w:asciiTheme="majorEastAsia" w:hAnsiTheme="majorEastAsia" w:eastAsiaTheme="majorEastAsia" w:cstheme="majorEastAsia"/>
        </w:rPr>
        <w:t>模型</w:t>
      </w:r>
      <w:r>
        <w:rPr>
          <w:rFonts w:hint="eastAsia" w:asciiTheme="majorEastAsia" w:hAnsiTheme="majorEastAsia" w:eastAsiaTheme="majorEastAsia" w:cstheme="majorEastAsia"/>
          <w:lang w:val="en-US" w:eastAsia="zh-CN"/>
        </w:rPr>
        <w:t>构建</w:t>
      </w:r>
    </w:p>
    <w:p w14:paraId="3D7F1E9B">
      <w:pPr>
        <w:pStyle w:val="7"/>
        <w:numPr>
          <w:ilvl w:val="0"/>
          <w:numId w:val="0"/>
        </w:numPr>
        <w:spacing w:before="156" w:after="156"/>
        <w:ind w:firstLine="420" w:firstLineChars="0"/>
        <w:rPr>
          <w:rFonts w:hint="eastAsia" w:ascii="宋体" w:hAnsi="宋体"/>
        </w:rPr>
      </w:pPr>
      <w:r>
        <w:rPr>
          <w:rFonts w:hint="eastAsia" w:ascii="宋体" w:hAnsi="宋体"/>
        </w:rPr>
        <w:t>对论文摘要进行分词、去停用词、构建词袋模型，完成文本预处理</w:t>
      </w:r>
      <w:r>
        <w:rPr>
          <w:rFonts w:hint="eastAsia" w:ascii="宋体" w:hAnsi="宋体"/>
          <w:lang w:eastAsia="zh-CN"/>
        </w:rPr>
        <w:t>，</w:t>
      </w:r>
      <w:r>
        <w:rPr>
          <w:rFonts w:hint="eastAsia" w:ascii="宋体" w:hAnsi="宋体"/>
        </w:rPr>
        <w:t>设置主题数，分三个时间阶段训练LDA模型，生成各阶段的主题-关键词分布</w:t>
      </w:r>
      <w:r>
        <w:rPr>
          <w:rFonts w:hint="eastAsia" w:ascii="宋体" w:hAnsi="宋体"/>
          <w:lang w:eastAsia="zh-CN"/>
        </w:rPr>
        <w:t>，</w:t>
      </w:r>
      <w:r>
        <w:rPr>
          <w:rFonts w:hint="eastAsia" w:ascii="宋体" w:hAnsi="宋体"/>
        </w:rPr>
        <w:t>计算各阶段的主题强度</w:t>
      </w:r>
      <w:r>
        <w:rPr>
          <w:rFonts w:hint="eastAsia" w:ascii="宋体" w:hAnsi="宋体"/>
          <w:lang w:eastAsia="zh-CN"/>
        </w:rPr>
        <w:t>，</w:t>
      </w:r>
      <w:r>
        <w:rPr>
          <w:rFonts w:hint="eastAsia" w:ascii="宋体" w:hAnsi="宋体"/>
          <w:lang w:val="en-US" w:eastAsia="zh-CN"/>
        </w:rPr>
        <w:t>即</w:t>
      </w:r>
      <w:r>
        <w:rPr>
          <w:rFonts w:hint="eastAsia" w:ascii="宋体" w:hAnsi="宋体"/>
        </w:rPr>
        <w:t>该主题文献占比，绘制主题强度的时序演变曲线。</w:t>
      </w:r>
    </w:p>
    <w:p w14:paraId="18FD2C4D">
      <w:pPr>
        <w:pStyle w:val="7"/>
        <w:numPr>
          <w:ilvl w:val="0"/>
          <w:numId w:val="0"/>
        </w:numPr>
        <w:spacing w:before="156" w:after="156"/>
        <w:rPr>
          <w:rFonts w:hint="eastAsia" w:ascii="宋体" w:hAnsi="宋体"/>
        </w:rPr>
      </w:pPr>
    </w:p>
    <w:p w14:paraId="76D3D4D6">
      <w:pPr>
        <w:pStyle w:val="3"/>
        <w:bidi w:val="0"/>
        <w:rPr>
          <w:rFonts w:hint="eastAsia" w:asciiTheme="majorEastAsia" w:hAnsiTheme="majorEastAsia" w:eastAsiaTheme="majorEastAsia" w:cstheme="majorEastAsia"/>
        </w:rPr>
      </w:pPr>
      <w:bookmarkStart w:id="10" w:name="_Toc21026"/>
      <w:r>
        <w:rPr>
          <w:rFonts w:hint="eastAsia" w:asciiTheme="majorEastAsia" w:hAnsiTheme="majorEastAsia" w:eastAsiaTheme="majorEastAsia" w:cstheme="majorEastAsia"/>
        </w:rPr>
        <w:t>4.4 关联分析阶段</w:t>
      </w:r>
      <w:bookmarkEnd w:id="10"/>
    </w:p>
    <w:p w14:paraId="7BE42241">
      <w:pPr>
        <w:pStyle w:val="7"/>
        <w:numPr>
          <w:ilvl w:val="0"/>
          <w:numId w:val="0"/>
        </w:numPr>
        <w:spacing w:before="156" w:after="156"/>
        <w:ind w:firstLine="420" w:firstLineChars="200"/>
        <w:rPr>
          <w:rFonts w:hint="eastAsia" w:ascii="宋体" w:hAnsi="宋体"/>
        </w:rPr>
      </w:pPr>
      <w:r>
        <w:rPr>
          <w:rFonts w:hint="eastAsia" w:ascii="宋体" w:hAnsi="宋体"/>
        </w:rPr>
        <w:t>将机构的排名层级与各阶段的主题分布进行匹配，统计不同层级机构的主题偏好</w:t>
      </w:r>
      <w:r>
        <w:rPr>
          <w:rFonts w:hint="eastAsia" w:ascii="宋体" w:hAnsi="宋体"/>
          <w:lang w:eastAsia="zh-CN"/>
        </w:rPr>
        <w:t>，</w:t>
      </w:r>
      <w:r>
        <w:rPr>
          <w:rFonts w:hint="eastAsia" w:ascii="宋体" w:hAnsi="宋体"/>
        </w:rPr>
        <w:t>对比高校、企业研发中心、国际组织三类机构的主题分布差异，分析机构类型与主题选择的关联；结合合作网络数据，探讨合作紧密的机构是否具有主题相似性</w:t>
      </w:r>
      <w:r>
        <w:rPr>
          <w:rFonts w:hint="eastAsia" w:ascii="宋体" w:hAnsi="宋体"/>
          <w:lang w:val="en-US" w:eastAsia="zh-CN"/>
        </w:rPr>
        <w:t>等问题</w:t>
      </w:r>
      <w:r>
        <w:rPr>
          <w:rFonts w:hint="eastAsia" w:ascii="宋体" w:hAnsi="宋体"/>
        </w:rPr>
        <w:t>。</w:t>
      </w:r>
    </w:p>
    <w:p w14:paraId="44B5E91E">
      <w:pPr>
        <w:pStyle w:val="3"/>
        <w:bidi w:val="0"/>
        <w:rPr>
          <w:rFonts w:hint="eastAsia" w:asciiTheme="majorEastAsia" w:hAnsiTheme="majorEastAsia" w:eastAsiaTheme="majorEastAsia" w:cstheme="majorEastAsia"/>
        </w:rPr>
      </w:pPr>
      <w:bookmarkStart w:id="11" w:name="_Toc28352"/>
      <w:r>
        <w:rPr>
          <w:rFonts w:hint="eastAsia" w:asciiTheme="majorEastAsia" w:hAnsiTheme="majorEastAsia" w:eastAsiaTheme="majorEastAsia" w:cstheme="majorEastAsia"/>
        </w:rPr>
        <w:t>4.5 结论与建议阶段</w:t>
      </w:r>
      <w:bookmarkEnd w:id="11"/>
    </w:p>
    <w:p w14:paraId="298D7BB0">
      <w:pPr>
        <w:pStyle w:val="7"/>
        <w:numPr>
          <w:ilvl w:val="0"/>
          <w:numId w:val="0"/>
        </w:numPr>
        <w:spacing w:before="156" w:after="156"/>
        <w:ind w:firstLine="420" w:firstLineChars="200"/>
        <w:rPr>
          <w:rFonts w:hint="eastAsia" w:ascii="宋体" w:hAnsi="宋体"/>
        </w:rPr>
      </w:pPr>
      <w:r>
        <w:rPr>
          <w:rFonts w:hint="eastAsia" w:ascii="宋体" w:hAnsi="宋体"/>
        </w:rPr>
        <w:t>总结全球石油领域机构的学术影响力格局、研究主题的演化脉络，以及机构类型与主题选择的关联规律；针对不同类型、不同层级的机构，提出科研资源配置、战略定位的差异化建议</w:t>
      </w:r>
      <w:r>
        <w:rPr>
          <w:rFonts w:hint="eastAsia" w:ascii="宋体" w:hAnsi="宋体"/>
          <w:lang w:eastAsia="zh-CN"/>
        </w:rPr>
        <w:t>；</w:t>
      </w:r>
      <w:r>
        <w:rPr>
          <w:rFonts w:hint="eastAsia" w:ascii="宋体" w:hAnsi="宋体"/>
        </w:rPr>
        <w:t>整理研究数据、分析结果与建议内容，完成论文报告的撰写。</w:t>
      </w:r>
    </w:p>
    <w:p w14:paraId="1601AA4B">
      <w:pPr>
        <w:pStyle w:val="7"/>
        <w:numPr>
          <w:ilvl w:val="0"/>
          <w:numId w:val="0"/>
        </w:numPr>
        <w:spacing w:before="156" w:after="156"/>
        <w:ind w:leftChars="0"/>
        <w:rPr>
          <w:rFonts w:hint="eastAsia" w:ascii="宋体" w:hAnsi="宋体"/>
        </w:rPr>
      </w:pPr>
    </w:p>
    <w:p w14:paraId="0A967951">
      <w:pPr>
        <w:pStyle w:val="2"/>
        <w:numPr>
          <w:ilvl w:val="0"/>
          <w:numId w:val="1"/>
        </w:numPr>
        <w:bidi w:val="0"/>
        <w:rPr>
          <w:rFonts w:hint="eastAsia" w:asciiTheme="majorEastAsia" w:hAnsiTheme="majorEastAsia" w:eastAsiaTheme="majorEastAsia" w:cstheme="majorEastAsia"/>
        </w:rPr>
      </w:pPr>
      <w:bookmarkStart w:id="12" w:name="_Toc24467"/>
      <w:r>
        <w:rPr>
          <w:rFonts w:hint="eastAsia" w:asciiTheme="majorEastAsia" w:hAnsiTheme="majorEastAsia" w:eastAsiaTheme="majorEastAsia" w:cstheme="majorEastAsia"/>
        </w:rPr>
        <w:t>课题的预期成果</w:t>
      </w:r>
      <w:bookmarkEnd w:id="12"/>
    </w:p>
    <w:p w14:paraId="0B3A0C21">
      <w:pPr>
        <w:ind w:firstLine="420" w:firstLineChars="200"/>
        <w:rPr>
          <w:rFonts w:hint="eastAsia"/>
        </w:rPr>
      </w:pPr>
      <w:r>
        <w:rPr>
          <w:rFonts w:hint="eastAsia"/>
        </w:rPr>
        <w:t>本研究预期将实现以下几个成果：一是构建全球石油领域研究机构的学术影响力评估框架，为后续研究提供参考；二是揭示石油领域关键研究机构的学术地位与发展潜力，为政策制定及资金投入提供依据；三是通过主题演化分析，识别石油领域的未来研究热点与趋势，为科研机构的战略规划提供指导；四是形成一系列关于科研资源配置和机构发展战略的政策建议，促进科研力的提升。</w:t>
      </w:r>
    </w:p>
    <w:p w14:paraId="6B14F5C9">
      <w:pPr>
        <w:rPr>
          <w:rFonts w:hint="eastAsia"/>
        </w:rPr>
      </w:pPr>
    </w:p>
    <w:p w14:paraId="3A05C2DD">
      <w:pPr>
        <w:rPr>
          <w:rFonts w:hint="eastAsia"/>
        </w:rPr>
      </w:pPr>
    </w:p>
    <w:p w14:paraId="3C153833">
      <w:pPr>
        <w:pStyle w:val="2"/>
        <w:numPr>
          <w:ilvl w:val="0"/>
          <w:numId w:val="1"/>
        </w:numPr>
        <w:bidi w:val="0"/>
        <w:rPr>
          <w:rFonts w:hint="eastAsia" w:asciiTheme="majorEastAsia" w:hAnsiTheme="majorEastAsia" w:eastAsiaTheme="majorEastAsia" w:cstheme="majorEastAsia"/>
        </w:rPr>
      </w:pPr>
      <w:bookmarkStart w:id="13" w:name="_Toc12868"/>
      <w:r>
        <w:rPr>
          <w:rFonts w:hint="eastAsia" w:asciiTheme="majorEastAsia" w:hAnsiTheme="majorEastAsia" w:eastAsiaTheme="majorEastAsia" w:cstheme="majorEastAsia"/>
        </w:rPr>
        <w:t>课题工作进度安排</w:t>
      </w:r>
      <w:bookmarkEnd w:id="13"/>
    </w:p>
    <w:p w14:paraId="234CADE3">
      <w:pPr>
        <w:pStyle w:val="7"/>
        <w:numPr>
          <w:ilvl w:val="0"/>
          <w:numId w:val="0"/>
        </w:numPr>
        <w:spacing w:before="156" w:after="156"/>
        <w:ind w:leftChars="0" w:firstLine="420" w:firstLineChars="200"/>
        <w:rPr>
          <w:rFonts w:hint="eastAsia"/>
        </w:rPr>
      </w:pPr>
      <w:r>
        <w:rPr>
          <w:rFonts w:hint="eastAsia"/>
        </w:rPr>
        <w:t>第1-2周，翻译文献，阅读相关领域文献做前期准备工作。具体完成Schlögl等2025年科学计量学评价研究的翻译；精读20篇国内外相关研究（含10篇中文核心+10篇SSCI/SCI文献），梳理现有研究的评价指标、研究方法及存在的不足；制定文献综述框架，明确本课题的研究空白与切入点；同时熟悉Python、LDA主题建模、TOPSIS法等核心工具与方法的基础操作，形成英文文献翻译稿、文献综述初稿及工具学习笔记与操作测试案例。</w:t>
      </w:r>
    </w:p>
    <w:p w14:paraId="2B3B1370">
      <w:pPr>
        <w:pStyle w:val="7"/>
        <w:numPr>
          <w:ilvl w:val="0"/>
          <w:numId w:val="0"/>
        </w:numPr>
        <w:spacing w:before="156" w:after="156"/>
        <w:ind w:leftChars="0" w:firstLine="420" w:firstLineChars="200"/>
        <w:rPr>
          <w:rFonts w:hint="eastAsia"/>
        </w:rPr>
      </w:pPr>
      <w:r>
        <w:rPr>
          <w:rFonts w:hint="eastAsia"/>
        </w:rPr>
        <w:t>第3周，构建高质量文献数据集。依据中国科协发布的石油领域高质量科技期刊分级目录，筛选</w:t>
      </w:r>
      <w:r>
        <w:rPr>
          <w:rFonts w:hint="eastAsia"/>
          <w:lang w:val="en-US" w:eastAsia="zh-CN"/>
        </w:rPr>
        <w:t>109</w:t>
      </w:r>
      <w:r>
        <w:rPr>
          <w:rFonts w:hint="eastAsia"/>
        </w:rPr>
        <w:t>本顶级期刊作为数据来源；结合CSCD、CNKI、DBdata等数据库，以期刊清单</w:t>
      </w:r>
      <w:r>
        <w:rPr>
          <w:rFonts w:hint="eastAsia"/>
          <w:lang w:val="en-US" w:eastAsia="zh-CN"/>
        </w:rPr>
        <w:t>和</w:t>
      </w:r>
      <w:r>
        <w:rPr>
          <w:rFonts w:hint="eastAsia"/>
        </w:rPr>
        <w:t>石油核心关键词为检索条件，系统获取2011-2025年石油领域相关的论文题录、引文、摘要、作者单位等数据；通过Python完成数据清洗，包括去重、补全缺失字段、机构名称标准化、剔除非石油主题文献等操作；提取作者单位并进行初筛，形成包含200-300家机构的初步机构池，最终产出石油领域顶级期刊清单、结构化高质量文献数据集及初步机构池清单。</w:t>
      </w:r>
    </w:p>
    <w:p w14:paraId="536BC5AC">
      <w:pPr>
        <w:pStyle w:val="7"/>
        <w:numPr>
          <w:ilvl w:val="0"/>
          <w:numId w:val="0"/>
        </w:numPr>
        <w:spacing w:before="156" w:after="156"/>
        <w:ind w:leftChars="0" w:firstLine="420" w:firstLineChars="200"/>
        <w:rPr>
          <w:rFonts w:hint="eastAsia"/>
        </w:rPr>
      </w:pPr>
      <w:r>
        <w:rPr>
          <w:rFonts w:hint="eastAsia"/>
        </w:rPr>
        <w:t>第4-6周，量化分析学术影响</w:t>
      </w:r>
      <w:r>
        <w:rPr>
          <w:rFonts w:hint="eastAsia"/>
          <w:lang w:val="en-US" w:eastAsia="zh-CN"/>
        </w:rPr>
        <w:t>力</w:t>
      </w:r>
      <w:r>
        <w:rPr>
          <w:rFonts w:hint="eastAsia"/>
        </w:rPr>
        <w:t>。研究将从科研产出</w:t>
      </w:r>
      <w:r>
        <w:rPr>
          <w:rFonts w:hint="eastAsia"/>
          <w:lang w:eastAsia="zh-CN"/>
        </w:rPr>
        <w:t>、</w:t>
      </w:r>
      <w:r>
        <w:rPr>
          <w:rFonts w:hint="eastAsia"/>
        </w:rPr>
        <w:t>学术影响和国际合作三个维度，结合已有字段构建包含细分指标的指标库（如科研产出维度含论文总量、核心作者占比，学术影响维度含被引频次、H指数，国际合作维度含合作论文数、合作网络广度等）；运用Python计算各机构的基础指标，统计论文数、被引频次、合作论文数等，进而推导篇均被引、H指数、合作网络广度等衍生指标；构建国际合作网络矩阵，记录机构间的合作关系与合作频次；对所有指标数据进行归一化处理，剔除异常值，形成标准化指标数据集，全面评估全球石油领域研究机构的学术表现，揭示其在学术生产、影响力和国际协作方面的优势与不足。</w:t>
      </w:r>
    </w:p>
    <w:p w14:paraId="406FC766">
      <w:pPr>
        <w:pStyle w:val="7"/>
        <w:numPr>
          <w:ilvl w:val="0"/>
          <w:numId w:val="0"/>
        </w:numPr>
        <w:spacing w:before="156" w:after="156"/>
        <w:ind w:leftChars="0" w:firstLine="420" w:firstLineChars="200"/>
        <w:rPr>
          <w:rFonts w:hint="eastAsia"/>
        </w:rPr>
      </w:pPr>
      <w:r>
        <w:rPr>
          <w:rFonts w:hint="eastAsia"/>
        </w:rPr>
        <w:t>第7周，充分调研石油相关领域的评价体系进展、评价维度表征以及主题动态演化进展。重点调研石油领域现有评价体系</w:t>
      </w:r>
      <w:r>
        <w:rPr>
          <w:rFonts w:hint="eastAsia"/>
          <w:lang w:eastAsia="zh-CN"/>
        </w:rPr>
        <w:t>，</w:t>
      </w:r>
      <w:r>
        <w:rPr>
          <w:rFonts w:hint="eastAsia"/>
        </w:rPr>
        <w:t>如SPE机构排名、ESI石油学科排名的指标设置、权重分配逻辑；梳理主题动态演化研究的主流方法（LDA/BERTopic）、阶段划分方式及结果解读思路；对比分析不同研究的优缺点，优化本课题评价体系的指标权重分配方案与主题建模参数；撰写调研报告，明确本课题的方法改进方向，形成石油领域评价体系与主题演化研究调研报告及本课题方法优化方案</w:t>
      </w:r>
      <w:r>
        <w:rPr>
          <w:rFonts w:hint="eastAsia"/>
          <w:lang w:eastAsia="zh-CN"/>
        </w:rPr>
        <w:t>，</w:t>
      </w:r>
      <w:r>
        <w:rPr>
          <w:rFonts w:hint="eastAsia"/>
          <w:lang w:val="en-US" w:eastAsia="zh-CN"/>
        </w:rPr>
        <w:t>包括</w:t>
      </w:r>
      <w:r>
        <w:rPr>
          <w:rFonts w:hint="eastAsia"/>
        </w:rPr>
        <w:t>指标权重设计思路、LDA参数设置依据</w:t>
      </w:r>
      <w:r>
        <w:rPr>
          <w:rFonts w:hint="eastAsia"/>
          <w:lang w:val="en-US" w:eastAsia="zh-CN"/>
        </w:rPr>
        <w:t>等</w:t>
      </w:r>
      <w:r>
        <w:rPr>
          <w:rFonts w:hint="eastAsia"/>
        </w:rPr>
        <w:t>。</w:t>
      </w:r>
    </w:p>
    <w:p w14:paraId="32AB7F93">
      <w:pPr>
        <w:pStyle w:val="7"/>
        <w:numPr>
          <w:ilvl w:val="0"/>
          <w:numId w:val="0"/>
        </w:numPr>
        <w:spacing w:before="156" w:after="156"/>
        <w:ind w:leftChars="0" w:firstLine="420" w:firstLineChars="200"/>
        <w:rPr>
          <w:rFonts w:hint="eastAsia"/>
          <w:lang w:val="en-US" w:eastAsia="zh-CN"/>
        </w:rPr>
      </w:pPr>
      <w:r>
        <w:rPr>
          <w:rFonts w:hint="eastAsia"/>
        </w:rPr>
        <w:t>第8-11周，构建学术影响力评价体系。基于前述的影响力维度与细分指标，采用“德尔菲法+熵权法”组合赋权，对指标重要性评分，结合数据离散度计算最终指标权重；运用TOPSIS法构建评价模型，输入标准化指标数据，计算各机构的综合得分并进行全球范围内石油领域科研机构的学术竞争力排名；依据得分分布，将机构划分为头部引领型、中坚创新型、特色细分型三个层级；通过Tableau/Matplotlib可视化排名结果与各维度指标表现，验证模型合理性，针对低产出高影响等异常结果进行归因分析并优化模型参数；最终形成指标权重表、全球石油领域机构学术影响力排名及分层结果、评价模型构建报告及指标表现可视化图表，综合评估各机构在全球石油学术领域的影响力和竞争地位。</w:t>
      </w:r>
    </w:p>
    <w:p w14:paraId="55D4FDA2">
      <w:pPr>
        <w:pStyle w:val="7"/>
        <w:numPr>
          <w:ilvl w:val="0"/>
          <w:numId w:val="0"/>
        </w:numPr>
        <w:spacing w:before="156" w:after="156"/>
        <w:ind w:leftChars="0" w:firstLine="420" w:firstLineChars="200"/>
        <w:rPr>
          <w:rFonts w:hint="eastAsia"/>
          <w:lang w:val="en-US" w:eastAsia="zh-CN"/>
        </w:rPr>
      </w:pPr>
      <w:r>
        <w:rPr>
          <w:rFonts w:hint="eastAsia"/>
        </w:rPr>
        <w:t>第12-14周，研究主题动态演化分析。运用文本挖掘与主题建模技术，先对文献摘要进行文本预处理，包括分词、去停用词、构建石油领域专属词库，生成词袋模型；分三个阶段（2011-2015、2016-2020、2021-2025）训练LDA主题模型，确定最优主题数，生成各阶段的主题-关键词分布；计算各主题强度，绘制时序演化曲线，识别石油领域研究热点主题的变迁脉络；特别关注不同类型、不同层级机构在研究主题上的转变趋势与发展方向，对比其主题分布差异，分析研究方向偏好；运用VOSviewer可视化主题演化路径与机构-主题关联图谱，通过时间序列分析探讨石油领域技术创新的学术脉络。</w:t>
      </w:r>
    </w:p>
    <w:p w14:paraId="1B67FBCB">
      <w:pPr>
        <w:pStyle w:val="7"/>
        <w:numPr>
          <w:ilvl w:val="0"/>
          <w:numId w:val="0"/>
        </w:numPr>
        <w:spacing w:before="156" w:after="156"/>
        <w:ind w:leftChars="0" w:firstLine="420" w:firstLineChars="200"/>
        <w:rPr>
          <w:rFonts w:hint="eastAsia"/>
        </w:rPr>
      </w:pPr>
      <w:r>
        <w:rPr>
          <w:rFonts w:hint="eastAsia"/>
        </w:rPr>
        <w:t>第15-18周，策略性讨论与政策建议。基于学术影响力的评估结果与研究主题的演化分析结论，交叉梳理头部机构的主题聚焦特征、特色机构的细分领域突破路径；深入探讨不同类型机构在科研资源配置、战略定位以及创新能力方面的相互关系，分析机构类型、资源配置与主题选择、学术影响力的关联机制（如企业机构技术转化导向与高被引成果的相关性）；针对不同层级、不同类型的机构提出差异化建议，如建议高校强化基础研究与国际合作的结合、企业研发机构提升学术成果转化效率、政策制定者优化石油领域科研资源的跨机构协同配置；撰写毕业论文终稿，整合研究数据、模型结果、分析结论与政策建议，完善参考文献、图表标注，完成论文查重与修改，最终形成影响力与主题演化关联分析报告、科研资源配置与机构战略定位政策建议清单及完整的毕业论文终稿。</w:t>
      </w:r>
    </w:p>
    <w:p w14:paraId="77987EC3">
      <w:pPr>
        <w:pStyle w:val="7"/>
        <w:numPr>
          <w:ilvl w:val="0"/>
          <w:numId w:val="0"/>
        </w:numPr>
        <w:spacing w:before="156" w:after="156"/>
        <w:ind w:leftChars="0"/>
        <w:rPr>
          <w:rFonts w:hint="eastAsia" w:ascii="宋体" w:hAnsi="宋体"/>
        </w:rPr>
      </w:pPr>
    </w:p>
    <w:p w14:paraId="7AAEC111">
      <w:pPr>
        <w:pStyle w:val="2"/>
        <w:numPr>
          <w:ilvl w:val="0"/>
          <w:numId w:val="1"/>
        </w:numPr>
        <w:bidi w:val="0"/>
        <w:rPr>
          <w:rFonts w:hint="eastAsia" w:asciiTheme="majorEastAsia" w:hAnsiTheme="majorEastAsia" w:eastAsiaTheme="majorEastAsia" w:cstheme="majorEastAsia"/>
        </w:rPr>
      </w:pPr>
      <w:bookmarkStart w:id="14" w:name="_Toc7970"/>
      <w:r>
        <w:rPr>
          <w:rFonts w:hint="eastAsia" w:asciiTheme="majorEastAsia" w:hAnsiTheme="majorEastAsia" w:eastAsiaTheme="majorEastAsia" w:cstheme="majorEastAsia"/>
        </w:rPr>
        <w:t>参考文献</w:t>
      </w:r>
      <w:bookmarkEnd w:id="14"/>
    </w:p>
    <w:p w14:paraId="20DF42AE">
      <w:pPr>
        <w:pStyle w:val="7"/>
        <w:keepNext w:val="0"/>
        <w:keepLines w:val="0"/>
        <w:pageBreakBefore w:val="0"/>
        <w:widowControl w:val="0"/>
        <w:numPr>
          <w:ilvl w:val="0"/>
          <w:numId w:val="0"/>
        </w:numPr>
        <w:kinsoku/>
        <w:wordWrap w:val="0"/>
        <w:overflowPunct/>
        <w:topLinePunct w:val="0"/>
        <w:autoSpaceDE w:val="0"/>
        <w:autoSpaceDN w:val="0"/>
        <w:bidi w:val="0"/>
        <w:adjustRightInd/>
        <w:snapToGrid/>
        <w:spacing w:before="156" w:after="156"/>
        <w:ind w:leftChars="0"/>
        <w:textAlignment w:val="auto"/>
        <w:rPr>
          <w:rFonts w:hint="eastAsia" w:ascii="宋体" w:hAnsi="宋体"/>
          <w:sz w:val="24"/>
          <w:szCs w:val="24"/>
        </w:rPr>
      </w:pPr>
      <w:r>
        <w:rPr>
          <w:rFonts w:hint="eastAsia" w:ascii="宋体" w:hAnsi="宋体"/>
          <w:sz w:val="24"/>
          <w:szCs w:val="24"/>
        </w:rPr>
        <w:t>[1]</w:t>
      </w:r>
      <w:r>
        <w:rPr>
          <w:rFonts w:hint="eastAsia" w:ascii="宋体" w:hAnsi="宋体"/>
          <w:sz w:val="24"/>
          <w:szCs w:val="24"/>
        </w:rPr>
        <w:t>王宏宇,石锴文,王晓光,等. 基于词向量网络的科研主题演化分析：语义漂移过程的揭示[J].情报学报,2025,44(10):1287-1299.</w:t>
      </w:r>
    </w:p>
    <w:p w14:paraId="285C242A">
      <w:pPr>
        <w:pStyle w:val="7"/>
        <w:keepNext w:val="0"/>
        <w:keepLines w:val="0"/>
        <w:pageBreakBefore w:val="0"/>
        <w:widowControl w:val="0"/>
        <w:numPr>
          <w:ilvl w:val="0"/>
          <w:numId w:val="0"/>
        </w:numPr>
        <w:kinsoku/>
        <w:wordWrap w:val="0"/>
        <w:overflowPunct/>
        <w:topLinePunct w:val="0"/>
        <w:autoSpaceDE w:val="0"/>
        <w:autoSpaceDN w:val="0"/>
        <w:bidi w:val="0"/>
        <w:adjustRightInd/>
        <w:snapToGrid/>
        <w:spacing w:before="156" w:after="156"/>
        <w:ind w:leftChars="0"/>
        <w:textAlignment w:val="auto"/>
        <w:rPr>
          <w:rFonts w:hint="eastAsia" w:ascii="宋体" w:hAnsi="宋体"/>
          <w:sz w:val="24"/>
          <w:szCs w:val="24"/>
        </w:rPr>
      </w:pPr>
      <w:r>
        <w:rPr>
          <w:rFonts w:hint="eastAsia" w:ascii="宋体" w:hAnsi="宋体"/>
          <w:sz w:val="24"/>
          <w:szCs w:val="24"/>
        </w:rPr>
        <w:t>[2]张宁,李媛. 中英文图情领域大语言模型研究主题对比分析——基于ChatGPT发布后CSSCI/SSCI文献的BERTopic建模分析[J].江苏科技信息,2025,42(22):77-84.</w:t>
      </w:r>
    </w:p>
    <w:p w14:paraId="45271571">
      <w:pPr>
        <w:pStyle w:val="7"/>
        <w:keepNext w:val="0"/>
        <w:keepLines w:val="0"/>
        <w:pageBreakBefore w:val="0"/>
        <w:widowControl w:val="0"/>
        <w:numPr>
          <w:ilvl w:val="0"/>
          <w:numId w:val="0"/>
        </w:numPr>
        <w:kinsoku/>
        <w:wordWrap w:val="0"/>
        <w:overflowPunct/>
        <w:topLinePunct w:val="0"/>
        <w:autoSpaceDE w:val="0"/>
        <w:autoSpaceDN w:val="0"/>
        <w:bidi w:val="0"/>
        <w:adjustRightInd/>
        <w:snapToGrid/>
        <w:spacing w:before="156" w:after="156"/>
        <w:ind w:leftChars="0"/>
        <w:textAlignment w:val="auto"/>
        <w:rPr>
          <w:rFonts w:hint="eastAsia" w:ascii="宋体" w:hAnsi="宋体"/>
          <w:sz w:val="24"/>
          <w:szCs w:val="24"/>
        </w:rPr>
      </w:pPr>
      <w:r>
        <w:rPr>
          <w:rFonts w:hint="eastAsia" w:ascii="宋体" w:hAnsi="宋体"/>
          <w:sz w:val="24"/>
          <w:szCs w:val="24"/>
        </w:rPr>
        <w:t>[3]贺博,程华薇. 跨文化视角下国内戏剧传播研究的演变、热点与反思——基于中国知网(1992—2024)相关文献分析[J].四川戏剧,2025,(11):86-91.</w:t>
      </w:r>
    </w:p>
    <w:p w14:paraId="34A277EE">
      <w:pPr>
        <w:pStyle w:val="7"/>
        <w:keepNext w:val="0"/>
        <w:keepLines w:val="0"/>
        <w:pageBreakBefore w:val="0"/>
        <w:widowControl w:val="0"/>
        <w:numPr>
          <w:ilvl w:val="0"/>
          <w:numId w:val="0"/>
        </w:numPr>
        <w:kinsoku/>
        <w:wordWrap w:val="0"/>
        <w:overflowPunct/>
        <w:topLinePunct w:val="0"/>
        <w:autoSpaceDE w:val="0"/>
        <w:autoSpaceDN w:val="0"/>
        <w:bidi w:val="0"/>
        <w:adjustRightInd/>
        <w:snapToGrid/>
        <w:spacing w:before="156" w:after="156"/>
        <w:ind w:leftChars="0"/>
        <w:textAlignment w:val="auto"/>
        <w:rPr>
          <w:rFonts w:hint="eastAsia" w:ascii="宋体" w:hAnsi="宋体"/>
          <w:sz w:val="24"/>
          <w:szCs w:val="24"/>
        </w:rPr>
      </w:pPr>
      <w:r>
        <w:rPr>
          <w:rFonts w:hint="eastAsia" w:ascii="宋体" w:hAnsi="宋体"/>
          <w:sz w:val="24"/>
          <w:szCs w:val="24"/>
        </w:rPr>
        <w:t>[4]谢晨,孙茜,余菁,等. 助农直播研究情况与趋势——基于中国知网的文献分析[J].中南农业科技,2025,46(10):231-234.</w:t>
      </w:r>
    </w:p>
    <w:p w14:paraId="2E0B6F9A">
      <w:pPr>
        <w:pStyle w:val="7"/>
        <w:keepNext w:val="0"/>
        <w:keepLines w:val="0"/>
        <w:pageBreakBefore w:val="0"/>
        <w:widowControl w:val="0"/>
        <w:numPr>
          <w:ilvl w:val="0"/>
          <w:numId w:val="0"/>
        </w:numPr>
        <w:kinsoku/>
        <w:wordWrap w:val="0"/>
        <w:overflowPunct/>
        <w:topLinePunct w:val="0"/>
        <w:autoSpaceDE w:val="0"/>
        <w:autoSpaceDN w:val="0"/>
        <w:bidi w:val="0"/>
        <w:adjustRightInd/>
        <w:snapToGrid/>
        <w:spacing w:before="156" w:after="156"/>
        <w:ind w:leftChars="0"/>
        <w:textAlignment w:val="auto"/>
        <w:rPr>
          <w:rFonts w:hint="eastAsia" w:ascii="宋体" w:hAnsi="宋体"/>
          <w:sz w:val="24"/>
          <w:szCs w:val="24"/>
        </w:rPr>
      </w:pPr>
      <w:r>
        <w:rPr>
          <w:rFonts w:hint="eastAsia" w:ascii="宋体" w:hAnsi="宋体"/>
          <w:sz w:val="24"/>
          <w:szCs w:val="24"/>
        </w:rPr>
        <w:t>[5]</w:t>
      </w:r>
      <w:r>
        <w:rPr>
          <w:rFonts w:hint="eastAsia" w:ascii="宋体" w:hAnsi="宋体"/>
          <w:sz w:val="24"/>
          <w:szCs w:val="24"/>
        </w:rPr>
        <w:t>周甜,李雪婷,王运武. K-12教育机器人应用的研究现状与趋势——基于Web of Science期刊2014—2023年的文献分析[J].中小学电教,2025,(12):14-19.</w:t>
      </w:r>
    </w:p>
    <w:p w14:paraId="6214DA41">
      <w:pPr>
        <w:pStyle w:val="7"/>
        <w:keepNext w:val="0"/>
        <w:keepLines w:val="0"/>
        <w:pageBreakBefore w:val="0"/>
        <w:widowControl w:val="0"/>
        <w:numPr>
          <w:ilvl w:val="0"/>
          <w:numId w:val="0"/>
        </w:numPr>
        <w:kinsoku/>
        <w:wordWrap w:val="0"/>
        <w:overflowPunct/>
        <w:topLinePunct w:val="0"/>
        <w:autoSpaceDE w:val="0"/>
        <w:autoSpaceDN w:val="0"/>
        <w:bidi w:val="0"/>
        <w:adjustRightInd/>
        <w:snapToGrid/>
        <w:spacing w:before="156" w:after="156"/>
        <w:ind w:leftChars="0"/>
        <w:textAlignment w:val="auto"/>
        <w:rPr>
          <w:rFonts w:hint="eastAsia" w:ascii="宋体" w:hAnsi="宋体"/>
          <w:sz w:val="24"/>
          <w:szCs w:val="24"/>
        </w:rPr>
      </w:pPr>
      <w:r>
        <w:rPr>
          <w:rFonts w:hint="eastAsia" w:ascii="宋体" w:hAnsi="宋体"/>
          <w:sz w:val="24"/>
          <w:szCs w:val="24"/>
        </w:rPr>
        <w:t>[6]龚蛟腾,张康,王凤姣. 图书情报学方法论范式演进及其学术影响力研究——基于图书情报学18种CSSCI来源期刊的实证分析[J].图书情报工作,2025,69(21):52-69.DOI:10.13266/j.issn.0252-3116.2025.21.005.</w:t>
      </w:r>
    </w:p>
    <w:p w14:paraId="2A22100A">
      <w:pPr>
        <w:pStyle w:val="7"/>
        <w:keepNext w:val="0"/>
        <w:keepLines w:val="0"/>
        <w:pageBreakBefore w:val="0"/>
        <w:widowControl w:val="0"/>
        <w:numPr>
          <w:ilvl w:val="0"/>
          <w:numId w:val="0"/>
        </w:numPr>
        <w:kinsoku/>
        <w:wordWrap w:val="0"/>
        <w:overflowPunct/>
        <w:topLinePunct w:val="0"/>
        <w:autoSpaceDE w:val="0"/>
        <w:autoSpaceDN w:val="0"/>
        <w:bidi w:val="0"/>
        <w:adjustRightInd/>
        <w:snapToGrid/>
        <w:spacing w:before="156" w:after="156"/>
        <w:ind w:leftChars="0"/>
        <w:textAlignment w:val="auto"/>
        <w:rPr>
          <w:rFonts w:hint="eastAsia" w:ascii="宋体" w:hAnsi="宋体"/>
          <w:sz w:val="24"/>
          <w:szCs w:val="24"/>
        </w:rPr>
      </w:pPr>
      <w:r>
        <w:rPr>
          <w:rFonts w:hint="eastAsia" w:ascii="宋体" w:hAnsi="宋体"/>
          <w:sz w:val="24"/>
          <w:szCs w:val="24"/>
        </w:rPr>
        <w:t>[7]张璜,高睿. 主题性视域下中国设计学学者学术影响力的评价立场——基于LDA模型的实证研究[J].上海视觉,2024,(04):136-143.</w:t>
      </w:r>
    </w:p>
    <w:p w14:paraId="5B5A2C98">
      <w:pPr>
        <w:pStyle w:val="7"/>
        <w:keepNext w:val="0"/>
        <w:keepLines w:val="0"/>
        <w:pageBreakBefore w:val="0"/>
        <w:widowControl w:val="0"/>
        <w:numPr>
          <w:ilvl w:val="0"/>
          <w:numId w:val="0"/>
        </w:numPr>
        <w:kinsoku/>
        <w:wordWrap w:val="0"/>
        <w:overflowPunct/>
        <w:topLinePunct w:val="0"/>
        <w:autoSpaceDE w:val="0"/>
        <w:autoSpaceDN w:val="0"/>
        <w:bidi w:val="0"/>
        <w:adjustRightInd/>
        <w:snapToGrid/>
        <w:spacing w:before="156" w:after="156"/>
        <w:ind w:leftChars="0"/>
        <w:textAlignment w:val="auto"/>
        <w:rPr>
          <w:rFonts w:hint="eastAsia" w:ascii="宋体" w:hAnsi="宋体"/>
          <w:sz w:val="24"/>
          <w:szCs w:val="24"/>
        </w:rPr>
      </w:pPr>
      <w:r>
        <w:rPr>
          <w:rFonts w:hint="eastAsia" w:ascii="宋体" w:hAnsi="宋体"/>
          <w:sz w:val="24"/>
          <w:szCs w:val="24"/>
        </w:rPr>
        <w:t>[8]林子婕,唐星龙. 互动视角下学者学术影响力多维评价模型研究[J].情报理论与实践,2024,47(09):88-98.DOI:10.16353/j.cnki.1000-7490.2024.09.009.</w:t>
      </w:r>
    </w:p>
    <w:p w14:paraId="25A30D86">
      <w:pPr>
        <w:pStyle w:val="7"/>
        <w:keepNext w:val="0"/>
        <w:keepLines w:val="0"/>
        <w:pageBreakBefore w:val="0"/>
        <w:widowControl w:val="0"/>
        <w:numPr>
          <w:ilvl w:val="0"/>
          <w:numId w:val="0"/>
        </w:numPr>
        <w:kinsoku/>
        <w:wordWrap w:val="0"/>
        <w:overflowPunct/>
        <w:topLinePunct w:val="0"/>
        <w:autoSpaceDE w:val="0"/>
        <w:autoSpaceDN w:val="0"/>
        <w:bidi w:val="0"/>
        <w:adjustRightInd/>
        <w:snapToGrid/>
        <w:spacing w:before="156" w:after="156"/>
        <w:ind w:leftChars="0"/>
        <w:textAlignment w:val="auto"/>
        <w:rPr>
          <w:rFonts w:hint="eastAsia" w:ascii="宋体" w:hAnsi="宋体"/>
          <w:sz w:val="24"/>
          <w:szCs w:val="24"/>
        </w:rPr>
      </w:pPr>
      <w:r>
        <w:rPr>
          <w:rFonts w:hint="eastAsia" w:ascii="宋体" w:hAnsi="宋体"/>
          <w:sz w:val="24"/>
          <w:szCs w:val="24"/>
        </w:rPr>
        <w:t>[9]蔡文伯,陈念念. 国际教育现代化研究的学术影响力与发展趋势——基于WOS数据库的文献计量学分析[J].山东高等教育,2022,10(01):1-10.</w:t>
      </w:r>
    </w:p>
    <w:p w14:paraId="317EF37A">
      <w:pPr>
        <w:pStyle w:val="7"/>
        <w:keepNext w:val="0"/>
        <w:keepLines w:val="0"/>
        <w:pageBreakBefore w:val="0"/>
        <w:widowControl w:val="0"/>
        <w:numPr>
          <w:ilvl w:val="0"/>
          <w:numId w:val="0"/>
        </w:numPr>
        <w:kinsoku/>
        <w:wordWrap w:val="0"/>
        <w:overflowPunct/>
        <w:topLinePunct w:val="0"/>
        <w:autoSpaceDE w:val="0"/>
        <w:autoSpaceDN w:val="0"/>
        <w:bidi w:val="0"/>
        <w:adjustRightInd/>
        <w:snapToGrid/>
        <w:spacing w:before="156" w:after="156"/>
        <w:ind w:leftChars="0"/>
        <w:textAlignment w:val="auto"/>
        <w:rPr>
          <w:rFonts w:hint="eastAsia" w:ascii="宋体" w:hAnsi="宋体"/>
          <w:sz w:val="24"/>
          <w:szCs w:val="24"/>
        </w:rPr>
      </w:pPr>
      <w:r>
        <w:rPr>
          <w:rFonts w:hint="eastAsia" w:ascii="宋体" w:hAnsi="宋体"/>
          <w:sz w:val="24"/>
          <w:szCs w:val="24"/>
        </w:rPr>
        <w:t>[10]刘晓晨. 科研人员核心竞争力评价模型研究[J].数字图书馆论坛,2021,(07):36-42.</w:t>
      </w:r>
    </w:p>
    <w:p w14:paraId="4712E960">
      <w:pPr>
        <w:pStyle w:val="7"/>
        <w:keepNext w:val="0"/>
        <w:keepLines w:val="0"/>
        <w:pageBreakBefore w:val="0"/>
        <w:widowControl w:val="0"/>
        <w:numPr>
          <w:ilvl w:val="0"/>
          <w:numId w:val="0"/>
        </w:numPr>
        <w:kinsoku/>
        <w:wordWrap w:val="0"/>
        <w:overflowPunct/>
        <w:topLinePunct w:val="0"/>
        <w:autoSpaceDE w:val="0"/>
        <w:autoSpaceDN w:val="0"/>
        <w:bidi w:val="0"/>
        <w:adjustRightInd/>
        <w:snapToGrid/>
        <w:spacing w:before="156" w:after="156"/>
        <w:ind w:leftChars="0"/>
        <w:textAlignment w:val="auto"/>
        <w:rPr>
          <w:rFonts w:hint="eastAsia" w:ascii="宋体" w:hAnsi="宋体"/>
          <w:sz w:val="24"/>
          <w:szCs w:val="24"/>
        </w:rPr>
      </w:pPr>
      <w:r>
        <w:rPr>
          <w:rFonts w:hint="eastAsia" w:ascii="宋体" w:hAnsi="宋体"/>
          <w:sz w:val="24"/>
          <w:szCs w:val="24"/>
        </w:rPr>
        <w:t>[11]张贤金,吴新建. 基础科学教育研究趋势及学术影响——基于2010-2016年中国知网教师教育研究机构的文献分析[J].教师发展研究,2017,1(02):115-124.DOI:10.19618/j.cnki.issn2096-319x.2017.02.015.</w:t>
      </w:r>
    </w:p>
    <w:p w14:paraId="0FF01AAA">
      <w:pPr>
        <w:pStyle w:val="7"/>
        <w:keepNext w:val="0"/>
        <w:keepLines w:val="0"/>
        <w:pageBreakBefore w:val="0"/>
        <w:widowControl w:val="0"/>
        <w:numPr>
          <w:ilvl w:val="0"/>
          <w:numId w:val="0"/>
        </w:numPr>
        <w:kinsoku/>
        <w:wordWrap w:val="0"/>
        <w:overflowPunct/>
        <w:topLinePunct w:val="0"/>
        <w:autoSpaceDE w:val="0"/>
        <w:autoSpaceDN w:val="0"/>
        <w:bidi w:val="0"/>
        <w:adjustRightInd/>
        <w:snapToGrid/>
        <w:spacing w:before="156" w:after="156"/>
        <w:ind w:leftChars="0"/>
        <w:textAlignment w:val="auto"/>
        <w:rPr>
          <w:rFonts w:hint="eastAsia" w:ascii="宋体" w:hAnsi="宋体"/>
          <w:sz w:val="24"/>
          <w:szCs w:val="24"/>
        </w:rPr>
      </w:pPr>
      <w:r>
        <w:rPr>
          <w:rFonts w:hint="eastAsia" w:ascii="宋体" w:hAnsi="宋体"/>
          <w:sz w:val="24"/>
          <w:szCs w:val="24"/>
        </w:rPr>
        <w:t>[12]李小燕,郑军卫,田欣,等. 中文科技期刊影响力分析与提升路径——以石油天然气工程类期刊为例[J].中国科技期刊研究,2016,27(11):1221-1227.</w:t>
      </w:r>
    </w:p>
    <w:p w14:paraId="5063CF8C">
      <w:pPr>
        <w:pStyle w:val="7"/>
        <w:keepNext w:val="0"/>
        <w:keepLines w:val="0"/>
        <w:pageBreakBefore w:val="0"/>
        <w:widowControl w:val="0"/>
        <w:numPr>
          <w:ilvl w:val="0"/>
          <w:numId w:val="0"/>
        </w:numPr>
        <w:kinsoku/>
        <w:wordWrap w:val="0"/>
        <w:overflowPunct/>
        <w:topLinePunct w:val="0"/>
        <w:autoSpaceDE w:val="0"/>
        <w:autoSpaceDN w:val="0"/>
        <w:bidi w:val="0"/>
        <w:adjustRightInd/>
        <w:snapToGrid/>
        <w:spacing w:before="156" w:after="156"/>
        <w:ind w:leftChars="0"/>
        <w:textAlignment w:val="auto"/>
        <w:rPr>
          <w:rFonts w:hint="eastAsia" w:ascii="宋体" w:hAnsi="宋体"/>
          <w:sz w:val="24"/>
          <w:szCs w:val="24"/>
        </w:rPr>
      </w:pPr>
      <w:r>
        <w:rPr>
          <w:rFonts w:hint="eastAsia" w:ascii="宋体" w:hAnsi="宋体"/>
          <w:sz w:val="24"/>
          <w:szCs w:val="24"/>
        </w:rPr>
        <w:t>[13]李凯旋,林娜,杨洪勇. 基于《情报科学》期刊作者合作网络模型分析[J].现代情报,2007,(09):57-60+63.</w:t>
      </w:r>
    </w:p>
    <w:p w14:paraId="700DD326">
      <w:pPr>
        <w:pStyle w:val="7"/>
        <w:keepNext w:val="0"/>
        <w:keepLines w:val="0"/>
        <w:pageBreakBefore w:val="0"/>
        <w:widowControl w:val="0"/>
        <w:numPr>
          <w:ilvl w:val="0"/>
          <w:numId w:val="0"/>
        </w:numPr>
        <w:kinsoku/>
        <w:wordWrap w:val="0"/>
        <w:overflowPunct/>
        <w:topLinePunct w:val="0"/>
        <w:autoSpaceDE w:val="0"/>
        <w:autoSpaceDN w:val="0"/>
        <w:bidi w:val="0"/>
        <w:adjustRightInd/>
        <w:snapToGrid/>
        <w:spacing w:before="156" w:after="156"/>
        <w:ind w:leftChars="0"/>
        <w:textAlignment w:val="auto"/>
        <w:rPr>
          <w:rFonts w:hint="eastAsia" w:ascii="宋体" w:hAnsi="宋体"/>
          <w:sz w:val="24"/>
          <w:szCs w:val="24"/>
        </w:rPr>
      </w:pPr>
      <w:r>
        <w:rPr>
          <w:rFonts w:hint="eastAsia" w:ascii="宋体" w:hAnsi="宋体"/>
          <w:sz w:val="24"/>
          <w:szCs w:val="24"/>
        </w:rPr>
        <w:t>[</w:t>
      </w:r>
      <w:r>
        <w:rPr>
          <w:rFonts w:hint="eastAsia" w:ascii="宋体" w:hAnsi="宋体"/>
          <w:sz w:val="24"/>
          <w:szCs w:val="24"/>
          <w:lang w:val="en-US" w:eastAsia="zh-CN"/>
        </w:rPr>
        <w:t>14</w:t>
      </w:r>
      <w:r>
        <w:rPr>
          <w:rFonts w:hint="eastAsia" w:ascii="宋体" w:hAnsi="宋体"/>
          <w:sz w:val="24"/>
          <w:szCs w:val="24"/>
        </w:rPr>
        <w:t>]Qosimjonov S A. Scientometric indicators as tools for evaluating innovation and research productivity[J]. Technical Science Integrated Research, 2025, 1(3): 24-29.</w:t>
      </w:r>
    </w:p>
    <w:p w14:paraId="52FA7D76">
      <w:pPr>
        <w:keepNext w:val="0"/>
        <w:keepLines w:val="0"/>
        <w:pageBreakBefore w:val="0"/>
        <w:widowControl w:val="0"/>
        <w:kinsoku/>
        <w:wordWrap w:val="0"/>
        <w:overflowPunct/>
        <w:topLinePunct w:val="0"/>
        <w:autoSpaceDE w:val="0"/>
        <w:autoSpaceDN w:val="0"/>
        <w:bidi w:val="0"/>
        <w:adjustRightInd/>
        <w:snapToGrid/>
        <w:textAlignment w:val="auto"/>
        <w:rPr>
          <w:rFonts w:hint="eastAsia" w:ascii="宋体" w:hAnsi="宋体"/>
          <w:sz w:val="24"/>
          <w:szCs w:val="24"/>
        </w:rPr>
      </w:pPr>
      <w:r>
        <w:rPr>
          <w:rFonts w:hint="eastAsia" w:ascii="宋体" w:hAnsi="宋体"/>
          <w:sz w:val="24"/>
          <w:szCs w:val="24"/>
        </w:rPr>
        <w:t>[</w:t>
      </w:r>
      <w:r>
        <w:rPr>
          <w:rFonts w:hint="eastAsia" w:ascii="宋体" w:hAnsi="宋体"/>
          <w:sz w:val="24"/>
          <w:szCs w:val="24"/>
          <w:lang w:val="en-US" w:eastAsia="zh-CN"/>
        </w:rPr>
        <w:t>15</w:t>
      </w:r>
      <w:r>
        <w:rPr>
          <w:rFonts w:hint="eastAsia" w:ascii="宋体" w:hAnsi="宋体"/>
          <w:sz w:val="24"/>
          <w:szCs w:val="24"/>
        </w:rPr>
        <w:t>]Praveen R K ,Joseph S P ,Cyril S , et al. Exposure and health: A progress update by evaluation and scientometric analysis. [J]. Stochastic environmental research and risk assessment : research journal, 2022, 37 (2): 11-13. DOI:10.1007/S00477-022-02313-Z.</w:t>
      </w:r>
    </w:p>
    <w:p w14:paraId="55351265">
      <w:pPr>
        <w:keepNext w:val="0"/>
        <w:keepLines w:val="0"/>
        <w:pageBreakBefore w:val="0"/>
        <w:widowControl w:val="0"/>
        <w:kinsoku/>
        <w:wordWrap w:val="0"/>
        <w:overflowPunct/>
        <w:topLinePunct w:val="0"/>
        <w:autoSpaceDE w:val="0"/>
        <w:autoSpaceDN w:val="0"/>
        <w:bidi w:val="0"/>
        <w:adjustRightInd/>
        <w:snapToGrid/>
        <w:textAlignment w:val="auto"/>
        <w:rPr>
          <w:rFonts w:hint="eastAsia" w:eastAsiaTheme="minorEastAsia"/>
          <w:sz w:val="24"/>
          <w:szCs w:val="24"/>
          <w:lang w:eastAsia="zh-CN"/>
        </w:rPr>
      </w:pPr>
      <w:r>
        <w:rPr>
          <w:rFonts w:hint="eastAsia" w:ascii="宋体" w:hAnsi="宋体"/>
          <w:sz w:val="24"/>
          <w:szCs w:val="24"/>
        </w:rPr>
        <w:t>[</w:t>
      </w:r>
      <w:r>
        <w:rPr>
          <w:rFonts w:hint="eastAsia" w:ascii="宋体" w:hAnsi="宋体"/>
          <w:sz w:val="24"/>
          <w:szCs w:val="24"/>
          <w:lang w:val="en-US" w:eastAsia="zh-CN"/>
        </w:rPr>
        <w:t>16</w:t>
      </w:r>
      <w:r>
        <w:rPr>
          <w:rFonts w:hint="eastAsia" w:ascii="宋体" w:hAnsi="宋体"/>
          <w:sz w:val="24"/>
          <w:szCs w:val="24"/>
        </w:rPr>
        <w:t>]Schlögl C, Stock W G, Reichmann G. Scientometric evaluation of research institutions: Identifying the appropriate dimensions and attributes for assessment[J]. Journal of Information Science Theory and Practice, 2025, 13(2): 49-68.</w:t>
      </w:r>
    </w:p>
    <w:p w14:paraId="5E887C58">
      <w:pPr>
        <w:keepNext w:val="0"/>
        <w:keepLines w:val="0"/>
        <w:pageBreakBefore w:val="0"/>
        <w:widowControl w:val="0"/>
        <w:kinsoku/>
        <w:wordWrap w:val="0"/>
        <w:overflowPunct/>
        <w:topLinePunct w:val="0"/>
        <w:autoSpaceDE w:val="0"/>
        <w:autoSpaceDN w:val="0"/>
        <w:bidi w:val="0"/>
        <w:adjustRightInd/>
        <w:snapToGrid/>
        <w:textAlignment w:val="auto"/>
        <w:rPr>
          <w:rFonts w:hint="eastAsia" w:ascii="宋体" w:hAnsi="宋体"/>
          <w:sz w:val="24"/>
          <w:szCs w:val="24"/>
          <w:lang w:eastAsia="zh-CN"/>
        </w:rPr>
      </w:pPr>
      <w:r>
        <w:rPr>
          <w:rFonts w:hint="eastAsia" w:ascii="宋体" w:hAnsi="宋体"/>
          <w:sz w:val="24"/>
          <w:szCs w:val="24"/>
        </w:rPr>
        <w:t>[</w:t>
      </w:r>
      <w:r>
        <w:rPr>
          <w:rFonts w:hint="eastAsia" w:ascii="宋体" w:hAnsi="宋体"/>
          <w:sz w:val="24"/>
          <w:szCs w:val="24"/>
          <w:lang w:val="en-US" w:eastAsia="zh-CN"/>
        </w:rPr>
        <w:t>17</w:t>
      </w:r>
      <w:r>
        <w:rPr>
          <w:rFonts w:hint="eastAsia" w:ascii="宋体" w:hAnsi="宋体"/>
          <w:sz w:val="24"/>
          <w:szCs w:val="24"/>
        </w:rPr>
        <w:t>]</w:t>
      </w:r>
      <w:r>
        <w:rPr>
          <w:rFonts w:hint="eastAsia" w:ascii="宋体" w:hAnsi="宋体"/>
          <w:sz w:val="24"/>
          <w:szCs w:val="24"/>
          <w:lang w:eastAsia="zh-CN"/>
        </w:rPr>
        <w:t>Ghosh A ,Das S . Research Productivity of University of Petroleum and Energy Studies during 2004-2018 : A Scientometric Analysis [J]. Library Philosophy and Practice, 2020, 1-10.</w:t>
      </w:r>
    </w:p>
    <w:p w14:paraId="04551EDC">
      <w:pPr>
        <w:keepNext w:val="0"/>
        <w:keepLines w:val="0"/>
        <w:pageBreakBefore w:val="0"/>
        <w:widowControl w:val="0"/>
        <w:kinsoku/>
        <w:wordWrap w:val="0"/>
        <w:overflowPunct/>
        <w:topLinePunct w:val="0"/>
        <w:autoSpaceDE w:val="0"/>
        <w:autoSpaceDN w:val="0"/>
        <w:bidi w:val="0"/>
        <w:adjustRightInd/>
        <w:snapToGrid/>
        <w:textAlignment w:val="auto"/>
        <w:rPr>
          <w:rFonts w:hint="eastAsia" w:eastAsiaTheme="minorEastAsia"/>
          <w:sz w:val="24"/>
          <w:szCs w:val="24"/>
          <w:lang w:eastAsia="zh-CN"/>
        </w:rPr>
      </w:pPr>
      <w:r>
        <w:rPr>
          <w:rFonts w:hint="eastAsia" w:ascii="宋体" w:hAnsi="宋体"/>
          <w:sz w:val="24"/>
          <w:szCs w:val="24"/>
          <w:lang w:eastAsia="zh-CN"/>
        </w:rPr>
        <w:t>[1</w:t>
      </w:r>
      <w:r>
        <w:rPr>
          <w:rFonts w:hint="eastAsia" w:ascii="宋体" w:hAnsi="宋体"/>
          <w:sz w:val="24"/>
          <w:szCs w:val="24"/>
          <w:lang w:val="en-US" w:eastAsia="zh-CN"/>
        </w:rPr>
        <w:t>8</w:t>
      </w:r>
      <w:r>
        <w:rPr>
          <w:rFonts w:hint="eastAsia" w:ascii="宋体" w:hAnsi="宋体"/>
          <w:sz w:val="24"/>
          <w:szCs w:val="24"/>
          <w:lang w:eastAsia="zh-CN"/>
        </w:rPr>
        <w:t>]J. B ,T. B . Mapping the research productivity in university of petroleum and energy studies: A scientometric approach [J]. Library Philosophy and Practice, 2019, 2019</w:t>
      </w:r>
    </w:p>
    <w:p w14:paraId="3B2E0C3E">
      <w:pPr>
        <w:keepNext w:val="0"/>
        <w:keepLines w:val="0"/>
        <w:pageBreakBefore w:val="0"/>
        <w:widowControl w:val="0"/>
        <w:kinsoku/>
        <w:wordWrap w:val="0"/>
        <w:overflowPunct/>
        <w:topLinePunct w:val="0"/>
        <w:autoSpaceDE w:val="0"/>
        <w:autoSpaceDN w:val="0"/>
        <w:bidi w:val="0"/>
        <w:adjustRightInd/>
        <w:snapToGrid/>
        <w:textAlignment w:val="auto"/>
        <w:rPr>
          <w:rFonts w:hint="eastAsia" w:ascii="宋体" w:hAnsi="宋体"/>
          <w:sz w:val="24"/>
          <w:szCs w:val="24"/>
          <w:lang w:eastAsia="zh-CN"/>
        </w:rPr>
      </w:pPr>
      <w:r>
        <w:rPr>
          <w:rFonts w:hint="eastAsia" w:ascii="宋体" w:hAnsi="宋体"/>
          <w:sz w:val="24"/>
          <w:szCs w:val="24"/>
          <w:lang w:eastAsia="zh-CN"/>
        </w:rPr>
        <w:t>[1</w:t>
      </w:r>
      <w:r>
        <w:rPr>
          <w:rFonts w:hint="eastAsia" w:ascii="宋体" w:hAnsi="宋体"/>
          <w:sz w:val="24"/>
          <w:szCs w:val="24"/>
          <w:lang w:val="en-US" w:eastAsia="zh-CN"/>
        </w:rPr>
        <w:t>9</w:t>
      </w:r>
      <w:r>
        <w:rPr>
          <w:rFonts w:hint="eastAsia" w:ascii="宋体" w:hAnsi="宋体"/>
          <w:sz w:val="24"/>
          <w:szCs w:val="24"/>
          <w:lang w:eastAsia="zh-CN"/>
        </w:rPr>
        <w:t>]Venâncio F T ,Costa J M ,Santos C C , et al. Evolution of documents related to strength training research on competitive swimmers: a bibliometric review [J]. Frontiers in Sports and Active Living, 2025, 7 1603576-1603576. DOI:10.3389/FSPOR.2025.1603576.</w:t>
      </w:r>
    </w:p>
    <w:p w14:paraId="75F76043">
      <w:pPr>
        <w:keepNext w:val="0"/>
        <w:keepLines w:val="0"/>
        <w:pageBreakBefore w:val="0"/>
        <w:widowControl w:val="0"/>
        <w:kinsoku/>
        <w:wordWrap w:val="0"/>
        <w:overflowPunct/>
        <w:topLinePunct w:val="0"/>
        <w:autoSpaceDE w:val="0"/>
        <w:autoSpaceDN w:val="0"/>
        <w:bidi w:val="0"/>
        <w:adjustRightInd/>
        <w:snapToGrid/>
        <w:textAlignment w:val="auto"/>
        <w:rPr>
          <w:rFonts w:hint="eastAsia" w:ascii="宋体" w:hAnsi="宋体"/>
          <w:sz w:val="24"/>
          <w:szCs w:val="24"/>
          <w:lang w:eastAsia="zh-CN"/>
        </w:rPr>
      </w:pPr>
      <w:r>
        <w:rPr>
          <w:rFonts w:hint="eastAsia" w:ascii="宋体" w:hAnsi="宋体"/>
          <w:sz w:val="24"/>
          <w:szCs w:val="24"/>
          <w:lang w:eastAsia="zh-CN"/>
        </w:rPr>
        <w:t>[</w:t>
      </w:r>
      <w:r>
        <w:rPr>
          <w:rFonts w:hint="eastAsia" w:ascii="宋体" w:hAnsi="宋体"/>
          <w:sz w:val="24"/>
          <w:szCs w:val="24"/>
          <w:lang w:val="en-US" w:eastAsia="zh-CN"/>
        </w:rPr>
        <w:t>20</w:t>
      </w:r>
      <w:r>
        <w:rPr>
          <w:rFonts w:hint="eastAsia" w:ascii="宋体" w:hAnsi="宋体"/>
          <w:sz w:val="24"/>
          <w:szCs w:val="24"/>
          <w:lang w:eastAsia="zh-CN"/>
        </w:rPr>
        <w:t>]Pratama I B ,Wijaya A ,Hermawan B , et al. Evaluating academic performance and scholarly impact of rectors of indonesia’s public universities: a dual bibliometric and scholastic analysis [J]. Cogent Education, 2024, 11 (1): DOI:10.1080/2331186X.2024.2317151.</w:t>
      </w:r>
    </w:p>
    <w:p w14:paraId="7B9CD429">
      <w:pPr>
        <w:keepNext w:val="0"/>
        <w:keepLines w:val="0"/>
        <w:pageBreakBefore w:val="0"/>
        <w:widowControl w:val="0"/>
        <w:kinsoku/>
        <w:wordWrap w:val="0"/>
        <w:overflowPunct/>
        <w:topLinePunct w:val="0"/>
        <w:autoSpaceDE w:val="0"/>
        <w:autoSpaceDN w:val="0"/>
        <w:bidi w:val="0"/>
        <w:adjustRightInd/>
        <w:snapToGrid/>
        <w:textAlignment w:val="auto"/>
        <w:rPr>
          <w:rFonts w:hint="eastAsia" w:ascii="宋体" w:hAnsi="宋体"/>
          <w:sz w:val="24"/>
          <w:szCs w:val="24"/>
          <w:lang w:eastAsia="zh-CN"/>
        </w:rPr>
      </w:pPr>
      <w:r>
        <w:rPr>
          <w:rFonts w:hint="eastAsia" w:ascii="宋体" w:hAnsi="宋体"/>
          <w:sz w:val="24"/>
          <w:szCs w:val="24"/>
          <w:lang w:eastAsia="zh-CN"/>
        </w:rPr>
        <w:t>[</w:t>
      </w:r>
      <w:r>
        <w:rPr>
          <w:rFonts w:hint="eastAsia" w:ascii="宋体" w:hAnsi="宋体"/>
          <w:sz w:val="24"/>
          <w:szCs w:val="24"/>
          <w:lang w:val="en-US" w:eastAsia="zh-CN"/>
        </w:rPr>
        <w:t>21</w:t>
      </w:r>
      <w:r>
        <w:rPr>
          <w:rFonts w:hint="eastAsia" w:ascii="宋体" w:hAnsi="宋体"/>
          <w:sz w:val="24"/>
          <w:szCs w:val="24"/>
          <w:lang w:eastAsia="zh-CN"/>
        </w:rPr>
        <w:t>]Wayne A J . Bibliometric evaluation of Journal of Analytical Toxicology as a scholarly publication according to the Web-of-Science citation database. [J]. Journal of analytical toxicology, 2023, DOI:10.1093/JAT/BKAD080.</w:t>
      </w:r>
    </w:p>
    <w:p w14:paraId="21940850">
      <w:pPr>
        <w:keepNext w:val="0"/>
        <w:keepLines w:val="0"/>
        <w:pageBreakBefore w:val="0"/>
        <w:widowControl w:val="0"/>
        <w:kinsoku/>
        <w:wordWrap w:val="0"/>
        <w:overflowPunct/>
        <w:topLinePunct w:val="0"/>
        <w:autoSpaceDE w:val="0"/>
        <w:autoSpaceDN w:val="0"/>
        <w:bidi w:val="0"/>
        <w:adjustRightInd/>
        <w:snapToGrid/>
        <w:textAlignment w:val="auto"/>
        <w:rPr>
          <w:rFonts w:hint="eastAsia" w:ascii="宋体" w:hAnsi="宋体"/>
          <w:sz w:val="24"/>
          <w:szCs w:val="24"/>
          <w:lang w:eastAsia="zh-CN"/>
        </w:rPr>
      </w:pPr>
      <w:r>
        <w:rPr>
          <w:rFonts w:hint="eastAsia" w:ascii="宋体" w:hAnsi="宋体"/>
          <w:sz w:val="24"/>
          <w:szCs w:val="24"/>
          <w:lang w:eastAsia="zh-CN"/>
        </w:rPr>
        <w:t>[</w:t>
      </w:r>
      <w:r>
        <w:rPr>
          <w:rFonts w:hint="eastAsia" w:ascii="宋体" w:hAnsi="宋体"/>
          <w:sz w:val="24"/>
          <w:szCs w:val="24"/>
          <w:lang w:val="en-US" w:eastAsia="zh-CN"/>
        </w:rPr>
        <w:t>22</w:t>
      </w:r>
      <w:r>
        <w:rPr>
          <w:rFonts w:hint="eastAsia" w:ascii="宋体" w:hAnsi="宋体"/>
          <w:sz w:val="24"/>
          <w:szCs w:val="24"/>
          <w:lang w:eastAsia="zh-CN"/>
        </w:rPr>
        <w:t>]Deng Z ,Zhijian D ,Zhenhua Z , et al. An Evaluation Model for Authors’ Academic Influence Based on Multi-source Heterogeneous Database in Bilingual Environment [J]. Journal of Physics: Conference</w:t>
      </w:r>
      <w:r>
        <w:rPr>
          <w:rFonts w:hint="eastAsia" w:ascii="宋体" w:hAnsi="宋体"/>
          <w:sz w:val="24"/>
          <w:szCs w:val="24"/>
          <w:lang w:val="en-US" w:eastAsia="zh-CN"/>
        </w:rPr>
        <w:t xml:space="preserve"> </w:t>
      </w:r>
      <w:r>
        <w:rPr>
          <w:rFonts w:hint="eastAsia" w:ascii="宋体" w:hAnsi="宋体"/>
          <w:sz w:val="24"/>
          <w:szCs w:val="24"/>
          <w:lang w:eastAsia="zh-CN"/>
        </w:rPr>
        <w:t>Series, 2020, 1575 (1): 012147-. DOI:10.1088/1742-6596/1575/1/012147.</w:t>
      </w:r>
    </w:p>
    <w:p w14:paraId="11B95F5C">
      <w:pPr>
        <w:keepNext w:val="0"/>
        <w:keepLines w:val="0"/>
        <w:pageBreakBefore w:val="0"/>
        <w:widowControl w:val="0"/>
        <w:kinsoku/>
        <w:wordWrap w:val="0"/>
        <w:overflowPunct/>
        <w:topLinePunct w:val="0"/>
        <w:autoSpaceDE w:val="0"/>
        <w:autoSpaceDN w:val="0"/>
        <w:bidi w:val="0"/>
        <w:adjustRightInd/>
        <w:snapToGrid/>
        <w:textAlignment w:val="auto"/>
        <w:rPr>
          <w:rFonts w:hint="eastAsia" w:ascii="宋体" w:hAnsi="宋体"/>
          <w:sz w:val="24"/>
          <w:szCs w:val="24"/>
          <w:lang w:eastAsia="zh-CN"/>
        </w:rPr>
      </w:pPr>
      <w:r>
        <w:rPr>
          <w:rFonts w:hint="eastAsia" w:ascii="宋体" w:hAnsi="宋体"/>
          <w:sz w:val="24"/>
          <w:szCs w:val="24"/>
          <w:lang w:eastAsia="zh-CN"/>
        </w:rPr>
        <w:t>[</w:t>
      </w:r>
      <w:r>
        <w:rPr>
          <w:rFonts w:hint="eastAsia" w:ascii="宋体" w:hAnsi="宋体"/>
          <w:sz w:val="24"/>
          <w:szCs w:val="24"/>
          <w:lang w:val="en-US" w:eastAsia="zh-CN"/>
        </w:rPr>
        <w:t>23</w:t>
      </w:r>
      <w:r>
        <w:rPr>
          <w:rFonts w:hint="eastAsia" w:ascii="宋体" w:hAnsi="宋体"/>
          <w:sz w:val="24"/>
          <w:szCs w:val="24"/>
          <w:lang w:eastAsia="zh-CN"/>
        </w:rPr>
        <w:t>]Xiao-Jun H ,Jian-Hong L ,Ronald R . A warning for Chinese academic evaluation systems: short-term bibliometric measures misjudge the value of pioneering contributions. [J]. Journal of Zhejiang University. Science. B, 2018, 19 (1): 1-5. DOI:10.1631/jzus.B1700569.</w:t>
      </w:r>
    </w:p>
    <w:p w14:paraId="04C9FC30">
      <w:pPr>
        <w:keepNext w:val="0"/>
        <w:keepLines w:val="0"/>
        <w:pageBreakBefore w:val="0"/>
        <w:widowControl w:val="0"/>
        <w:kinsoku/>
        <w:wordWrap w:val="0"/>
        <w:overflowPunct/>
        <w:topLinePunct w:val="0"/>
        <w:autoSpaceDE w:val="0"/>
        <w:autoSpaceDN w:val="0"/>
        <w:bidi w:val="0"/>
        <w:adjustRightInd/>
        <w:snapToGrid/>
        <w:textAlignment w:val="auto"/>
        <w:rPr>
          <w:rFonts w:hint="eastAsia" w:eastAsiaTheme="minorEastAsia"/>
          <w:sz w:val="24"/>
          <w:szCs w:val="24"/>
          <w:lang w:eastAsia="zh-CN"/>
        </w:rPr>
      </w:pPr>
      <w:r>
        <w:rPr>
          <w:rFonts w:hint="eastAsia" w:ascii="宋体" w:hAnsi="宋体"/>
          <w:sz w:val="24"/>
          <w:szCs w:val="24"/>
          <w:lang w:eastAsia="zh-CN"/>
        </w:rPr>
        <w:t>[</w:t>
      </w:r>
      <w:r>
        <w:rPr>
          <w:rFonts w:hint="eastAsia" w:ascii="宋体" w:hAnsi="宋体"/>
          <w:sz w:val="24"/>
          <w:szCs w:val="24"/>
          <w:lang w:val="en-US" w:eastAsia="zh-CN"/>
        </w:rPr>
        <w:t>24</w:t>
      </w:r>
      <w:r>
        <w:rPr>
          <w:rFonts w:hint="eastAsia" w:ascii="宋体" w:hAnsi="宋体"/>
          <w:sz w:val="24"/>
          <w:szCs w:val="24"/>
          <w:lang w:eastAsia="zh-CN"/>
        </w:rPr>
        <w:t>]Halevi G ,Moed H ,Bar-Ilan J . Suitability of Google Scholar as a source of scientific information and as a source of data for scientific evaluation—Review of the Literature [J]. Journal of Informetrics, 2017, 11 (3): 823-834. DOI:10.1016/j.joi.2017.06.005.</w:t>
      </w:r>
    </w:p>
    <w:p w14:paraId="69B06D96">
      <w:pPr>
        <w:keepNext w:val="0"/>
        <w:keepLines w:val="0"/>
        <w:pageBreakBefore w:val="0"/>
        <w:widowControl w:val="0"/>
        <w:kinsoku/>
        <w:wordWrap w:val="0"/>
        <w:overflowPunct/>
        <w:topLinePunct w:val="0"/>
        <w:autoSpaceDE w:val="0"/>
        <w:autoSpaceDN w:val="0"/>
        <w:bidi w:val="0"/>
        <w:adjustRightInd/>
        <w:snapToGrid/>
        <w:textAlignment w:val="auto"/>
        <w:rPr>
          <w:rFonts w:hint="eastAsia" w:eastAsiaTheme="minorEastAsia"/>
          <w:sz w:val="24"/>
          <w:szCs w:val="24"/>
          <w:lang w:eastAsia="zh-CN"/>
        </w:rPr>
      </w:pPr>
      <w:r>
        <w:rPr>
          <w:rFonts w:hint="eastAsia" w:ascii="宋体" w:hAnsi="宋体"/>
          <w:sz w:val="24"/>
          <w:szCs w:val="24"/>
          <w:lang w:eastAsia="zh-CN"/>
        </w:rPr>
        <w:t>[</w:t>
      </w:r>
      <w:r>
        <w:rPr>
          <w:rFonts w:hint="eastAsia" w:ascii="宋体" w:hAnsi="宋体"/>
          <w:sz w:val="24"/>
          <w:szCs w:val="24"/>
          <w:lang w:val="en-US" w:eastAsia="zh-CN"/>
        </w:rPr>
        <w:t>25</w:t>
      </w:r>
      <w:r>
        <w:rPr>
          <w:rFonts w:hint="eastAsia" w:ascii="宋体" w:hAnsi="宋体"/>
          <w:sz w:val="24"/>
          <w:szCs w:val="24"/>
          <w:lang w:eastAsia="zh-CN"/>
        </w:rPr>
        <w:t>]Gusenbauer M . Beyond Google Scholar, Scopus, and Web of Science: An evaluation of the backward and forward citation coverage of 59 databases' citation indices. [J]. Research synthesis methods, 2024, 15 (5): 802-817. DOI:10.1002/JRSM.1729.</w:t>
      </w:r>
    </w:p>
    <w:p w14:paraId="7705B353">
      <w:pPr>
        <w:keepNext w:val="0"/>
        <w:keepLines w:val="0"/>
        <w:pageBreakBefore w:val="0"/>
        <w:widowControl w:val="0"/>
        <w:kinsoku/>
        <w:wordWrap w:val="0"/>
        <w:overflowPunct/>
        <w:topLinePunct w:val="0"/>
        <w:autoSpaceDE w:val="0"/>
        <w:autoSpaceDN w:val="0"/>
        <w:bidi w:val="0"/>
        <w:adjustRightInd/>
        <w:snapToGrid/>
        <w:textAlignment w:val="auto"/>
        <w:rPr>
          <w:rFonts w:hint="eastAsia" w:ascii="宋体" w:hAnsi="宋体"/>
          <w:sz w:val="24"/>
          <w:szCs w:val="24"/>
          <w:lang w:eastAsia="zh-CN"/>
        </w:rPr>
      </w:pPr>
      <w:r>
        <w:rPr>
          <w:rFonts w:hint="eastAsia" w:ascii="宋体" w:hAnsi="宋体"/>
          <w:sz w:val="24"/>
          <w:szCs w:val="24"/>
          <w:lang w:eastAsia="zh-CN"/>
        </w:rPr>
        <w:t>[</w:t>
      </w:r>
      <w:r>
        <w:rPr>
          <w:rFonts w:hint="eastAsia" w:ascii="宋体" w:hAnsi="宋体"/>
          <w:sz w:val="24"/>
          <w:szCs w:val="24"/>
          <w:lang w:val="en-US" w:eastAsia="zh-CN"/>
        </w:rPr>
        <w:t>26</w:t>
      </w:r>
      <w:r>
        <w:rPr>
          <w:rFonts w:hint="eastAsia" w:ascii="宋体" w:hAnsi="宋体"/>
          <w:sz w:val="24"/>
          <w:szCs w:val="24"/>
          <w:lang w:eastAsia="zh-CN"/>
        </w:rPr>
        <w:t>]Zhao R ,Wang X ,Liu Z , et al. Research on the impact evaluation of academic journals based on altmetrics and citation indicators [J]. Proceedings of the Association for Information Science and Technology, 2019, 56 (1): 336-345. DOI:10.1002/pra2.27.</w:t>
      </w:r>
    </w:p>
    <w:p w14:paraId="7782508A">
      <w:pPr>
        <w:keepNext w:val="0"/>
        <w:keepLines w:val="0"/>
        <w:pageBreakBefore w:val="0"/>
        <w:widowControl w:val="0"/>
        <w:kinsoku/>
        <w:wordWrap w:val="0"/>
        <w:overflowPunct/>
        <w:topLinePunct w:val="0"/>
        <w:autoSpaceDE w:val="0"/>
        <w:autoSpaceDN w:val="0"/>
        <w:bidi w:val="0"/>
        <w:adjustRightInd/>
        <w:snapToGrid/>
        <w:textAlignment w:val="auto"/>
        <w:rPr>
          <w:rFonts w:hint="eastAsia" w:ascii="宋体" w:hAnsi="宋体"/>
          <w:sz w:val="24"/>
          <w:szCs w:val="24"/>
          <w:lang w:eastAsia="zh-CN"/>
        </w:rPr>
      </w:pPr>
      <w:r>
        <w:rPr>
          <w:rFonts w:hint="eastAsia" w:ascii="宋体" w:hAnsi="宋体"/>
          <w:sz w:val="24"/>
          <w:szCs w:val="24"/>
          <w:lang w:eastAsia="zh-CN"/>
        </w:rPr>
        <w:t>[</w:t>
      </w:r>
      <w:r>
        <w:rPr>
          <w:rFonts w:hint="eastAsia" w:ascii="宋体" w:hAnsi="宋体"/>
          <w:sz w:val="24"/>
          <w:szCs w:val="24"/>
          <w:lang w:val="en-US" w:eastAsia="zh-CN"/>
        </w:rPr>
        <w:t>27</w:t>
      </w:r>
      <w:r>
        <w:rPr>
          <w:rFonts w:hint="eastAsia" w:ascii="宋体" w:hAnsi="宋体"/>
          <w:sz w:val="24"/>
          <w:szCs w:val="24"/>
          <w:lang w:eastAsia="zh-CN"/>
        </w:rPr>
        <w:t>]Bednarz K ,Stec A ,Słyś D . Research Trends in Renewable Energy Sources in Academic Infrastructure: A Bibliometric Analysis [J]. Energies, 2025, 18 (21): 5812-5812. DOI:10.3390/EN18215812.</w:t>
      </w:r>
    </w:p>
    <w:p w14:paraId="7CF4CAB2">
      <w:pPr>
        <w:keepNext w:val="0"/>
        <w:keepLines w:val="0"/>
        <w:pageBreakBefore w:val="0"/>
        <w:widowControl w:val="0"/>
        <w:kinsoku/>
        <w:wordWrap w:val="0"/>
        <w:overflowPunct/>
        <w:topLinePunct w:val="0"/>
        <w:autoSpaceDE w:val="0"/>
        <w:autoSpaceDN w:val="0"/>
        <w:bidi w:val="0"/>
        <w:adjustRightInd/>
        <w:snapToGrid/>
        <w:textAlignment w:val="auto"/>
        <w:rPr>
          <w:rFonts w:hint="eastAsia" w:ascii="宋体" w:hAnsi="宋体"/>
          <w:sz w:val="24"/>
          <w:szCs w:val="24"/>
          <w:lang w:eastAsia="zh-CN"/>
        </w:rPr>
      </w:pPr>
      <w:r>
        <w:rPr>
          <w:rFonts w:hint="eastAsia" w:ascii="宋体" w:hAnsi="宋体"/>
          <w:sz w:val="24"/>
          <w:szCs w:val="24"/>
          <w:lang w:eastAsia="zh-CN"/>
        </w:rPr>
        <w:t>[</w:t>
      </w:r>
      <w:r>
        <w:rPr>
          <w:rFonts w:hint="eastAsia" w:ascii="宋体" w:hAnsi="宋体"/>
          <w:sz w:val="24"/>
          <w:szCs w:val="24"/>
          <w:lang w:val="en-US" w:eastAsia="zh-CN"/>
        </w:rPr>
        <w:t>28</w:t>
      </w:r>
      <w:r>
        <w:rPr>
          <w:rFonts w:hint="eastAsia" w:ascii="宋体" w:hAnsi="宋体"/>
          <w:sz w:val="24"/>
          <w:szCs w:val="24"/>
          <w:lang w:eastAsia="zh-CN"/>
        </w:rPr>
        <w:t>]Migliari L ,Anania L ,Agnese G , et al. Key Metrics for Energy Planning in Academic Institutions [J]. Applied Sciences, 2025, 15 (17): 9496-9496. DOI:10.3390/APP15179496.</w:t>
      </w:r>
    </w:p>
    <w:p w14:paraId="562261F4">
      <w:pPr>
        <w:rPr>
          <w:rFonts w:hint="eastAsia" w:eastAsiaTheme="minorEastAsia"/>
          <w:lang w:eastAsia="zh-CN"/>
        </w:rPr>
      </w:pPr>
    </w:p>
    <w:p w14:paraId="3CEE38F7">
      <w:pPr>
        <w:rPr>
          <w:rFonts w:hint="eastAsia" w:eastAsiaTheme="minorEastAsia"/>
          <w:lang w:eastAsia="zh-CN"/>
        </w:rPr>
      </w:pPr>
    </w:p>
    <w:p w14:paraId="2714AC2A">
      <w:pPr>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49354">
    <w:pPr>
      <w:pStyle w:val="8"/>
    </w:pPr>
  </w:p>
  <w:p w14:paraId="69376672">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E01217">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UJagQ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FCWoEMQIAAGMEAAAOAAAAAAAAAAEAIAAAAB8BAABkcnMvZTJvRG9jLnhtbFBLBQYA&#10;AAAABgAGAFkBAADCBQAAAAA=&#10;">
              <v:fill on="f" focussize="0,0"/>
              <v:stroke on="f" weight="0.5pt"/>
              <v:imagedata o:title=""/>
              <o:lock v:ext="edit" aspectratio="f"/>
              <v:textbox inset="0mm,0mm,0mm,0mm" style="mso-fit-shape-to-text:t;">
                <w:txbxContent>
                  <w:p w14:paraId="76E01217">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D8C7B6"/>
    <w:multiLevelType w:val="singleLevel"/>
    <w:tmpl w:val="C3D8C7B6"/>
    <w:lvl w:ilvl="0" w:tentative="0">
      <w:start w:val="2"/>
      <w:numFmt w:val="decimal"/>
      <w:suff w:val="nothing"/>
      <w:lvlText w:val="（%1）"/>
      <w:lvlJc w:val="left"/>
    </w:lvl>
  </w:abstractNum>
  <w:abstractNum w:abstractNumId="1">
    <w:nsid w:val="C735DAEF"/>
    <w:multiLevelType w:val="multilevel"/>
    <w:tmpl w:val="C735DAEF"/>
    <w:lvl w:ilvl="0" w:tentative="0">
      <w:start w:val="2"/>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03B37363"/>
    <w:multiLevelType w:val="singleLevel"/>
    <w:tmpl w:val="03B37363"/>
    <w:lvl w:ilvl="0" w:tentative="0">
      <w:start w:val="2"/>
      <w:numFmt w:val="decimal"/>
      <w:suff w:val="nothing"/>
      <w:lvlText w:val="（%1）"/>
      <w:lvlJc w:val="left"/>
    </w:lvl>
  </w:abstractNum>
  <w:abstractNum w:abstractNumId="3">
    <w:nsid w:val="380E1E0E"/>
    <w:multiLevelType w:val="multilevel"/>
    <w:tmpl w:val="380E1E0E"/>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381458"/>
    <w:rsid w:val="04AE18D1"/>
    <w:rsid w:val="04E470A0"/>
    <w:rsid w:val="0CB832EC"/>
    <w:rsid w:val="253914DE"/>
    <w:rsid w:val="3F8A67CD"/>
    <w:rsid w:val="47381458"/>
    <w:rsid w:val="540B196F"/>
    <w:rsid w:val="546724CF"/>
    <w:rsid w:val="57FD73D2"/>
    <w:rsid w:val="66680690"/>
    <w:rsid w:val="68E44108"/>
    <w:rsid w:val="69166F5C"/>
    <w:rsid w:val="6C9755D7"/>
    <w:rsid w:val="7B407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Plain Text"/>
    <w:basedOn w:val="7"/>
    <w:qFormat/>
    <w:uiPriority w:val="0"/>
    <w:rPr>
      <w:rFonts w:ascii="宋体" w:hAnsi="Courier New"/>
      <w:szCs w:val="20"/>
      <w:lang w:val="zh-CN"/>
    </w:rPr>
  </w:style>
  <w:style w:type="paragraph" w:customStyle="1" w:styleId="7">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7300</Words>
  <Characters>8537</Characters>
  <Lines>0</Lines>
  <Paragraphs>0</Paragraphs>
  <TotalTime>214</TotalTime>
  <ScaleCrop>false</ScaleCrop>
  <LinksUpToDate>false</LinksUpToDate>
  <CharactersWithSpaces>8723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2026-01-04T17:16:00Z</dcterms:created>
  <dc:creator>长安.</dc:creator>
  <cp:lastModifiedBy>长安.</cp:lastModifiedBy>
  <dcterms:modified xsi:type="dcterms:W3CDTF">2026-01-07T10:15:41Z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247CD9614E06459AA9968E47EFF44E25_13</vt:lpwstr>
  </property>
  <property fmtid="{D5CDD505-2E9C-101B-9397-08002B2CF9AE}" pid="4" name="KSOTemplateDocerSaveRecord">
    <vt:lpwstr>eyJoZGlkIjoiYzUxNmUyN2M1NDExYWQ2NTIwYWUyZTMzYWRkNjUxZDMiLCJ1c2VySWQiOiI0MTg5NjIzMjEifQ==</vt:lpwstr>
  </property>
</Properties>
</file>