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1E817">
      <w:pPr>
        <w:spacing w:before="624" w:beforeLines="200"/>
        <w:ind w:firstLine="480" w:firstLineChars="200"/>
      </w:pPr>
      <w:r>
        <w:drawing>
          <wp:inline distT="0" distB="0" distL="0" distR="0">
            <wp:extent cx="3916680" cy="92329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16680" cy="923290"/>
                    </a:xfrm>
                    <a:prstGeom prst="rect">
                      <a:avLst/>
                    </a:prstGeom>
                    <a:noFill/>
                    <a:ln>
                      <a:noFill/>
                    </a:ln>
                  </pic:spPr>
                </pic:pic>
              </a:graphicData>
            </a:graphic>
          </wp:inline>
        </w:drawing>
      </w:r>
    </w:p>
    <w:p w14:paraId="5898B921">
      <w:pPr>
        <w:spacing w:before="624" w:beforeLines="200"/>
        <w:jc w:val="center"/>
        <w:rPr>
          <w:rFonts w:hint="eastAsia"/>
        </w:rPr>
      </w:pPr>
    </w:p>
    <w:p w14:paraId="27721B7C">
      <w:pPr>
        <w:spacing w:before="624" w:beforeLines="200"/>
        <w:jc w:val="center"/>
        <w:rPr>
          <w:rFonts w:ascii="华文中宋" w:hAnsi="华文中宋" w:eastAsia="华文中宋"/>
          <w:b/>
          <w:sz w:val="56"/>
          <w:szCs w:val="56"/>
        </w:rPr>
      </w:pPr>
      <w:r>
        <w:rPr>
          <w:rFonts w:hint="eastAsia" w:ascii="华文中宋" w:hAnsi="华文中宋" w:eastAsia="华文中宋"/>
          <w:b/>
          <w:sz w:val="52"/>
          <w:szCs w:val="52"/>
        </w:rPr>
        <w:t>《</w:t>
      </w:r>
      <w:r>
        <w:rPr>
          <w:rFonts w:hint="eastAsia" w:ascii="华文中宋" w:hAnsi="华文中宋" w:eastAsia="华文中宋"/>
          <w:b/>
          <w:sz w:val="52"/>
          <w:szCs w:val="52"/>
          <w:lang w:val="en-US" w:eastAsia="zh-CN"/>
        </w:rPr>
        <w:t>能源行业信息管理综合实验课程</w:t>
      </w:r>
      <w:r>
        <w:rPr>
          <w:rFonts w:hint="eastAsia" w:ascii="华文中宋" w:hAnsi="华文中宋" w:eastAsia="华文中宋"/>
          <w:b/>
          <w:sz w:val="52"/>
          <w:szCs w:val="52"/>
        </w:rPr>
        <w:t>》</w:t>
      </w:r>
    </w:p>
    <w:p w14:paraId="2921746E">
      <w:pPr>
        <w:spacing w:before="624" w:beforeLines="200"/>
        <w:jc w:val="center"/>
        <w:rPr>
          <w:rFonts w:ascii="华文中宋" w:hAnsi="华文中宋" w:eastAsia="华文中宋"/>
          <w:b/>
          <w:sz w:val="56"/>
          <w:szCs w:val="56"/>
        </w:rPr>
      </w:pPr>
      <w:r>
        <w:rPr>
          <w:rFonts w:hint="eastAsia" w:ascii="华文中宋" w:hAnsi="华文中宋" w:eastAsia="华文中宋"/>
          <w:b/>
          <w:sz w:val="56"/>
          <w:szCs w:val="56"/>
          <w:lang w:val="en-US" w:eastAsia="zh-CN"/>
        </w:rPr>
        <w:t>个人</w:t>
      </w:r>
      <w:r>
        <w:rPr>
          <w:rFonts w:hint="eastAsia" w:ascii="华文中宋" w:hAnsi="华文中宋" w:eastAsia="华文中宋"/>
          <w:b/>
          <w:sz w:val="56"/>
          <w:szCs w:val="56"/>
        </w:rPr>
        <w:t>报告</w:t>
      </w:r>
    </w:p>
    <w:p w14:paraId="037C61AD">
      <w:pPr>
        <w:rPr>
          <w:rFonts w:hint="eastAsia" w:ascii="黑体" w:eastAsia="黑体"/>
          <w:sz w:val="28"/>
          <w:szCs w:val="28"/>
          <w:highlight w:val="yellow"/>
        </w:rPr>
      </w:pP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3256"/>
      </w:tblGrid>
      <w:tr w14:paraId="338D6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07C27BE">
            <w:pPr>
              <w:rPr>
                <w:rFonts w:hint="eastAsia"/>
                <w:b/>
                <w:bCs/>
                <w:kern w:val="0"/>
                <w:sz w:val="28"/>
                <w:szCs w:val="28"/>
              </w:rPr>
            </w:pPr>
            <w:r>
              <w:rPr>
                <w:rFonts w:hint="eastAsia"/>
                <w:b/>
                <w:bCs/>
                <w:kern w:val="0"/>
                <w:sz w:val="28"/>
                <w:szCs w:val="28"/>
              </w:rPr>
              <w:t>姓名：</w:t>
            </w:r>
          </w:p>
        </w:tc>
        <w:tc>
          <w:tcPr>
            <w:tcW w:w="3256" w:type="dxa"/>
            <w:tcBorders>
              <w:bottom w:val="single" w:color="auto" w:sz="4" w:space="0"/>
            </w:tcBorders>
          </w:tcPr>
          <w:p w14:paraId="660D9EAE">
            <w:pPr>
              <w:jc w:val="center"/>
              <w:rPr>
                <w:rFonts w:hint="eastAsia" w:eastAsia="宋体"/>
                <w:b/>
                <w:bCs/>
                <w:kern w:val="0"/>
                <w:sz w:val="28"/>
                <w:szCs w:val="28"/>
                <w:lang w:val="en-US" w:eastAsia="zh-CN"/>
              </w:rPr>
            </w:pPr>
            <w:r>
              <w:rPr>
                <w:rFonts w:hint="eastAsia"/>
                <w:b/>
                <w:bCs/>
                <w:kern w:val="0"/>
                <w:sz w:val="28"/>
                <w:szCs w:val="28"/>
                <w:lang w:val="en-US" w:eastAsia="zh-CN"/>
              </w:rPr>
              <w:t>余冰雁</w:t>
            </w:r>
          </w:p>
        </w:tc>
      </w:tr>
      <w:tr w14:paraId="1B98C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51B79460">
            <w:pPr>
              <w:rPr>
                <w:b/>
                <w:bCs/>
                <w:kern w:val="0"/>
                <w:sz w:val="28"/>
                <w:szCs w:val="28"/>
              </w:rPr>
            </w:pPr>
            <w:r>
              <w:rPr>
                <w:rFonts w:hint="eastAsia"/>
                <w:b/>
                <w:bCs/>
                <w:kern w:val="0"/>
                <w:sz w:val="28"/>
                <w:szCs w:val="28"/>
              </w:rPr>
              <w:t>学号：</w:t>
            </w:r>
          </w:p>
        </w:tc>
        <w:tc>
          <w:tcPr>
            <w:tcW w:w="3256" w:type="dxa"/>
            <w:tcBorders>
              <w:top w:val="single" w:color="auto" w:sz="4" w:space="0"/>
              <w:bottom w:val="single" w:color="auto" w:sz="4" w:space="0"/>
            </w:tcBorders>
          </w:tcPr>
          <w:p w14:paraId="0AC3FB9F">
            <w:pPr>
              <w:jc w:val="center"/>
              <w:rPr>
                <w:rFonts w:hint="default" w:eastAsia="宋体"/>
                <w:b/>
                <w:bCs/>
                <w:kern w:val="0"/>
                <w:sz w:val="28"/>
                <w:szCs w:val="28"/>
                <w:lang w:val="en-US" w:eastAsia="zh-CN"/>
              </w:rPr>
            </w:pPr>
            <w:r>
              <w:rPr>
                <w:rFonts w:hint="eastAsia"/>
                <w:b/>
                <w:bCs/>
                <w:kern w:val="0"/>
                <w:sz w:val="28"/>
                <w:szCs w:val="28"/>
                <w:lang w:val="en-US" w:eastAsia="zh-CN"/>
              </w:rPr>
              <w:t>2022012085</w:t>
            </w:r>
          </w:p>
        </w:tc>
      </w:tr>
      <w:tr w14:paraId="1E49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4F1516FE">
            <w:pPr>
              <w:rPr>
                <w:b/>
                <w:bCs/>
                <w:kern w:val="0"/>
                <w:sz w:val="28"/>
                <w:szCs w:val="28"/>
              </w:rPr>
            </w:pPr>
            <w:r>
              <w:rPr>
                <w:rFonts w:hint="eastAsia"/>
                <w:b/>
                <w:bCs/>
                <w:kern w:val="0"/>
                <w:sz w:val="28"/>
                <w:szCs w:val="28"/>
              </w:rPr>
              <w:t>班级：</w:t>
            </w:r>
          </w:p>
        </w:tc>
        <w:tc>
          <w:tcPr>
            <w:tcW w:w="3256" w:type="dxa"/>
            <w:tcBorders>
              <w:top w:val="single" w:color="auto" w:sz="4" w:space="0"/>
              <w:bottom w:val="single" w:color="auto" w:sz="4" w:space="0"/>
            </w:tcBorders>
          </w:tcPr>
          <w:p w14:paraId="771FE962">
            <w:pPr>
              <w:jc w:val="center"/>
              <w:rPr>
                <w:rFonts w:hint="default" w:eastAsia="宋体"/>
                <w:b/>
                <w:bCs/>
                <w:kern w:val="0"/>
                <w:sz w:val="28"/>
                <w:szCs w:val="28"/>
                <w:lang w:val="en-US" w:eastAsia="zh-CN"/>
              </w:rPr>
            </w:pPr>
            <w:r>
              <w:rPr>
                <w:rFonts w:hint="eastAsia"/>
                <w:b/>
                <w:bCs/>
                <w:kern w:val="0"/>
                <w:sz w:val="28"/>
                <w:szCs w:val="28"/>
                <w:lang w:val="en-US" w:eastAsia="zh-CN"/>
              </w:rPr>
              <w:t>信管22-2班</w:t>
            </w:r>
          </w:p>
        </w:tc>
      </w:tr>
      <w:tr w14:paraId="60D93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D8F3CDB">
            <w:pPr>
              <w:rPr>
                <w:b/>
                <w:bCs/>
                <w:kern w:val="0"/>
                <w:sz w:val="28"/>
                <w:szCs w:val="28"/>
              </w:rPr>
            </w:pPr>
            <w:r>
              <w:rPr>
                <w:rFonts w:hint="eastAsia"/>
                <w:b/>
                <w:bCs/>
                <w:kern w:val="0"/>
                <w:sz w:val="28"/>
                <w:szCs w:val="28"/>
              </w:rPr>
              <w:t>学院：</w:t>
            </w:r>
          </w:p>
        </w:tc>
        <w:tc>
          <w:tcPr>
            <w:tcW w:w="3256" w:type="dxa"/>
            <w:tcBorders>
              <w:top w:val="single" w:color="auto" w:sz="4" w:space="0"/>
              <w:bottom w:val="single" w:color="auto" w:sz="4" w:space="0"/>
            </w:tcBorders>
          </w:tcPr>
          <w:p w14:paraId="7B1E9F7B">
            <w:pPr>
              <w:jc w:val="center"/>
              <w:rPr>
                <w:rFonts w:hint="eastAsia" w:eastAsia="宋体"/>
                <w:b/>
                <w:bCs/>
                <w:kern w:val="0"/>
                <w:sz w:val="28"/>
                <w:szCs w:val="28"/>
                <w:lang w:val="en-US" w:eastAsia="zh-CN"/>
              </w:rPr>
            </w:pPr>
            <w:r>
              <w:rPr>
                <w:rFonts w:hint="eastAsia"/>
                <w:b/>
                <w:bCs/>
                <w:kern w:val="0"/>
                <w:sz w:val="28"/>
                <w:szCs w:val="28"/>
                <w:lang w:val="en-US" w:eastAsia="zh-CN"/>
              </w:rPr>
              <w:t>经济管理学院</w:t>
            </w:r>
          </w:p>
        </w:tc>
      </w:tr>
    </w:tbl>
    <w:p w14:paraId="5723AA65"/>
    <w:p w14:paraId="45ECABA5"/>
    <w:p w14:paraId="4449A20C"/>
    <w:p w14:paraId="74DF5169"/>
    <w:p w14:paraId="49AA2C40">
      <w:pPr>
        <w:rPr>
          <w:rFonts w:hint="eastAsia"/>
        </w:rPr>
      </w:pPr>
    </w:p>
    <w:p w14:paraId="1BE72B60">
      <w:pPr>
        <w:rPr>
          <w:rFonts w:hint="eastAsia"/>
        </w:rPr>
      </w:pPr>
    </w:p>
    <w:p w14:paraId="497A7C11">
      <w:pPr>
        <w:rPr>
          <w:rFonts w:hint="eastAsia"/>
        </w:rPr>
      </w:pPr>
    </w:p>
    <w:p w14:paraId="65394A96">
      <w:pPr>
        <w:rPr>
          <w:rFonts w:hint="eastAsia"/>
        </w:rPr>
      </w:pPr>
    </w:p>
    <w:p w14:paraId="4D834DB1">
      <w:pPr>
        <w:rPr>
          <w:rFonts w:hint="eastAsia"/>
        </w:rPr>
      </w:pPr>
    </w:p>
    <w:p w14:paraId="7D98F042">
      <w:pPr>
        <w:rPr>
          <w:rFonts w:hint="eastAsia"/>
        </w:rPr>
      </w:pPr>
    </w:p>
    <w:p w14:paraId="43490F7B">
      <w:pPr>
        <w:rPr>
          <w:rFonts w:hint="eastAsia"/>
        </w:rPr>
      </w:pPr>
    </w:p>
    <w:p w14:paraId="06C84057">
      <w:r>
        <w:br w:type="page"/>
      </w:r>
    </w:p>
    <w:p w14:paraId="45787355">
      <w:pPr>
        <w:spacing w:after="120" w:line="360" w:lineRule="auto"/>
        <w:jc w:val="center"/>
      </w:pPr>
      <w:r>
        <w:rPr>
          <w:rFonts w:ascii="Times New Roman" w:hAnsi="Times New Roman" w:eastAsia="??"/>
          <w:b/>
          <w:sz w:val="32"/>
          <w:szCs w:val="32"/>
        </w:rPr>
        <w:t>基于 OilPrice 新闻的情感得分计算个人作业报告</w:t>
      </w:r>
    </w:p>
    <w:p w14:paraId="0080B84F">
      <w:pPr>
        <w:spacing w:after="120" w:line="360" w:lineRule="auto"/>
      </w:pPr>
      <w:r>
        <w:rPr>
          <w:rFonts w:ascii="Times New Roman" w:hAnsi="Times New Roman" w:eastAsia="??"/>
          <w:b/>
          <w:sz w:val="28"/>
          <w:szCs w:val="28"/>
        </w:rPr>
        <w:t>一、任务背景</w:t>
      </w:r>
    </w:p>
    <w:p w14:paraId="0A466B61">
      <w:pPr>
        <w:spacing w:after="120" w:line="360" w:lineRule="auto"/>
        <w:ind w:firstLine="420" w:firstLineChars="0"/>
      </w:pPr>
      <w:r>
        <w:rPr>
          <w:rFonts w:ascii="Times New Roman" w:hAnsi="Times New Roman" w:eastAsia="??"/>
          <w:sz w:val="22"/>
          <w:szCs w:val="22"/>
        </w:rPr>
        <w:t>本次个人作业围绕“基于OilPrice新闻的国际油价预测与系统实现”项目展开，重点完成第三章中的新闻情感得分计算部分。整个项目希望将新闻文本中的信息转化为可量化的指标，用于辅助分析国际油价的变化趋势，而第三章的核心任务就是把新闻文本进一步处理为可以进入后续分析与预测环节的情感变量。</w:t>
      </w:r>
    </w:p>
    <w:p w14:paraId="77410DEA">
      <w:pPr>
        <w:spacing w:after="120" w:line="360" w:lineRule="auto"/>
        <w:ind w:firstLine="420" w:firstLineChars="0"/>
      </w:pPr>
      <w:r>
        <w:rPr>
          <w:rFonts w:ascii="Times New Roman" w:hAnsi="Times New Roman" w:eastAsia="??"/>
          <w:sz w:val="22"/>
          <w:szCs w:val="22"/>
        </w:rPr>
        <w:t>从研究逻辑上看，新闻本身并不能直接用于建模，必须先经过清洗、分词、词典匹配和情感计算等步骤，才能形成结构化结果。因此，本部分的工作实际上处于全文研究流程的中间环节，既承接前面的新闻采集与文本预处理，又为后面的周度指标构建和油价预测模型提供基础。</w:t>
      </w:r>
    </w:p>
    <w:p w14:paraId="67C592EA">
      <w:pPr>
        <w:spacing w:after="120" w:line="360" w:lineRule="auto"/>
      </w:pPr>
      <w:r>
        <w:rPr>
          <w:rFonts w:ascii="Times New Roman" w:hAnsi="Times New Roman" w:eastAsia="??"/>
          <w:b/>
          <w:sz w:val="28"/>
          <w:szCs w:val="28"/>
        </w:rPr>
        <w:t>二、数据来源</w:t>
      </w:r>
    </w:p>
    <w:p w14:paraId="28B60968">
      <w:pPr>
        <w:spacing w:after="120" w:line="360" w:lineRule="auto"/>
        <w:ind w:firstLine="420" w:firstLineChars="0"/>
      </w:pPr>
      <w:r>
        <w:rPr>
          <w:rFonts w:ascii="Times New Roman" w:hAnsi="Times New Roman" w:eastAsia="??"/>
          <w:sz w:val="22"/>
          <w:szCs w:val="22"/>
        </w:rPr>
        <w:t>本研究所使用的数据主要来源于OilPrice官网发布的能源与油价相关新闻。通过对网站中的新闻标题、发布时间、栏目类别和正文内容进行采集，形成原始新闻文本数据。</w:t>
      </w:r>
    </w:p>
    <w:p w14:paraId="718BA563">
      <w:pPr>
        <w:spacing w:after="120" w:line="360" w:lineRule="auto"/>
        <w:ind w:firstLine="420" w:firstLineChars="0"/>
      </w:pPr>
      <w:r>
        <w:rPr>
          <w:rFonts w:ascii="Times New Roman" w:hAnsi="Times New Roman" w:eastAsia="??"/>
          <w:sz w:val="22"/>
          <w:szCs w:val="22"/>
        </w:rPr>
        <w:t>在获得原始新闻后，先对文本进行了数据清洗，包括去除无关符号、统一文本格式、清理重复内容和异常记录等。随后，对清洗后的新闻正文进行英文分词处理，将连续文本转化为可用于情感词典匹配和情感得分计算的词序列。经过这一处理后，新闻数据具备了较为规范的文本结构，可以作为后续情感分析的基础。</w:t>
      </w:r>
    </w:p>
    <w:p w14:paraId="234CD660">
      <w:pPr>
        <w:spacing w:after="120" w:line="360" w:lineRule="auto"/>
      </w:pPr>
      <w:r>
        <w:rPr>
          <w:rFonts w:ascii="Times New Roman" w:hAnsi="Times New Roman" w:eastAsia="??"/>
          <w:b/>
          <w:sz w:val="28"/>
          <w:szCs w:val="28"/>
        </w:rPr>
        <w:t>三、研究思路与情感定义</w:t>
      </w:r>
    </w:p>
    <w:p w14:paraId="710E1280">
      <w:pPr>
        <w:spacing w:after="120" w:line="360" w:lineRule="auto"/>
        <w:ind w:firstLine="420" w:firstLineChars="0"/>
      </w:pPr>
      <w:r>
        <w:rPr>
          <w:rFonts w:ascii="Times New Roman" w:hAnsi="Times New Roman" w:eastAsia="??"/>
          <w:sz w:val="22"/>
          <w:szCs w:val="22"/>
        </w:rPr>
        <w:t>本次作业采用的是基于情感词典的情感分析方法。该方法的基本思想是：先建立适合研究主题的情感词典，再将新闻文本中的词项与词典进行匹配，根据命中词的方向和强度来判断新闻整体更偏向于看涨、看跌还是中性。</w:t>
      </w:r>
    </w:p>
    <w:p w14:paraId="48BAC6F7">
      <w:pPr>
        <w:spacing w:after="120" w:line="360" w:lineRule="auto"/>
        <w:ind w:firstLine="420" w:firstLineChars="0"/>
      </w:pPr>
      <w:r>
        <w:rPr>
          <w:rFonts w:ascii="Times New Roman" w:hAnsi="Times New Roman" w:eastAsia="??"/>
          <w:sz w:val="22"/>
          <w:szCs w:val="22"/>
        </w:rPr>
        <w:t>需要特别说明的是，本研究中的情感并不是一般意义上的正面或负面情绪，而是面向国际油价预测任务所定义的市场方向情绪。也就是说，这里的情感得分更关注新闻内容会对油价形成什么样的方向性影响，而不是单纯判断新闻语气是否积极。</w:t>
      </w:r>
    </w:p>
    <w:p w14:paraId="2C1DAD1E">
      <w:pPr>
        <w:spacing w:after="120" w:line="360" w:lineRule="auto"/>
        <w:ind w:firstLine="420" w:firstLineChars="0"/>
        <w:rPr>
          <w:rFonts w:ascii="Times New Roman" w:hAnsi="Times New Roman" w:eastAsia="??"/>
          <w:sz w:val="22"/>
          <w:szCs w:val="22"/>
        </w:rPr>
      </w:pPr>
      <w:r>
        <w:rPr>
          <w:rFonts w:ascii="Times New Roman" w:hAnsi="Times New Roman" w:eastAsia="??"/>
          <w:sz w:val="22"/>
          <w:szCs w:val="22"/>
        </w:rPr>
        <w:t>因此，本文将新闻情感划分为三类。第一类是看涨情绪，即新闻内容更可能对应国际油价上行压力；第二类是看跌情绪，即新闻内容更可能对应国际油价下行压力；第三类是中性情绪，即新闻中的多空信息相对平衡，或者价格方向并不明显。</w:t>
      </w:r>
    </w:p>
    <w:p w14:paraId="7FD0543A">
      <w:pPr>
        <w:pStyle w:val="3"/>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情感词典分类</w:t>
      </w:r>
    </w:p>
    <w:tbl>
      <w:tblPr>
        <w:tblStyle w:val="6"/>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060"/>
        <w:gridCol w:w="5886"/>
      </w:tblGrid>
      <w:tr w14:paraId="7702B7F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shd w:val="clear" w:color="auto" w:fill="EDEDED"/>
          </w:tcPr>
          <w:p w14:paraId="4F66054C">
            <w:pPr>
              <w:spacing w:after="120" w:line="360" w:lineRule="auto"/>
            </w:pPr>
            <w:r>
              <w:rPr>
                <w:rFonts w:ascii="Times New Roman" w:hAnsi="Times New Roman" w:eastAsia="??"/>
                <w:b/>
                <w:sz w:val="21"/>
                <w:szCs w:val="21"/>
              </w:rPr>
              <w:t>情感类别</w:t>
            </w:r>
          </w:p>
        </w:tc>
        <w:tc>
          <w:tcPr>
            <w:tcW w:w="0" w:type="auto"/>
            <w:shd w:val="clear" w:color="auto" w:fill="EDEDED"/>
          </w:tcPr>
          <w:p w14:paraId="2A86F0A8">
            <w:pPr>
              <w:spacing w:after="120" w:line="360" w:lineRule="auto"/>
            </w:pPr>
            <w:r>
              <w:rPr>
                <w:rFonts w:ascii="Times New Roman" w:hAnsi="Times New Roman" w:eastAsia="??"/>
                <w:b/>
                <w:sz w:val="21"/>
                <w:szCs w:val="21"/>
              </w:rPr>
              <w:t>含义说明</w:t>
            </w:r>
          </w:p>
        </w:tc>
      </w:tr>
      <w:tr w14:paraId="3EBB5B7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tcPr>
          <w:p w14:paraId="16DFBEA9">
            <w:pPr>
              <w:spacing w:after="120" w:line="360" w:lineRule="auto"/>
            </w:pPr>
            <w:r>
              <w:rPr>
                <w:rFonts w:ascii="Times New Roman" w:hAnsi="Times New Roman" w:eastAsia="??"/>
                <w:sz w:val="21"/>
                <w:szCs w:val="21"/>
              </w:rPr>
              <w:t>bullish</w:t>
            </w:r>
          </w:p>
        </w:tc>
        <w:tc>
          <w:tcPr>
            <w:tcW w:w="0" w:type="auto"/>
          </w:tcPr>
          <w:p w14:paraId="62189DD3">
            <w:pPr>
              <w:spacing w:after="120" w:line="360" w:lineRule="auto"/>
            </w:pPr>
            <w:r>
              <w:rPr>
                <w:rFonts w:ascii="Times New Roman" w:hAnsi="Times New Roman" w:eastAsia="??"/>
                <w:sz w:val="21"/>
                <w:szCs w:val="21"/>
              </w:rPr>
              <w:t>表示新闻内容更可能对应国际油价上行压力，体现为看涨情绪</w:t>
            </w:r>
          </w:p>
        </w:tc>
      </w:tr>
      <w:tr w14:paraId="28F21B4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tcPr>
          <w:p w14:paraId="1B195D42">
            <w:pPr>
              <w:spacing w:after="120" w:line="360" w:lineRule="auto"/>
            </w:pPr>
            <w:r>
              <w:rPr>
                <w:rFonts w:ascii="Times New Roman" w:hAnsi="Times New Roman" w:eastAsia="??"/>
                <w:sz w:val="21"/>
                <w:szCs w:val="21"/>
              </w:rPr>
              <w:t>bearish</w:t>
            </w:r>
          </w:p>
        </w:tc>
        <w:tc>
          <w:tcPr>
            <w:tcW w:w="0" w:type="auto"/>
          </w:tcPr>
          <w:p w14:paraId="5EE7869D">
            <w:pPr>
              <w:spacing w:after="120" w:line="360" w:lineRule="auto"/>
            </w:pPr>
            <w:r>
              <w:rPr>
                <w:rFonts w:ascii="Times New Roman" w:hAnsi="Times New Roman" w:eastAsia="??"/>
                <w:sz w:val="21"/>
                <w:szCs w:val="21"/>
              </w:rPr>
              <w:t>表示新闻内容更可能对应国际油价下行压力，体现为看跌情绪</w:t>
            </w:r>
          </w:p>
        </w:tc>
      </w:tr>
      <w:tr w14:paraId="7A4D415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tcPr>
          <w:p w14:paraId="50AF1D2D">
            <w:pPr>
              <w:spacing w:after="120" w:line="360" w:lineRule="auto"/>
            </w:pPr>
            <w:r>
              <w:rPr>
                <w:rFonts w:ascii="Times New Roman" w:hAnsi="Times New Roman" w:eastAsia="??"/>
                <w:sz w:val="21"/>
                <w:szCs w:val="21"/>
              </w:rPr>
              <w:t>neutral</w:t>
            </w:r>
          </w:p>
        </w:tc>
        <w:tc>
          <w:tcPr>
            <w:tcW w:w="0" w:type="auto"/>
          </w:tcPr>
          <w:p w14:paraId="074D58CB">
            <w:pPr>
              <w:spacing w:after="120" w:line="360" w:lineRule="auto"/>
            </w:pPr>
            <w:r>
              <w:rPr>
                <w:rFonts w:ascii="Times New Roman" w:hAnsi="Times New Roman" w:eastAsia="??"/>
                <w:sz w:val="21"/>
                <w:szCs w:val="21"/>
              </w:rPr>
              <w:t>表示新闻中的多空信息相对平衡，或价格方向不够明显</w:t>
            </w:r>
          </w:p>
        </w:tc>
      </w:tr>
    </w:tbl>
    <w:p w14:paraId="301C8866">
      <w:pPr>
        <w:spacing w:after="120" w:line="360" w:lineRule="auto"/>
      </w:pPr>
    </w:p>
    <w:p w14:paraId="62CF13B7">
      <w:pPr>
        <w:spacing w:after="120" w:line="360" w:lineRule="auto"/>
        <w:ind w:firstLine="420" w:firstLineChars="0"/>
      </w:pPr>
      <w:r>
        <w:rPr>
          <w:rFonts w:ascii="Times New Roman" w:hAnsi="Times New Roman" w:eastAsia="??"/>
          <w:sz w:val="22"/>
          <w:szCs w:val="22"/>
        </w:rPr>
        <w:t>之所以采用这种定义，是因为在能源新闻场景中，通用情感词典并不能完全反映油价变化逻辑。例如，某些在普通语境下带有负面色彩的事件词，在油价研究中反而可能意味着供应风险上升，从而形成看涨信号。因此，在第三章中不能直接照搬通用正负词典，而需要结合油价新闻语境进行有针对性的调整。</w:t>
      </w:r>
    </w:p>
    <w:p w14:paraId="55896573">
      <w:pPr>
        <w:spacing w:after="120" w:line="360" w:lineRule="auto"/>
      </w:pPr>
      <w:r>
        <w:rPr>
          <w:rFonts w:ascii="Times New Roman" w:hAnsi="Times New Roman" w:eastAsia="??"/>
          <w:b/>
          <w:sz w:val="28"/>
          <w:szCs w:val="28"/>
        </w:rPr>
        <w:t>四、情感词典扩充方法</w:t>
      </w:r>
    </w:p>
    <w:p w14:paraId="3564D08E">
      <w:pPr>
        <w:spacing w:after="120" w:line="360" w:lineRule="auto"/>
        <w:ind w:firstLine="420" w:firstLineChars="0"/>
        <w:rPr>
          <w:rFonts w:ascii="Times New Roman" w:hAnsi="Times New Roman" w:eastAsia="??"/>
          <w:sz w:val="22"/>
          <w:szCs w:val="22"/>
        </w:rPr>
      </w:pPr>
      <w:r>
        <w:rPr>
          <w:rFonts w:ascii="Times New Roman" w:hAnsi="Times New Roman" w:eastAsia="??"/>
          <w:sz w:val="22"/>
          <w:szCs w:val="22"/>
        </w:rPr>
        <w:t>为了使情感分析结果更加符合研究主题，本次作业在原始情感词典基础上进行了面向油价新闻语境的词典扩充。扩充的基本思路是，先结合语料中的高频词和典型表达，筛选出与价格波动、供需关系、库存变化、减产政策以及地缘政治风险密切相关的领域词，再根据这些词在国际油价分析中的实际含义，判断其应归入看涨还是看跌方向。</w:t>
      </w:r>
    </w:p>
    <w:p w14:paraId="6ABD1C42">
      <w:pPr>
        <w:spacing w:after="120" w:line="360" w:lineRule="auto"/>
        <w:ind w:firstLine="420" w:firstLineChars="0"/>
      </w:pPr>
      <w:r>
        <w:rPr>
          <w:rFonts w:ascii="Times New Roman" w:hAnsi="Times New Roman" w:eastAsia="??"/>
          <w:sz w:val="22"/>
          <w:szCs w:val="22"/>
        </w:rPr>
        <w:t>例如，价格上涨、供应收紧、库存下降、减产和风险溢价上升等信息，通常意味着国际油价存在上行压力，因此相关词项更适合作为看涨词；而价格下跌、供应过剩、库存累积、需求放缓和经济衰退等信息，通常意味着国际油价存在下行压力，因此相关词项更适合作为看跌词。</w:t>
      </w:r>
    </w:p>
    <w:p w14:paraId="7C48D78C">
      <w:pPr>
        <w:pStyle w:val="3"/>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情感词典扩充分类</w:t>
      </w:r>
    </w:p>
    <w:tbl>
      <w:tblPr>
        <w:tblStyle w:val="6"/>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343"/>
        <w:gridCol w:w="3161"/>
        <w:gridCol w:w="4018"/>
      </w:tblGrid>
      <w:tr w14:paraId="0466F17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shd w:val="clear" w:color="auto" w:fill="EDEDED"/>
          </w:tcPr>
          <w:p w14:paraId="35615A4B">
            <w:pPr>
              <w:spacing w:after="120" w:line="360" w:lineRule="auto"/>
            </w:pPr>
            <w:r>
              <w:rPr>
                <w:rFonts w:ascii="Times New Roman" w:hAnsi="Times New Roman" w:eastAsia="??"/>
                <w:b/>
                <w:sz w:val="21"/>
                <w:szCs w:val="21"/>
              </w:rPr>
              <w:t>词典类别</w:t>
            </w:r>
          </w:p>
        </w:tc>
        <w:tc>
          <w:tcPr>
            <w:tcW w:w="3161" w:type="dxa"/>
            <w:shd w:val="clear" w:color="auto" w:fill="EDEDED"/>
          </w:tcPr>
          <w:p w14:paraId="4F58A0E1">
            <w:pPr>
              <w:spacing w:after="120" w:line="360" w:lineRule="auto"/>
            </w:pPr>
            <w:r>
              <w:rPr>
                <w:rFonts w:ascii="Times New Roman" w:hAnsi="Times New Roman" w:eastAsia="??"/>
                <w:b/>
                <w:sz w:val="21"/>
                <w:szCs w:val="21"/>
              </w:rPr>
              <w:t>代表性词项</w:t>
            </w:r>
          </w:p>
        </w:tc>
        <w:tc>
          <w:tcPr>
            <w:tcW w:w="0" w:type="auto"/>
            <w:shd w:val="clear" w:color="auto" w:fill="EDEDED"/>
          </w:tcPr>
          <w:p w14:paraId="659D8E67">
            <w:pPr>
              <w:spacing w:after="120" w:line="360" w:lineRule="auto"/>
            </w:pPr>
            <w:r>
              <w:rPr>
                <w:rFonts w:ascii="Times New Roman" w:hAnsi="Times New Roman" w:eastAsia="??"/>
                <w:b/>
                <w:sz w:val="21"/>
                <w:szCs w:val="21"/>
              </w:rPr>
              <w:t>方向解释</w:t>
            </w:r>
          </w:p>
        </w:tc>
      </w:tr>
      <w:tr w14:paraId="48BC76C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tcPr>
          <w:p w14:paraId="17BE7BE8">
            <w:pPr>
              <w:spacing w:after="120" w:line="360" w:lineRule="auto"/>
            </w:pPr>
            <w:r>
              <w:rPr>
                <w:rFonts w:ascii="Times New Roman" w:hAnsi="Times New Roman" w:eastAsia="??"/>
                <w:sz w:val="21"/>
                <w:szCs w:val="21"/>
              </w:rPr>
              <w:t>价格上涨类</w:t>
            </w:r>
          </w:p>
        </w:tc>
        <w:tc>
          <w:tcPr>
            <w:tcW w:w="3161" w:type="dxa"/>
          </w:tcPr>
          <w:p w14:paraId="214BECF0">
            <w:pPr>
              <w:spacing w:after="120" w:line="360" w:lineRule="auto"/>
            </w:pPr>
            <w:r>
              <w:rPr>
                <w:rFonts w:ascii="Times New Roman" w:hAnsi="Times New Roman" w:eastAsia="??"/>
                <w:sz w:val="21"/>
                <w:szCs w:val="21"/>
              </w:rPr>
              <w:t>rally、surge、spike、rebound</w:t>
            </w:r>
          </w:p>
        </w:tc>
        <w:tc>
          <w:tcPr>
            <w:tcW w:w="0" w:type="auto"/>
          </w:tcPr>
          <w:p w14:paraId="2CA5C4E7">
            <w:pPr>
              <w:spacing w:after="120" w:line="360" w:lineRule="auto"/>
            </w:pPr>
            <w:r>
              <w:rPr>
                <w:rFonts w:ascii="Times New Roman" w:hAnsi="Times New Roman" w:eastAsia="??"/>
                <w:sz w:val="21"/>
                <w:szCs w:val="21"/>
              </w:rPr>
              <w:t>反映油价上行或价格反弹，归为看涨词</w:t>
            </w:r>
          </w:p>
        </w:tc>
      </w:tr>
      <w:tr w14:paraId="7377F87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tcPr>
          <w:p w14:paraId="58E98820">
            <w:pPr>
              <w:spacing w:after="120" w:line="360" w:lineRule="auto"/>
            </w:pPr>
            <w:r>
              <w:rPr>
                <w:rFonts w:ascii="Times New Roman" w:hAnsi="Times New Roman" w:eastAsia="??"/>
                <w:sz w:val="21"/>
                <w:szCs w:val="21"/>
              </w:rPr>
              <w:t>价格下跌类</w:t>
            </w:r>
          </w:p>
        </w:tc>
        <w:tc>
          <w:tcPr>
            <w:tcW w:w="3161" w:type="dxa"/>
          </w:tcPr>
          <w:p w14:paraId="48D8A2C7">
            <w:pPr>
              <w:spacing w:after="120" w:line="360" w:lineRule="auto"/>
            </w:pPr>
            <w:r>
              <w:rPr>
                <w:rFonts w:ascii="Times New Roman" w:hAnsi="Times New Roman" w:eastAsia="??"/>
                <w:sz w:val="21"/>
                <w:szCs w:val="21"/>
              </w:rPr>
              <w:t>drop、plunge、decline、slump</w:t>
            </w:r>
          </w:p>
        </w:tc>
        <w:tc>
          <w:tcPr>
            <w:tcW w:w="0" w:type="auto"/>
          </w:tcPr>
          <w:p w14:paraId="653ECFD2">
            <w:pPr>
              <w:spacing w:after="120" w:line="360" w:lineRule="auto"/>
            </w:pPr>
            <w:r>
              <w:rPr>
                <w:rFonts w:ascii="Times New Roman" w:hAnsi="Times New Roman" w:eastAsia="??"/>
                <w:sz w:val="21"/>
                <w:szCs w:val="21"/>
              </w:rPr>
              <w:t>反映油价下跌或价格走弱，归为看跌词</w:t>
            </w:r>
          </w:p>
        </w:tc>
      </w:tr>
      <w:tr w14:paraId="58C5405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tcPr>
          <w:p w14:paraId="6324C913">
            <w:pPr>
              <w:spacing w:after="120" w:line="360" w:lineRule="auto"/>
            </w:pPr>
            <w:r>
              <w:rPr>
                <w:rFonts w:ascii="Times New Roman" w:hAnsi="Times New Roman" w:eastAsia="??"/>
                <w:sz w:val="21"/>
                <w:szCs w:val="21"/>
              </w:rPr>
              <w:t>供应收紧类</w:t>
            </w:r>
          </w:p>
        </w:tc>
        <w:tc>
          <w:tcPr>
            <w:tcW w:w="3161" w:type="dxa"/>
          </w:tcPr>
          <w:p w14:paraId="522A8271">
            <w:pPr>
              <w:spacing w:after="120" w:line="360" w:lineRule="auto"/>
            </w:pPr>
            <w:r>
              <w:rPr>
                <w:rFonts w:ascii="Times New Roman" w:hAnsi="Times New Roman" w:eastAsia="??"/>
                <w:sz w:val="21"/>
                <w:szCs w:val="21"/>
              </w:rPr>
              <w:t>shortage、tightness、drawdown</w:t>
            </w:r>
          </w:p>
        </w:tc>
        <w:tc>
          <w:tcPr>
            <w:tcW w:w="0" w:type="auto"/>
          </w:tcPr>
          <w:p w14:paraId="636ACBC4">
            <w:pPr>
              <w:spacing w:after="120" w:line="360" w:lineRule="auto"/>
            </w:pPr>
            <w:r>
              <w:rPr>
                <w:rFonts w:ascii="Times New Roman" w:hAnsi="Times New Roman" w:eastAsia="??"/>
                <w:sz w:val="21"/>
                <w:szCs w:val="21"/>
              </w:rPr>
              <w:t>反映供应紧张或库存下降，归为看涨词</w:t>
            </w:r>
          </w:p>
        </w:tc>
      </w:tr>
      <w:tr w14:paraId="79A472C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tcPr>
          <w:p w14:paraId="4EEFCAF3">
            <w:pPr>
              <w:spacing w:after="120" w:line="360" w:lineRule="auto"/>
            </w:pPr>
            <w:r>
              <w:rPr>
                <w:rFonts w:ascii="Times New Roman" w:hAnsi="Times New Roman" w:eastAsia="??"/>
                <w:sz w:val="21"/>
                <w:szCs w:val="21"/>
              </w:rPr>
              <w:t>供应宽松类</w:t>
            </w:r>
          </w:p>
        </w:tc>
        <w:tc>
          <w:tcPr>
            <w:tcW w:w="3161" w:type="dxa"/>
          </w:tcPr>
          <w:p w14:paraId="76C8D58E">
            <w:pPr>
              <w:spacing w:after="120" w:line="360" w:lineRule="auto"/>
            </w:pPr>
            <w:r>
              <w:rPr>
                <w:rFonts w:ascii="Times New Roman" w:hAnsi="Times New Roman" w:eastAsia="??"/>
                <w:sz w:val="21"/>
                <w:szCs w:val="21"/>
              </w:rPr>
              <w:t>oversupply、surplus、glut</w:t>
            </w:r>
          </w:p>
        </w:tc>
        <w:tc>
          <w:tcPr>
            <w:tcW w:w="0" w:type="auto"/>
          </w:tcPr>
          <w:p w14:paraId="1EB73146">
            <w:pPr>
              <w:spacing w:after="120" w:line="360" w:lineRule="auto"/>
            </w:pPr>
            <w:r>
              <w:rPr>
                <w:rFonts w:ascii="Times New Roman" w:hAnsi="Times New Roman" w:eastAsia="??"/>
                <w:sz w:val="21"/>
                <w:szCs w:val="21"/>
              </w:rPr>
              <w:t>反映供应过剩或库存压力，归为看跌词</w:t>
            </w:r>
          </w:p>
        </w:tc>
      </w:tr>
      <w:tr w14:paraId="3009425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tcPr>
          <w:p w14:paraId="6A1C3A2B">
            <w:pPr>
              <w:spacing w:after="120" w:line="360" w:lineRule="auto"/>
            </w:pPr>
            <w:r>
              <w:rPr>
                <w:rFonts w:ascii="Times New Roman" w:hAnsi="Times New Roman" w:eastAsia="??"/>
                <w:sz w:val="21"/>
                <w:szCs w:val="21"/>
              </w:rPr>
              <w:t>地缘风险类</w:t>
            </w:r>
          </w:p>
        </w:tc>
        <w:tc>
          <w:tcPr>
            <w:tcW w:w="3161" w:type="dxa"/>
          </w:tcPr>
          <w:p w14:paraId="2FD7231F">
            <w:pPr>
              <w:spacing w:after="120" w:line="360" w:lineRule="auto"/>
            </w:pPr>
            <w:r>
              <w:rPr>
                <w:rFonts w:ascii="Times New Roman" w:hAnsi="Times New Roman" w:eastAsia="??"/>
                <w:sz w:val="21"/>
                <w:szCs w:val="21"/>
              </w:rPr>
              <w:t>sanctions、blockade、attack、escalation</w:t>
            </w:r>
          </w:p>
        </w:tc>
        <w:tc>
          <w:tcPr>
            <w:tcW w:w="0" w:type="auto"/>
          </w:tcPr>
          <w:p w14:paraId="7E168748">
            <w:pPr>
              <w:spacing w:after="120" w:line="360" w:lineRule="auto"/>
            </w:pPr>
            <w:r>
              <w:rPr>
                <w:rFonts w:ascii="Times New Roman" w:hAnsi="Times New Roman" w:eastAsia="??"/>
                <w:sz w:val="21"/>
                <w:szCs w:val="21"/>
              </w:rPr>
              <w:t>反映风险溢价和供应不确定性上升，归为看涨词</w:t>
            </w:r>
          </w:p>
        </w:tc>
      </w:tr>
      <w:tr w14:paraId="0116EF8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343" w:type="dxa"/>
          </w:tcPr>
          <w:p w14:paraId="251E2815">
            <w:pPr>
              <w:spacing w:after="120" w:line="360" w:lineRule="auto"/>
            </w:pPr>
            <w:r>
              <w:rPr>
                <w:rFonts w:ascii="Times New Roman" w:hAnsi="Times New Roman" w:eastAsia="??"/>
                <w:sz w:val="21"/>
                <w:szCs w:val="21"/>
              </w:rPr>
              <w:t>需求走弱类</w:t>
            </w:r>
          </w:p>
        </w:tc>
        <w:tc>
          <w:tcPr>
            <w:tcW w:w="3161" w:type="dxa"/>
          </w:tcPr>
          <w:p w14:paraId="698322AF">
            <w:pPr>
              <w:spacing w:after="120" w:line="360" w:lineRule="auto"/>
            </w:pPr>
            <w:r>
              <w:rPr>
                <w:rFonts w:ascii="Times New Roman" w:hAnsi="Times New Roman" w:eastAsia="??"/>
                <w:sz w:val="21"/>
                <w:szCs w:val="21"/>
              </w:rPr>
              <w:t>slowdown、recession、weakness</w:t>
            </w:r>
          </w:p>
        </w:tc>
        <w:tc>
          <w:tcPr>
            <w:tcW w:w="0" w:type="auto"/>
          </w:tcPr>
          <w:p w14:paraId="0034C7AC">
            <w:pPr>
              <w:spacing w:after="120" w:line="360" w:lineRule="auto"/>
            </w:pPr>
            <w:r>
              <w:rPr>
                <w:rFonts w:ascii="Times New Roman" w:hAnsi="Times New Roman" w:eastAsia="??"/>
                <w:sz w:val="21"/>
                <w:szCs w:val="21"/>
              </w:rPr>
              <w:t>反映需求疲软和经济放缓，归为看跌词</w:t>
            </w:r>
          </w:p>
        </w:tc>
      </w:tr>
    </w:tbl>
    <w:p w14:paraId="0DA22438">
      <w:pPr>
        <w:spacing w:after="120" w:line="360" w:lineRule="auto"/>
        <w:ind w:firstLine="420" w:firstLineChars="0"/>
      </w:pPr>
      <w:r>
        <w:rPr>
          <w:rFonts w:ascii="Times New Roman" w:hAnsi="Times New Roman" w:eastAsia="??"/>
          <w:sz w:val="22"/>
          <w:szCs w:val="22"/>
        </w:rPr>
        <w:t>在这一过程中，并不是简单增加若干新词，而是根据油价研究的实际需求重新理解词语方向。也就是说，词典扩充不仅包括新增领域词，还包括对部分词项原有情感方向的校正，使词典的定义口径从通用情绪判断转变为面向油价预测的方向判断。经过扩充和调整后，词典能够更好地反映能源新闻中何种信息推动油价上涨、何种信息推动油价下跌这一研究重点。</w:t>
      </w:r>
    </w:p>
    <w:p w14:paraId="1A864226">
      <w:pPr>
        <w:spacing w:after="120" w:line="360" w:lineRule="auto"/>
      </w:pPr>
      <w:r>
        <w:rPr>
          <w:rFonts w:ascii="Times New Roman" w:hAnsi="Times New Roman" w:eastAsia="??"/>
          <w:b/>
          <w:sz w:val="28"/>
          <w:szCs w:val="28"/>
        </w:rPr>
        <w:t>五、情感得分计算方法</w:t>
      </w:r>
    </w:p>
    <w:p w14:paraId="1AEF5BAB">
      <w:pPr>
        <w:spacing w:after="120" w:line="360" w:lineRule="auto"/>
        <w:ind w:firstLine="420" w:firstLineChars="0"/>
      </w:pPr>
      <w:r>
        <w:rPr>
          <w:rFonts w:ascii="Times New Roman" w:hAnsi="Times New Roman" w:eastAsia="??"/>
          <w:sz w:val="22"/>
          <w:szCs w:val="22"/>
        </w:rPr>
        <w:t>在完成词典扩充之后，进一步对每篇新闻进行情感得分计算。具体做法是将新闻标题和正文中的分词结果与扩充后的情感词典进行匹配，分别统计看涨词和看跌词的命中情况，再根据命中结果计算单篇新闻的方向性情感得分。</w:t>
      </w:r>
    </w:p>
    <w:p w14:paraId="434661BC">
      <w:pPr>
        <w:spacing w:after="120" w:line="360" w:lineRule="auto"/>
        <w:ind w:firstLine="420" w:firstLineChars="0"/>
      </w:pPr>
      <w:r>
        <w:rPr>
          <w:rFonts w:ascii="Times New Roman" w:hAnsi="Times New Roman" w:eastAsia="??"/>
          <w:sz w:val="22"/>
          <w:szCs w:val="22"/>
        </w:rPr>
        <w:t>考虑到标题通常更集中地概括新闻主题，因此在计算时同时考虑正文和标题，并给予标题更高的权重。与此同时，为了避免少量词项命中导致得分过度偏向某一方向，在归一化处理中加入平滑项，使情感得分更加稳定。</w:t>
      </w:r>
    </w:p>
    <w:p w14:paraId="7FCF438C">
      <w:pPr>
        <w:spacing w:after="120" w:line="360" w:lineRule="auto"/>
        <w:ind w:firstLine="420" w:firstLineChars="0"/>
        <w:rPr>
          <w:rFonts w:ascii="Times New Roman" w:hAnsi="Times New Roman" w:eastAsia="??"/>
          <w:sz w:val="22"/>
          <w:szCs w:val="22"/>
        </w:rPr>
      </w:pPr>
      <w:r>
        <w:rPr>
          <w:rFonts w:ascii="Times New Roman" w:hAnsi="Times New Roman" w:eastAsia="??"/>
          <w:sz w:val="22"/>
          <w:szCs w:val="22"/>
        </w:rPr>
        <w:t>本次作业采用的核心计算思路如下：</w:t>
      </w:r>
    </w:p>
    <w:p w14:paraId="6412E08B">
      <w:pPr>
        <w:spacing w:after="120" w:line="360" w:lineRule="auto"/>
        <w:rPr>
          <w:rFonts w:hAnsi="Cambria Math" w:eastAsia="??" w:cs="Times New Roman"/>
          <w:i w:val="0"/>
          <w:kern w:val="2"/>
          <w:sz w:val="22"/>
          <w:szCs w:val="22"/>
          <w:lang w:val="en-US" w:eastAsia="zh-CN" w:bidi="ar-SA"/>
        </w:rPr>
      </w:pPr>
      <m:oMathPara>
        <m:oMathParaPr>
          <m:jc m:val="center"/>
        </m:oMathParaPr>
        <m:oMath>
          <m:m>
            <m:mPr>
              <m:mcs>
                <m:mc>
                  <m:mcPr>
                    <m:count m:val="1"/>
                    <m:mcJc m:val="left"/>
                  </m:mcPr>
                </m:mc>
              </m:mcs>
              <m:ctrlPr>
                <w:rPr>
                  <w:rFonts w:ascii="Cambria Math" w:hAnsi="Cambria Math" w:eastAsia="??" w:cs="Times New Roman"/>
                  <w:i/>
                  <w:kern w:val="2"/>
                  <w:sz w:val="22"/>
                  <w:szCs w:val="22"/>
                  <w:lang w:val="en-US" w:eastAsia="zh-CN" w:bidi="ar-SA"/>
                </w:rPr>
              </m:ctrlPr>
            </m:mPr>
            <m:mr>
              <m:e>
                <m:r>
                  <w:rPr>
                    <w:rFonts w:hint="eastAsia" w:ascii="Cambria Math" w:hAnsi="Cambria Math" w:eastAsia="??" w:cs="Times New Roman"/>
                    <w:kern w:val="2"/>
                    <w:sz w:val="22"/>
                    <w:szCs w:val="22"/>
                    <w:lang w:val="en-US" w:eastAsia="zh-CN" w:bidi="ar-SA"/>
                  </w:rPr>
                  <m:t>raw_{score}=bullish_{mass}-bearish_{mass}</m:t>
                </m:r>
                <m:ctrlPr>
                  <w:rPr>
                    <w:rFonts w:ascii="Cambria Math" w:hAnsi="Cambria Math" w:eastAsia="??" w:cs="Times New Roman"/>
                    <w:i/>
                    <w:kern w:val="2"/>
                    <w:sz w:val="22"/>
                    <w:szCs w:val="22"/>
                    <w:lang w:val="en-US" w:eastAsia="zh-CN" w:bidi="ar-SA"/>
                  </w:rPr>
                </m:ctrlPr>
              </m:e>
            </m:mr>
          </m:m>
        </m:oMath>
      </m:oMathPara>
    </w:p>
    <w:p w14:paraId="0171394D">
      <w:pPr>
        <w:spacing w:after="120" w:line="360" w:lineRule="auto"/>
        <w:rPr>
          <w:rFonts w:hAnsi="Cambria Math" w:eastAsia="??" w:cs="Times New Roman"/>
          <w:i w:val="0"/>
          <w:kern w:val="2"/>
          <w:sz w:val="22"/>
          <w:szCs w:val="22"/>
          <w:lang w:val="en-US" w:eastAsia="zh-CN" w:bidi="ar-SA"/>
        </w:rPr>
      </w:pPr>
      <m:oMathPara>
        <m:oMathParaPr>
          <m:jc m:val="center"/>
        </m:oMathParaPr>
        <m:oMath>
          <m:m>
            <m:mPr>
              <m:mcs>
                <m:mc>
                  <m:mcPr>
                    <m:count m:val="1"/>
                    <m:mcJc m:val="left"/>
                  </m:mcPr>
                </m:mc>
              </m:mcs>
              <m:ctrlPr>
                <w:rPr>
                  <w:rFonts w:ascii="Cambria Math" w:hAnsi="Cambria Math" w:eastAsia="??" w:cs="Times New Roman"/>
                  <w:i/>
                  <w:kern w:val="2"/>
                  <w:sz w:val="22"/>
                  <w:szCs w:val="22"/>
                  <w:lang w:val="en-US" w:eastAsia="zh-CN" w:bidi="ar-SA"/>
                </w:rPr>
              </m:ctrlPr>
            </m:mPr>
            <m:mr>
              <m:e>
                <m:r>
                  <w:rPr>
                    <w:rFonts w:hint="eastAsia" w:ascii="Cambria Math" w:hAnsi="Cambria Math" w:eastAsia="??" w:cs="Times New Roman"/>
                    <w:kern w:val="2"/>
                    <w:sz w:val="22"/>
                    <w:szCs w:val="22"/>
                    <w:lang w:val="en-US" w:eastAsia="zh-CN" w:bidi="ar-SA"/>
                  </w:rPr>
                  <m:t>evidence_{mass}=bullish_{mass}+bearish_{mass}</m:t>
                </m:r>
                <m:ctrlPr>
                  <w:rPr>
                    <w:rFonts w:ascii="Cambria Math" w:hAnsi="Cambria Math" w:eastAsia="??" w:cs="Times New Roman"/>
                    <w:i/>
                    <w:kern w:val="2"/>
                    <w:sz w:val="22"/>
                    <w:szCs w:val="22"/>
                    <w:lang w:val="en-US" w:eastAsia="zh-CN" w:bidi="ar-SA"/>
                  </w:rPr>
                </m:ctrlPr>
              </m:e>
            </m:mr>
          </m:m>
        </m:oMath>
      </m:oMathPara>
    </w:p>
    <w:p w14:paraId="13072B1D">
      <w:pPr>
        <w:spacing w:after="120" w:line="360" w:lineRule="auto"/>
        <w:rPr>
          <w:rFonts w:hAnsi="Cambria Math" w:eastAsia="??" w:cs="Times New Roman"/>
          <w:i w:val="0"/>
          <w:kern w:val="2"/>
          <w:sz w:val="22"/>
          <w:szCs w:val="22"/>
          <w:lang w:val="en-US" w:eastAsia="zh-CN" w:bidi="ar-SA"/>
        </w:rPr>
      </w:pPr>
      <m:oMathPara>
        <m:oMathParaPr>
          <m:jc m:val="center"/>
        </m:oMathParaPr>
        <m:oMath>
          <m:m>
            <m:mPr>
              <m:mcs>
                <m:mc>
                  <m:mcPr>
                    <m:count m:val="1"/>
                    <m:mcJc m:val="left"/>
                  </m:mcPr>
                </m:mc>
              </m:mcs>
              <m:ctrlPr>
                <w:rPr>
                  <w:rFonts w:ascii="Cambria Math" w:hAnsi="Cambria Math" w:eastAsia="??" w:cs="Times New Roman"/>
                  <w:i/>
                  <w:kern w:val="2"/>
                  <w:sz w:val="22"/>
                  <w:szCs w:val="22"/>
                  <w:lang w:val="en-US" w:eastAsia="zh-CN" w:bidi="ar-SA"/>
                </w:rPr>
              </m:ctrlPr>
            </m:mPr>
            <m:mr>
              <m:e>
                <m:r>
                  <w:rPr>
                    <w:rFonts w:hint="eastAsia" w:ascii="Cambria Math" w:hAnsi="Cambria Math" w:eastAsia="??" w:cs="Times New Roman"/>
                    <w:kern w:val="2"/>
                    <w:sz w:val="22"/>
                    <w:szCs w:val="22"/>
                    <w:lang w:val="en-US" w:eastAsia="zh-CN" w:bidi="ar-SA"/>
                  </w:rPr>
                  <m:t>sentiment_{score}=\frac{raw_{score}}{evidence_{mass}+3}</m:t>
                </m:r>
                <m:ctrlPr>
                  <w:rPr>
                    <w:rFonts w:ascii="Cambria Math" w:hAnsi="Cambria Math" w:eastAsia="??" w:cs="Times New Roman"/>
                    <w:i/>
                    <w:kern w:val="2"/>
                    <w:sz w:val="22"/>
                    <w:szCs w:val="22"/>
                    <w:lang w:val="en-US" w:eastAsia="zh-CN" w:bidi="ar-SA"/>
                  </w:rPr>
                </m:ctrlPr>
              </m:e>
            </m:mr>
          </m:m>
        </m:oMath>
      </m:oMathPara>
    </w:p>
    <w:p w14:paraId="6BC61522">
      <w:pPr>
        <w:spacing w:after="120" w:line="360" w:lineRule="auto"/>
        <w:ind w:firstLine="420" w:firstLineChars="0"/>
      </w:pPr>
      <w:r>
        <w:rPr>
          <w:rFonts w:ascii="Times New Roman" w:hAnsi="Times New Roman" w:eastAsia="??"/>
          <w:sz w:val="22"/>
          <w:szCs w:val="22"/>
        </w:rPr>
        <w:t>其中，raw_score表示单篇新闻中看涨证据强度与看跌证据强度的差值，evidence_mass</w:t>
      </w:r>
      <w:bookmarkStart w:id="0" w:name="_GoBack"/>
      <w:bookmarkEnd w:id="0"/>
      <w:r>
        <w:rPr>
          <w:rFonts w:ascii="Times New Roman" w:hAnsi="Times New Roman" w:eastAsia="??"/>
          <w:sz w:val="22"/>
          <w:szCs w:val="22"/>
        </w:rPr>
        <w:t>表示该新闻中总体情感证据的强弱，平滑项用于减弱极少量词项命中所造成的剧烈波动。最终，根据情感得分的大小，将新闻划分为看涨、看跌或中性三类。</w:t>
      </w:r>
    </w:p>
    <w:p w14:paraId="07466C84">
      <w:pPr>
        <w:spacing w:after="120" w:line="360" w:lineRule="auto"/>
        <w:ind w:firstLine="420" w:firstLineChars="0"/>
      </w:pPr>
      <w:r>
        <w:rPr>
          <w:rFonts w:ascii="Times New Roman" w:hAnsi="Times New Roman" w:eastAsia="??"/>
          <w:sz w:val="22"/>
          <w:szCs w:val="22"/>
        </w:rPr>
        <w:t>通过这一过程，原本非结构化的新闻文本被转化为可量化的情感指标，从而能够进一步用于周度聚合分析和后续预测模型构建。</w:t>
      </w:r>
    </w:p>
    <w:p w14:paraId="30875835">
      <w:pPr>
        <w:spacing w:after="120" w:line="360" w:lineRule="auto"/>
      </w:pPr>
      <w:r>
        <w:rPr>
          <w:rFonts w:ascii="Times New Roman" w:hAnsi="Times New Roman" w:eastAsia="??"/>
          <w:b/>
          <w:sz w:val="28"/>
          <w:szCs w:val="28"/>
        </w:rPr>
        <w:t>六、结果产出与分析</w:t>
      </w:r>
    </w:p>
    <w:p w14:paraId="5D6E694F">
      <w:pPr>
        <w:spacing w:after="120" w:line="360" w:lineRule="auto"/>
        <w:ind w:firstLine="420" w:firstLineChars="0"/>
      </w:pPr>
      <w:r>
        <w:rPr>
          <w:rFonts w:ascii="Times New Roman" w:hAnsi="Times New Roman" w:eastAsia="??"/>
          <w:sz w:val="22"/>
          <w:szCs w:val="22"/>
        </w:rPr>
        <w:t>经过上述处理，本次作业最终得到的是逐篇新闻的情感得分结果、扩充后的领域情感词典以及相应的统计汇总信息。也就是说，原始新闻文本在经过清洗、分词、词典扩充和情感计算之后，被转换为了可以直接用于后续研究的结构化结果。</w:t>
      </w:r>
    </w:p>
    <w:p w14:paraId="33DA7391">
      <w:pPr>
        <w:spacing w:after="120" w:line="360" w:lineRule="auto"/>
        <w:ind w:firstLine="420" w:firstLineChars="0"/>
      </w:pPr>
      <w:r>
        <w:rPr>
          <w:rFonts w:ascii="Times New Roman" w:hAnsi="Times New Roman" w:eastAsia="??"/>
          <w:sz w:val="22"/>
          <w:szCs w:val="22"/>
        </w:rPr>
        <w:t>从结果分布来看，本次共完成37,665篇新闻的情感得分计算。其中，看涨新闻16,920篇，中性新闻9,586篇，看跌新闻11,159篇，整体平均情感得分为0.075885。这个结果说明样本整体略偏看涨，但并未呈现出极端单边分布，情感划分具有一定的区分度和可解释性。</w:t>
      </w:r>
    </w:p>
    <w:p w14:paraId="45227615">
      <w:pPr>
        <w:spacing w:after="120" w:line="360" w:lineRule="auto"/>
        <w:ind w:firstLine="420" w:firstLineChars="0"/>
      </w:pPr>
      <w:r>
        <w:rPr>
          <w:rFonts w:ascii="Times New Roman" w:hAnsi="Times New Roman" w:eastAsia="??"/>
          <w:sz w:val="22"/>
          <w:szCs w:val="22"/>
        </w:rPr>
        <w:t>从高频命中词所反映出的信息结构来看，看涨方向主要对应减产、制裁、供应收紧、地缘政治风险和价格上涨等因素，看跌方向则更多对应库存增加、供应过剩、需求疲软、经济放缓和价格下跌等因素。这一结果与国际油价变化的一般逻辑较为一致，说明本次情感定义和词典扩充方向基本合理。</w:t>
      </w:r>
    </w:p>
    <w:p w14:paraId="2A8CF79B">
      <w:pPr>
        <w:spacing w:after="120" w:line="360" w:lineRule="auto"/>
        <w:ind w:firstLine="420" w:firstLineChars="0"/>
      </w:pPr>
      <w:r>
        <w:rPr>
          <w:rFonts w:ascii="Times New Roman" w:hAnsi="Times New Roman" w:eastAsia="??"/>
          <w:sz w:val="22"/>
          <w:szCs w:val="22"/>
        </w:rPr>
        <w:t>更重要的是，经过这一环节后，新闻文本已经不再只是原始材料，而是被转换成了可用于后续建模的特征信息。换句话说，第三章的工作完成了从新闻文本到量化情感指标的转化，这为后续周度情感指数构建以及油价预测分析奠定了基础。</w:t>
      </w:r>
    </w:p>
    <w:p w14:paraId="700BF293">
      <w:pPr>
        <w:spacing w:after="120" w:line="360" w:lineRule="auto"/>
      </w:pPr>
      <w:r>
        <w:rPr>
          <w:rFonts w:ascii="Times New Roman" w:hAnsi="Times New Roman" w:eastAsia="??"/>
          <w:b/>
          <w:sz w:val="28"/>
          <w:szCs w:val="28"/>
        </w:rPr>
        <w:t>七、个人总结</w:t>
      </w:r>
    </w:p>
    <w:p w14:paraId="531D6892">
      <w:pPr>
        <w:spacing w:after="120" w:line="360" w:lineRule="auto"/>
        <w:ind w:firstLine="420" w:firstLineChars="0"/>
      </w:pPr>
      <w:r>
        <w:rPr>
          <w:rFonts w:ascii="Times New Roman" w:hAnsi="Times New Roman" w:eastAsia="??"/>
          <w:sz w:val="22"/>
          <w:szCs w:val="22"/>
        </w:rPr>
        <w:t>通过本次个人作业，我对基于词典的情感分析方法有了更深入的理解。相比直接使用通用情感词典，本次工作的关键不在于机械地进行词项匹配，而在于结合研究主题重新定义情感方向，使情感分析真正服务于国际油价预测这一目标。</w:t>
      </w:r>
    </w:p>
    <w:p w14:paraId="56743953">
      <w:pPr>
        <w:spacing w:after="120" w:line="360" w:lineRule="auto"/>
        <w:ind w:firstLine="420" w:firstLineChars="0"/>
      </w:pPr>
      <w:r>
        <w:rPr>
          <w:rFonts w:ascii="Times New Roman" w:hAnsi="Times New Roman" w:eastAsia="??"/>
          <w:sz w:val="22"/>
          <w:szCs w:val="22"/>
        </w:rPr>
        <w:t>这项工作的最大体会是，文本分析方法只有与具体研究问题结合起来，才能发挥真正作用。如果脱离油价研究背景，很多词的情感方向都容易被误判；而一旦从供需、库存、政策和地缘风险等角度重新理解新闻内容，情感得分就能够更准确地反映新闻对油价可能产生的影响。</w:t>
      </w:r>
    </w:p>
    <w:p w14:paraId="06668AF4">
      <w:pPr>
        <w:spacing w:after="120" w:line="360" w:lineRule="auto"/>
        <w:ind w:firstLine="420" w:firstLineChars="0"/>
      </w:pPr>
      <w:r>
        <w:rPr>
          <w:rFonts w:ascii="Times New Roman" w:hAnsi="Times New Roman" w:eastAsia="??"/>
          <w:sz w:val="22"/>
          <w:szCs w:val="22"/>
        </w:rPr>
        <w:t>总体来看，本次第三章情感得分计算部分已经完成了从新闻来源获取、文本预处理、领域词典扩充到逐篇新闻情感量化的完整流程，并最终形成了可直接服务于后续研究分析的结果。这一过程不仅提升了我对文本挖掘方法的理解，也使我进一步认识到情感分析在能源经济研究中的实际应用价值。</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tantia">
    <w:panose1 w:val="02030602050306030303"/>
    <w:charset w:val="00"/>
    <w:family w:val="auto"/>
    <w:pitch w:val="default"/>
    <w:sig w:usb0="A00002EF" w:usb1="4000204B" w:usb2="00000000" w:usb3="00000000" w:csb0="2000019F" w:csb1="00000000"/>
  </w:font>
  <w:font w:name="Cascadia Mono SemiBold">
    <w:panose1 w:val="020B0609020000020004"/>
    <w:charset w:val="00"/>
    <w:family w:val="auto"/>
    <w:pitch w:val="default"/>
    <w:sig w:usb0="A10002FF" w:usb1="4000F9FB" w:usb2="00040000" w:usb3="00000000" w:csb0="6000019F" w:csb1="DFD70000"/>
  </w:font>
  <w:font w:name="Bahnschrift SemiLight Condensed">
    <w:panose1 w:val="020B0502040204020203"/>
    <w:charset w:val="00"/>
    <w:family w:val="auto"/>
    <w:pitch w:val="default"/>
    <w:sig w:usb0="A00002C7" w:usb1="00000002" w:usb2="00000000" w:usb3="00000000" w:csb0="2000019F" w:csb1="00000000"/>
  </w:font>
  <w:font w:name="MS Gothic">
    <w:panose1 w:val="020B0609070205080204"/>
    <w:charset w:val="80"/>
    <w:family w:val="auto"/>
    <w:pitch w:val="default"/>
    <w:sig w:usb0="E00002FF" w:usb1="6AC7FDFB" w:usb2="08000012" w:usb3="00000000" w:csb0="4002009F" w:csb1="DFD70000"/>
  </w:font>
  <w:font w:name="Malgun Gothic">
    <w:panose1 w:val="020B0503020000020004"/>
    <w:charset w:val="81"/>
    <w:family w:val="auto"/>
    <w:pitch w:val="default"/>
    <w:sig w:usb0="9000002F" w:usb1="29D77CFB" w:usb2="00000012" w:usb3="00000000" w:csb0="0008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4E7"/>
    <w:rsid w:val="00194FE6"/>
    <w:rsid w:val="002A1276"/>
    <w:rsid w:val="004C34E7"/>
    <w:rsid w:val="00B639B1"/>
    <w:rsid w:val="00BE7978"/>
    <w:rsid w:val="031D2532"/>
    <w:rsid w:val="11392C25"/>
    <w:rsid w:val="19860B0A"/>
    <w:rsid w:val="31D20084"/>
    <w:rsid w:val="4FD81162"/>
    <w:rsid w:val="73C23AC8"/>
    <w:rsid w:val="74134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10"/>
    <w:qFormat/>
    <w:uiPriority w:val="99"/>
    <w:pPr>
      <w:keepNext/>
      <w:keepLines/>
      <w:widowControl w:val="0"/>
      <w:spacing w:beforeLines="50" w:after="100" w:afterAutospacing="1" w:line="360" w:lineRule="auto"/>
      <w:ind w:left="575" w:hanging="575"/>
      <w:outlineLvl w:val="1"/>
    </w:pPr>
    <w:rPr>
      <w:rFonts w:ascii="黑体" w:eastAsia="黑体"/>
      <w:bCs/>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link w:val="11"/>
    <w:semiHidden/>
    <w:unhideWhenUsed/>
    <w:qFormat/>
    <w:uiPriority w:val="99"/>
    <w:pPr>
      <w:jc w:val="left"/>
    </w:pPr>
  </w:style>
  <w:style w:type="paragraph" w:styleId="5">
    <w:name w:val="annotation subject"/>
    <w:basedOn w:val="4"/>
    <w:next w:val="4"/>
    <w:link w:val="12"/>
    <w:semiHidden/>
    <w:unhideWhenUsed/>
    <w:qFormat/>
    <w:uiPriority w:val="99"/>
    <w:rPr>
      <w:b/>
      <w:bCs/>
    </w:rPr>
  </w:style>
  <w:style w:type="table" w:styleId="7">
    <w:name w:val="Table Grid"/>
    <w:basedOn w:val="6"/>
    <w:uiPriority w:val="99"/>
    <w:rPr>
      <w:rFonts w:ascii="等线" w:hAnsi="等线" w:eastAsia="等线"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semiHidden/>
    <w:unhideWhenUsed/>
    <w:qFormat/>
    <w:uiPriority w:val="99"/>
    <w:rPr>
      <w:sz w:val="21"/>
      <w:szCs w:val="21"/>
    </w:rPr>
  </w:style>
  <w:style w:type="character" w:customStyle="1" w:styleId="10">
    <w:name w:val="标题 2 字符"/>
    <w:basedOn w:val="8"/>
    <w:link w:val="2"/>
    <w:uiPriority w:val="99"/>
    <w:rPr>
      <w:rFonts w:ascii="黑体" w:hAnsi="Times New Roman" w:eastAsia="黑体" w:cs="Times New Roman"/>
      <w:bCs/>
      <w:sz w:val="28"/>
      <w:szCs w:val="28"/>
    </w:rPr>
  </w:style>
  <w:style w:type="character" w:customStyle="1" w:styleId="11">
    <w:name w:val="批注文字 字符"/>
    <w:basedOn w:val="8"/>
    <w:link w:val="4"/>
    <w:semiHidden/>
    <w:qFormat/>
    <w:uiPriority w:val="99"/>
    <w:rPr>
      <w:rFonts w:ascii="Times New Roman" w:hAnsi="Times New Roman" w:eastAsia="宋体" w:cs="Times New Roman"/>
      <w:sz w:val="24"/>
      <w:szCs w:val="24"/>
    </w:rPr>
  </w:style>
  <w:style w:type="character" w:customStyle="1" w:styleId="12">
    <w:name w:val="批注主题 字符"/>
    <w:basedOn w:val="11"/>
    <w:link w:val="5"/>
    <w:semiHidden/>
    <w:qFormat/>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1413</Words>
  <Characters>1482</Characters>
  <Lines>28</Lines>
  <Paragraphs>9</Paragraphs>
  <TotalTime>27</TotalTime>
  <ScaleCrop>false</ScaleCrop>
  <LinksUpToDate>false</LinksUpToDate>
  <CharactersWithSpaces>1488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2024-12-19T08:48:00Z</dcterms:created>
  <dc:creator>R Wang</dc:creator>
  <cp:lastModifiedBy>长安.</cp:lastModifiedBy>
  <dcterms:modified xsi:type="dcterms:W3CDTF">2026-04-25T13:47:59Z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6ce09b435719dbd2c02b41b253cb8ed620138d60ac8a9189313924ec74b32a22</vt:lpwstr>
  </property>
  <property fmtid="{D5CDD505-2E9C-101B-9397-08002B2CF9AE}" pid="3" name="KSOTemplateDocerSaveRecord">
    <vt:lpwstr>eyJoZGlkIjoiYzUxNmUyN2M1NDExYWQ2NTIwYWUyZTMzYWRkNjUxZDMiLCJ1c2VySWQiOiI0MTg5NjIzMjEifQ==</vt:lpwstr>
  </property>
  <property fmtid="{D5CDD505-2E9C-101B-9397-08002B2CF9AE}" pid="4" name="KSOProductBuildVer">
    <vt:lpwstr>2052-12.1.0.25865</vt:lpwstr>
  </property>
  <property fmtid="{D5CDD505-2E9C-101B-9397-08002B2CF9AE}" pid="5" name="ICV">
    <vt:lpwstr>C6065D4FD1DD43C090E503AF9A7A29D8_13</vt:lpwstr>
  </property>
</Properties>
</file>