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pPr>
      <w:r>
        <w:rPr>
          <w:rFonts w:ascii="Times New Roman" w:hAnsi="Times New Roman" w:eastAsia="黑体"/>
          <w:b/>
          <w:sz w:val="36"/>
        </w:rPr>
        <w:t>全球石油研究机构学术影响力与主题演化研究</w:t>
      </w:r>
    </w:p>
    <w:p>
      <w:pPr>
        <w:sectPr>
          <w:pgSz w:w="11906" w:h="16838"/>
          <w:pgMar w:top="1701" w:right="1134" w:bottom="1134" w:left="1701" w:header="720" w:footer="720" w:gutter="0"/>
          <w:cols w:space="720"/>
          <w:docGrid w:linePitch="360"/>
        </w:sectPr>
      </w:pPr>
    </w:p>
    <w:p>
      <w:pPr>
        <w:pStyle w:val="Heading1"/>
        <w:spacing w:before="240" w:after="240"/>
        <w:jc w:val="center"/>
      </w:pPr>
      <w:r>
        <w:rPr>
          <w:rFonts w:ascii="Times New Roman" w:hAnsi="Times New Roman" w:eastAsia="黑体"/>
          <w:b/>
          <w:sz w:val="32"/>
        </w:rPr>
        <w:t>摘要</w:t>
      </w:r>
    </w:p>
    <w:p>
      <w:pPr>
        <w:spacing w:line="300" w:lineRule="auto" w:before="0" w:after="0"/>
        <w:ind w:left="0" w:firstLine="480"/>
      </w:pPr>
      <w:r>
        <w:rPr>
          <w:rFonts w:ascii="Times New Roman" w:hAnsi="Times New Roman" w:eastAsia="宋体"/>
          <w:b w:val="0"/>
          <w:sz w:val="24"/>
        </w:rPr>
        <w:t>以109本高质量期刊石油领域文献为基础，整合CNKI、WOS与CSCD 2011-2025年记录，构建311321篇双主键去重语料。在机构标准化基础上，选取科研产出、学术影响、合作与国际化3个维度7项指标，采用先验权重、熵权法与CRITIC法组合赋权，并结合TOPSIS评价核心研究机构影响力；进一步基于103768篇文献构建三阶段LDA模型，分析主题演化及不同机构类型、机构层级的主题偏好。结果表明：中国科学院和中国石油大学（北京）综合得分位居前两位；有效标准化机构共7895个，其中企业研发中心5313个、高校/科研院所2433个、政府机构28个；三阶段最优主题数分别为12、10和11，共识别14条主题演化路径。研究热点由盆地构造、油田开发和传统催化转向储层预测、二氧化碳利用与储存、催化活性和材料稳定性等方向。高校/科研院所更偏向知识探索型主题，企业研发中心更集中于工程开发类主题。</w:t>
      </w:r>
    </w:p>
    <w:p>
      <w:pPr>
        <w:spacing w:line="300" w:lineRule="auto" w:before="0" w:after="0"/>
        <w:ind w:left="0" w:firstLine="0"/>
      </w:pPr>
      <w:r>
        <w:rPr>
          <w:rFonts w:ascii="Times New Roman" w:hAnsi="Times New Roman" w:eastAsia="宋体"/>
          <w:b/>
          <w:sz w:val="24"/>
        </w:rPr>
        <w:t>关键词：</w:t>
      </w:r>
      <w:r>
        <w:rPr>
          <w:rFonts w:ascii="Times New Roman" w:hAnsi="Times New Roman" w:eastAsia="宋体"/>
          <w:b w:val="0"/>
          <w:sz w:val="24"/>
        </w:rPr>
        <w:t>高质量期刊文献；石油领域；研究机构；学术影响力；主题演化</w:t>
      </w:r>
    </w:p>
    <w:p>
      <w:r>
        <w:br w:type="page"/>
      </w:r>
    </w:p>
    <w:p>
      <w:pPr>
        <w:pStyle w:val="Heading1"/>
        <w:spacing w:before="240" w:after="240"/>
        <w:jc w:val="center"/>
      </w:pPr>
      <w:r>
        <w:rPr>
          <w:rFonts w:ascii="Times New Roman" w:hAnsi="Times New Roman" w:eastAsia="黑体"/>
          <w:b/>
          <w:sz w:val="32"/>
        </w:rPr>
        <w:t>Abstract</w:t>
      </w:r>
    </w:p>
    <w:p>
      <w:pPr>
        <w:spacing w:line="300" w:lineRule="auto" w:before="0" w:after="0"/>
        <w:ind w:left="0" w:firstLine="0"/>
      </w:pPr>
      <w:r>
        <w:rPr>
          <w:rFonts w:ascii="Times New Roman" w:hAnsi="Times New Roman" w:eastAsia="宋体"/>
          <w:b/>
          <w:sz w:val="24"/>
        </w:rPr>
        <w:t>Academic Influence and Topic Evolution of Global Petroleum Research Institutions</w:t>
      </w:r>
    </w:p>
    <w:p>
      <w:pPr>
        <w:spacing w:line="300" w:lineRule="auto" w:before="0" w:after="0"/>
        <w:ind w:left="0" w:firstLine="480"/>
      </w:pPr>
      <w:r>
        <w:rPr>
          <w:rFonts w:ascii="Times New Roman" w:hAnsi="Times New Roman" w:eastAsia="宋体"/>
          <w:b w:val="0"/>
          <w:sz w:val="24"/>
        </w:rPr>
        <w:t>Using petroleum literature from 109 high-quality journals, this study integrates CNKI, Web of Science, and CSCD records from 2011 to 2025 and constructs a dual-key deduplicated corpus of 311321 papers. After data cleaning and institution normalization, seven indicators covering research output, academic impact, and collaboration/internationalization are combined through prior weights, entropy weights, and CRITIC weights, and then evaluated with TOPSIS. A three-stage LDA framework based on 103768 model-ready documents is further used to examine topic evolution and the thematic preferences of different institution types and levels. The results show that the Chinese Academy of Sciences and China University of Petroleum (Beijing) rank first and second, respectively. Among 7895 valid normalized institutions, 5313 are enterprise R&amp;D centers, 2433 are universities/research institutes, and 28 are government institutions. The optimal topic numbers are 12, 10, and 11 across the three periods, yielding 14 evolution paths. Research hotspots shift from basin structure, oilfield development, and conventional catalysis toward reservoir prediction and simulation, carbon dioxide utilization and storage, catalytic activity, and material stability. Universities and research institutes are stronger in exploratory themes, whereas enterprise R&amp;D centers are more concentrated in engineering and application-oriented topics.</w:t>
      </w:r>
    </w:p>
    <w:p>
      <w:pPr>
        <w:spacing w:line="300" w:lineRule="auto" w:before="0" w:after="0"/>
        <w:ind w:left="0" w:firstLine="0"/>
      </w:pPr>
      <w:r>
        <w:rPr>
          <w:rFonts w:ascii="Times New Roman" w:hAnsi="Times New Roman" w:eastAsia="宋体"/>
          <w:b/>
          <w:sz w:val="24"/>
        </w:rPr>
        <w:t>Key Words:</w:t>
      </w:r>
      <w:r>
        <w:rPr>
          <w:rFonts w:ascii="Times New Roman" w:hAnsi="Times New Roman" w:eastAsia="宋体"/>
          <w:b w:val="0"/>
          <w:sz w:val="24"/>
        </w:rPr>
        <w:t xml:space="preserve"> high-quality journal literature; petroleum research institutions; academic influence; TOPSIS; topic evolution</w:t>
      </w:r>
    </w:p>
    <w:p>
      <w:r>
        <w:br w:type="page"/>
      </w:r>
    </w:p>
    <w:p>
      <w:pPr>
        <w:pStyle w:val="Heading1"/>
        <w:spacing w:before="240" w:after="240"/>
        <w:jc w:val="center"/>
      </w:pPr>
      <w:r>
        <w:rPr>
          <w:rFonts w:ascii="Times New Roman" w:hAnsi="Times New Roman" w:eastAsia="黑体"/>
          <w:b/>
          <w:sz w:val="32"/>
        </w:rPr>
        <w:t>目录</w:t>
      </w:r>
    </w:p>
    <w:p>
      <w:pPr>
        <w:spacing w:line="300" w:lineRule="auto" w:before="0" w:after="0"/>
        <w:ind w:left="0" w:firstLine="0"/>
        <w:jc w:val="left"/>
      </w:pPr>
      <w:r>
        <w:rPr>
          <w:rFonts w:ascii="Times New Roman" w:hAnsi="Times New Roman" w:eastAsia="宋体"/>
          <w:b w:val="0"/>
          <w:sz w:val="24"/>
        </w:rPr>
        <w:fldChar w:fldCharType="begin"/>
        <w:instrText xml:space="preserve">TOC \o "1-3" \h \z \u</w:instrText>
        <w:fldChar w:fldCharType="separate"/>
        <w:t>目录将在打开文档后更新</w:t>
        <w:fldChar w:fldCharType="end"/>
      </w:r>
    </w:p>
    <w:p>
      <w:pPr>
        <w:spacing w:line="300" w:lineRule="auto" w:before="0" w:after="0"/>
        <w:ind w:left="0" w:firstLine="0"/>
        <w:jc w:val="left"/>
      </w:pPr>
      <w:r>
        <w:rPr>
          <w:rFonts w:ascii="Times New Roman" w:hAnsi="Times New Roman" w:eastAsia="宋体"/>
          <w:b w:val="0"/>
          <w:sz w:val="21"/>
        </w:rPr>
        <w:t>提示：如目录未自动显示，请在 Word/WPS 中更新域。</w:t>
      </w:r>
    </w:p>
    <w:p>
      <w:pPr>
        <w:sectPr>
          <w:headerReference w:type="default" r:id="rId9"/>
          <w:footerReference w:type="default" r:id="rId10"/>
          <w:pgSz w:w="11906" w:h="16838"/>
          <w:pgMar w:top="1701" w:right="1134" w:bottom="1134" w:left="1701" w:header="720" w:footer="720" w:gutter="0"/>
          <w:cols w:space="720"/>
          <w:docGrid w:linePitch="360"/>
          <w:pgNumType w:fmt="upperRoman" w:start="1"/>
        </w:sectPr>
      </w:pPr>
    </w:p>
    <w:p>
      <w:pPr>
        <w:pStyle w:val="Heading1"/>
        <w:spacing w:before="240" w:after="240"/>
        <w:jc w:val="center"/>
      </w:pPr>
      <w:r>
        <w:rPr>
          <w:rFonts w:ascii="Times New Roman" w:hAnsi="Times New Roman" w:eastAsia="黑体"/>
          <w:b/>
          <w:sz w:val="32"/>
        </w:rPr>
        <w:t>1 绪论</w:t>
      </w:r>
    </w:p>
    <w:p>
      <w:pPr>
        <w:pStyle w:val="Heading2"/>
        <w:spacing w:before="240" w:after="120"/>
        <w:jc w:val="left"/>
      </w:pPr>
      <w:r>
        <w:rPr>
          <w:rFonts w:ascii="Times New Roman" w:hAnsi="Times New Roman" w:eastAsia="黑体"/>
          <w:b/>
          <w:sz w:val="28"/>
        </w:rPr>
        <w:t>1.1 研究背景与意义</w:t>
      </w:r>
    </w:p>
    <w:p>
      <w:pPr>
        <w:spacing w:line="300" w:lineRule="auto" w:before="0" w:after="0"/>
        <w:ind w:left="0" w:firstLine="480"/>
      </w:pPr>
      <w:r>
        <w:rPr>
          <w:rFonts w:ascii="Times New Roman" w:hAnsi="Times New Roman" w:eastAsia="宋体"/>
          <w:b w:val="0"/>
          <w:sz w:val="24"/>
        </w:rPr>
        <w:t>石油仍然是全球能源结构与工业原料体系中的关键支柱。随着非常规油气开发、储层精细表征、二氧化碳利用与封存、催化转化等议题持续升温，科研机构在石油领域中的学术地位、知识生产方式和研究主题布局，已经成为观察行业科技竞争格局的重要窗口。与通用性的大学排名不同，石油领域机构评价不仅涉及论文数量和被引表现，还受到合作网络、工程应用导向以及垂直领域主题契合度的共同影响。</w:t>
      </w:r>
    </w:p>
    <w:p>
      <w:pPr>
        <w:spacing w:line="300" w:lineRule="auto" w:before="0" w:after="0"/>
        <w:ind w:left="0" w:firstLine="480"/>
      </w:pPr>
      <w:r>
        <w:rPr>
          <w:rFonts w:ascii="Times New Roman" w:hAnsi="Times New Roman" w:eastAsia="宋体"/>
          <w:b w:val="0"/>
          <w:sz w:val="24"/>
        </w:rPr>
        <w:t>从现实需求看，面向全球石油科技竞争与能源安全治理，单纯依靠经验判断已难以支撑机构竞争力识别和资源配置决策。以高质量期刊文献为基础，综合评价全球石油领域研究机构的学术影响力，并进一步追踪热点主题的演化轨迹，有助于识别头部机构优势来源、发现特色机构突破方向，也有助于为高校、企业研发主体和管理部门提供差异化决策参考。</w:t>
      </w:r>
    </w:p>
    <w:p>
      <w:pPr>
        <w:pStyle w:val="Heading2"/>
        <w:spacing w:before="240" w:after="120"/>
        <w:jc w:val="left"/>
      </w:pPr>
      <w:r>
        <w:rPr>
          <w:rFonts w:ascii="Times New Roman" w:hAnsi="Times New Roman" w:eastAsia="黑体"/>
          <w:b/>
          <w:sz w:val="28"/>
        </w:rPr>
        <w:t>1.2 国内外研究现状</w:t>
      </w:r>
    </w:p>
    <w:p>
      <w:pPr>
        <w:spacing w:line="300" w:lineRule="auto" w:before="0" w:after="0"/>
        <w:ind w:left="0" w:firstLine="480"/>
      </w:pPr>
      <w:r>
        <w:rPr>
          <w:rFonts w:ascii="Times New Roman" w:hAnsi="Times New Roman" w:eastAsia="宋体"/>
          <w:b w:val="0"/>
          <w:sz w:val="24"/>
        </w:rPr>
        <w:t>现有研究大致可分为两条主线：一条聚焦科研机构或学者学术影响力评价，强调多指标综合评价模型的构建；另一条聚焦主题识别与主题演化分析，强调从大规模文本中抽取研究热点及其变化路径。Schlögl等指出，机构评价结果对数据源选择、计数方式和指标属性设置高度敏感，评价框架的透明性与可解释性是保证结果可信的前提</w:t>
      </w:r>
      <w:r>
        <w:rPr>
          <w:rFonts w:ascii="Times New Roman" w:hAnsi="Times New Roman" w:eastAsia="Times New Roman"/>
          <w:b w:val="0"/>
          <w:sz w:val="21"/>
          <w:vertAlign w:val="superscript"/>
        </w:rPr>
        <w:t>[1]</w:t>
      </w:r>
      <w:r>
        <w:rPr>
          <w:rFonts w:ascii="Times New Roman" w:hAnsi="Times New Roman" w:eastAsia="宋体"/>
          <w:b w:val="0"/>
          <w:sz w:val="24"/>
        </w:rPr>
        <w:t>。在国内，林子婕、唐星龙等从多维互动视角讨论学术影响力评价，张璜、高睿则从主题性视角引入LDA模型分析学术影响力问题</w:t>
      </w:r>
      <w:r>
        <w:rPr>
          <w:rFonts w:ascii="Times New Roman" w:hAnsi="Times New Roman" w:eastAsia="Times New Roman"/>
          <w:b w:val="0"/>
          <w:sz w:val="21"/>
          <w:vertAlign w:val="superscript"/>
        </w:rPr>
        <w:t>[3-4]</w:t>
      </w:r>
      <w:r>
        <w:rPr>
          <w:rFonts w:ascii="Times New Roman" w:hAnsi="Times New Roman" w:eastAsia="宋体"/>
          <w:b w:val="0"/>
          <w:sz w:val="24"/>
        </w:rPr>
        <w:t>。Deng等进一步从双语环境与多源异构数据库整合角度构建作者学术影响力评价模型，说明跨数据库融合已经成为影响评价有效性的关键环节之一</w:t>
      </w:r>
      <w:r>
        <w:rPr>
          <w:rFonts w:ascii="Times New Roman" w:hAnsi="Times New Roman" w:eastAsia="Times New Roman"/>
          <w:b w:val="0"/>
          <w:sz w:val="21"/>
          <w:vertAlign w:val="superscript"/>
        </w:rPr>
        <w:t>[2]</w:t>
      </w:r>
      <w:r>
        <w:rPr>
          <w:rFonts w:ascii="Times New Roman" w:hAnsi="Times New Roman" w:eastAsia="宋体"/>
          <w:b w:val="0"/>
          <w:sz w:val="24"/>
        </w:rPr>
        <w:t>。总体来看，机构评价研究已经从单一发文量、被引频次等规模性指标，逐步转向对产出、质量、合作与国际化等多维能力的综合刻画，常见方法包括层次分析、熵权法、TOPSIS及其组合模型。</w:t>
      </w:r>
    </w:p>
    <w:p>
      <w:pPr>
        <w:spacing w:line="300" w:lineRule="auto" w:before="0" w:after="0"/>
        <w:ind w:left="0" w:firstLine="480"/>
      </w:pPr>
      <w:r>
        <w:rPr>
          <w:rFonts w:ascii="Times New Roman" w:hAnsi="Times New Roman" w:eastAsia="宋体"/>
          <w:b w:val="0"/>
          <w:sz w:val="24"/>
        </w:rPr>
        <w:t>但已有机构评价研究仍存在两个明显局限。其一，很多研究默认机构名称、来源库和计数口径已经“天然可比”，对跨数据库重复记录、机构异名同指以及子单元归并问题讨论不足，导致评价结果在不同研究之间难以横向比照。其二，不少研究虽然使用了多指标模型，却缺少对赋权逻辑、标准化方式以及最终排序机制之间关系的细致交代，使得“为什么是这一结果”往往弱于“结果是什么”的呈现。以期刊影响评价和高校管理者学术表现评价为例，Zhao等和Pratama等都表明，一旦评价指标从单一引用扩展为多指标组合，结果解释的透明度就会直接影响评价的可辩护性</w:t>
      </w:r>
      <w:r>
        <w:rPr>
          <w:rFonts w:ascii="Times New Roman" w:hAnsi="Times New Roman" w:eastAsia="Times New Roman"/>
          <w:b w:val="0"/>
          <w:sz w:val="21"/>
          <w:vertAlign w:val="superscript"/>
        </w:rPr>
        <w:t>[15-16]</w:t>
      </w:r>
      <w:r>
        <w:rPr>
          <w:rFonts w:ascii="Times New Roman" w:hAnsi="Times New Roman" w:eastAsia="宋体"/>
          <w:b w:val="0"/>
          <w:sz w:val="24"/>
        </w:rPr>
        <w:t>。</w:t>
      </w:r>
    </w:p>
    <w:p>
      <w:pPr>
        <w:spacing w:line="300" w:lineRule="auto" w:before="0" w:after="0"/>
        <w:ind w:left="0" w:firstLine="480"/>
      </w:pPr>
      <w:r>
        <w:rPr>
          <w:rFonts w:ascii="Times New Roman" w:hAnsi="Times New Roman" w:eastAsia="宋体"/>
          <w:b w:val="0"/>
          <w:sz w:val="24"/>
        </w:rPr>
        <w:t>在石油及相关领域研究中，已有成果更多集中于期刊影响力、单一高校或单一机构群体的科学计量分析，例如针对石油天然气工程类期刊影响力的研究</w:t>
      </w:r>
      <w:r>
        <w:rPr>
          <w:rFonts w:ascii="Times New Roman" w:hAnsi="Times New Roman" w:eastAsia="Times New Roman"/>
          <w:b w:val="0"/>
          <w:sz w:val="21"/>
          <w:vertAlign w:val="superscript"/>
        </w:rPr>
        <w:t>[6]</w:t>
      </w:r>
      <w:r>
        <w:rPr>
          <w:rFonts w:ascii="Times New Roman" w:hAnsi="Times New Roman" w:eastAsia="宋体"/>
          <w:b w:val="0"/>
          <w:sz w:val="24"/>
        </w:rPr>
        <w:t>，以及围绕能源类高校研究生产力开展的实证分析</w:t>
      </w:r>
      <w:r>
        <w:rPr>
          <w:rFonts w:ascii="Times New Roman" w:hAnsi="Times New Roman" w:eastAsia="Times New Roman"/>
          <w:b w:val="0"/>
          <w:sz w:val="21"/>
          <w:vertAlign w:val="superscript"/>
        </w:rPr>
        <w:t>[7-8]</w:t>
      </w:r>
      <w:r>
        <w:rPr>
          <w:rFonts w:ascii="Times New Roman" w:hAnsi="Times New Roman" w:eastAsia="宋体"/>
          <w:b w:val="0"/>
          <w:sz w:val="24"/>
        </w:rPr>
        <w:t>。这些研究为垂直领域评价提供了经验，但仍存在三个不足：一是评价对象往往局限于少量机构或单一国家，缺乏全球比较；二是机构评价与主题演化通常分离处理，尚未形成从影响力到主题布局的贯通解释；三是对于多源异构数据清洗、跨库去重和机构标准化的规则披露不充分，导致研究复现难度较高。</w:t>
      </w:r>
    </w:p>
    <w:p>
      <w:pPr>
        <w:spacing w:line="300" w:lineRule="auto" w:before="0" w:after="0"/>
        <w:ind w:left="0" w:firstLine="480"/>
      </w:pPr>
      <w:r>
        <w:rPr>
          <w:rFonts w:ascii="Times New Roman" w:hAnsi="Times New Roman" w:eastAsia="宋体"/>
          <w:b w:val="0"/>
          <w:sz w:val="24"/>
        </w:rPr>
        <w:t>主题演化研究方面，近年来文献计量与文本挖掘方法结合愈发紧密。王宏宇等基于语义网络识别科研主题演化路径</w:t>
      </w:r>
      <w:r>
        <w:rPr>
          <w:rFonts w:ascii="Times New Roman" w:hAnsi="Times New Roman" w:eastAsia="Times New Roman"/>
          <w:b w:val="0"/>
          <w:sz w:val="21"/>
          <w:vertAlign w:val="superscript"/>
        </w:rPr>
        <w:t>[5]</w:t>
      </w:r>
      <w:r>
        <w:rPr>
          <w:rFonts w:ascii="Times New Roman" w:hAnsi="Times New Roman" w:eastAsia="宋体"/>
          <w:b w:val="0"/>
          <w:sz w:val="24"/>
        </w:rPr>
        <w:t>，Blei等提出的LDA模型则为主题发现提供了经典技术框架</w:t>
      </w:r>
      <w:r>
        <w:rPr>
          <w:rFonts w:ascii="Times New Roman" w:hAnsi="Times New Roman" w:eastAsia="Times New Roman"/>
          <w:b w:val="0"/>
          <w:sz w:val="21"/>
          <w:vertAlign w:val="superscript"/>
        </w:rPr>
        <w:t>[12]</w:t>
      </w:r>
      <w:r>
        <w:rPr>
          <w:rFonts w:ascii="Times New Roman" w:hAnsi="Times New Roman" w:eastAsia="宋体"/>
          <w:b w:val="0"/>
          <w:sz w:val="24"/>
        </w:rPr>
        <w:t>。与传统关键词共现、共词聚类相比，LDA更适合处理中英文混合、主题边界交叠的大规模摘要文本，但它同样高度依赖语料清洗质量、术语映射规则和入样阈值设定。对于石油领域这类兼具工程术语、地质术语和材料术语的复合型语料，如果缺乏稳定的机构标准化和类型划分，就难以进一步回答“何种机构在何种主题上形成优势、其优势又如何反馈到综合影响力”这一关键问题。</w:t>
      </w:r>
    </w:p>
    <w:p>
      <w:pPr>
        <w:pStyle w:val="Heading2"/>
        <w:spacing w:before="240" w:after="120"/>
        <w:jc w:val="left"/>
      </w:pPr>
      <w:r>
        <w:rPr>
          <w:rFonts w:ascii="Times New Roman" w:hAnsi="Times New Roman" w:eastAsia="黑体"/>
          <w:b/>
          <w:sz w:val="28"/>
        </w:rPr>
        <w:t>1.3 研究问题与研究目标</w:t>
      </w:r>
    </w:p>
    <w:p>
      <w:pPr>
        <w:spacing w:line="300" w:lineRule="auto" w:before="0" w:after="0"/>
        <w:ind w:left="0" w:firstLine="480"/>
      </w:pPr>
      <w:r>
        <w:rPr>
          <w:rFonts w:ascii="Times New Roman" w:hAnsi="Times New Roman" w:eastAsia="宋体"/>
          <w:b w:val="0"/>
          <w:sz w:val="24"/>
        </w:rPr>
        <w:t>围绕上述不足，本文重点回答三个问题。第一，如何在高质量期刊文献约束下，构建覆盖2011-2025年的全球石油领域正式分析语料，并形成可在论文中合理表述的数据清洗与跨库去重规则。第二，如何在现有字段条件下，建立兼顾科研产出、学术影响和合作国际化的机构综合评价模型，并据此识别全球石油领域核心研究机构的层级结构。第三，如何将机构评价结果与主题演化结果联系起来，解释不同机构类型和机构层级的主题偏好及其变化。</w:t>
      </w:r>
    </w:p>
    <w:p>
      <w:pPr>
        <w:spacing w:line="300" w:lineRule="auto" w:before="0" w:after="0"/>
        <w:ind w:left="0" w:firstLine="480"/>
      </w:pPr>
      <w:r>
        <w:rPr>
          <w:rFonts w:ascii="Times New Roman" w:hAnsi="Times New Roman" w:eastAsia="宋体"/>
          <w:b w:val="0"/>
          <w:sz w:val="24"/>
        </w:rPr>
        <w:t>据此，本文的研究目标包括：构建双主键正式语料并完成机构标准化；形成可复现的TOPSIS机构影响力评价结果与层级划分；在三阶段LDA框架下识别石油领域主题演化路径；比较不同机构类型与机构层级的主题差异，并在此基础上提出具有现实针对性的管理建议。</w:t>
      </w:r>
    </w:p>
    <w:p>
      <w:pPr>
        <w:pStyle w:val="Heading2"/>
        <w:spacing w:before="240" w:after="120"/>
        <w:jc w:val="left"/>
      </w:pPr>
      <w:r>
        <w:rPr>
          <w:rFonts w:ascii="Times New Roman" w:hAnsi="Times New Roman" w:eastAsia="黑体"/>
          <w:b/>
          <w:sz w:val="28"/>
        </w:rPr>
        <w:t>1.4 研究思路与可能创新</w:t>
      </w:r>
    </w:p>
    <w:p>
      <w:pPr>
        <w:spacing w:line="300" w:lineRule="auto" w:before="0" w:after="0"/>
        <w:ind w:left="0" w:firstLine="480"/>
      </w:pPr>
      <w:r>
        <w:rPr>
          <w:rFonts w:ascii="Times New Roman" w:hAnsi="Times New Roman" w:eastAsia="宋体"/>
          <w:b w:val="0"/>
          <w:sz w:val="24"/>
        </w:rPr>
        <w:t>本文将“数据治理—机构评价—主题演化—策略建议”串联为一条完整分析链条。首先，在原始多源文献基础上执行源内可用性清洗和跨库双主键去重；其次，通过机构译名纠偏、母机构归并和子单元过滤构建标准化机构主表；再次，在Top100核心机构样本上实施组合赋权与TOPSIS评价，并分别在全体标准化机构和接入Top100样本的核心机构上建立机构类型与机构层级画像；最后，复用正式语料对应的主题分析结果，从时间、类型和层级三个维度解释石油领域研究主题的演化逻辑。</w:t>
      </w:r>
    </w:p>
    <w:p>
      <w:pPr>
        <w:spacing w:line="300" w:lineRule="auto" w:before="0" w:after="0"/>
        <w:ind w:left="0" w:firstLine="480"/>
      </w:pPr>
      <w:r>
        <w:rPr>
          <w:rFonts w:ascii="Times New Roman" w:hAnsi="Times New Roman" w:eastAsia="宋体"/>
          <w:b w:val="0"/>
          <w:sz w:val="24"/>
        </w:rPr>
        <w:t>本文的主要创新点体现在三个方面：其一，在论文初稿中显式给出数据清洗、去重与机构标准化规则，增强结果可复查性；其二，将机构影响力评价与主题演化分析放在同一正式语料和统一机构口径下讨论，避免传统研究中“评价结果”与“主题分析”各自为政的割裂问题；其三，在开题报告原计划框架基础上，根据实际数据可得性对指标体系和类型比较边界进行了收敛，使论文结论更具科学性和可辩护性。</w:t>
      </w:r>
    </w:p>
    <w:p>
      <w:pPr>
        <w:sectPr>
          <w:headerReference w:type="default" r:id="rId11"/>
          <w:footerReference w:type="default" r:id="rId12"/>
          <w:pgSz w:w="11906" w:h="16838"/>
          <w:pgMar w:top="1701" w:right="1134" w:bottom="1134" w:left="1701" w:header="720" w:footer="720" w:gutter="0"/>
          <w:cols w:space="720"/>
          <w:docGrid w:linePitch="360"/>
          <w:pgNumType w:fmt="decimal" w:start="1"/>
        </w:sectPr>
      </w:pPr>
    </w:p>
    <w:p>
      <w:pPr>
        <w:pStyle w:val="Heading1"/>
        <w:spacing w:before="240" w:after="240"/>
        <w:jc w:val="center"/>
      </w:pPr>
      <w:r>
        <w:rPr>
          <w:rFonts w:ascii="Times New Roman" w:hAnsi="Times New Roman" w:eastAsia="黑体"/>
          <w:b/>
          <w:sz w:val="32"/>
        </w:rPr>
        <w:t>2 数据来源与研究方法</w:t>
      </w:r>
    </w:p>
    <w:p>
      <w:pPr>
        <w:pStyle w:val="Heading2"/>
        <w:spacing w:before="240" w:after="120"/>
        <w:jc w:val="left"/>
      </w:pPr>
      <w:r>
        <w:rPr>
          <w:rFonts w:ascii="Times New Roman" w:hAnsi="Times New Roman" w:eastAsia="黑体"/>
          <w:b/>
          <w:sz w:val="28"/>
        </w:rPr>
        <w:t>2.1 数据来源与研究范围</w:t>
      </w:r>
    </w:p>
    <w:p>
      <w:pPr>
        <w:spacing w:line="300" w:lineRule="auto" w:before="0" w:after="0"/>
        <w:ind w:left="0" w:firstLine="480"/>
      </w:pPr>
      <w:r>
        <w:rPr>
          <w:rFonts w:ascii="Times New Roman" w:hAnsi="Times New Roman" w:eastAsia="宋体"/>
          <w:b w:val="0"/>
          <w:sz w:val="24"/>
        </w:rPr>
        <w:t>本文将当前持有的三库原始数据统一视为来源于已筛定的109本高质量期刊石油领域文献数据，并以此作为研究的基础数据源。正式分析语料来自CNKI、WOS与CSCD三库2011-2025年记录，经统一清洗和双主键跨库去重后形成正式主表，共包含311321篇文献。按主题建模统计口径，2011-2015、2016-2020、2021-2025三个阶段的文献数分别为116302篇、84223篇和110796篇。由于本文研究对象是研究机构而非期刊本身，高质量期刊属性在研究中主要承担数据来源约束作用，而不作为后续评价指标。之所以仍需明确说明数据源，是因为不同数据库在收录范围、引文覆盖和元数据完整性上存在系统差异，相关研究已指出数据库选择本身会显著影响科学评价结论</w:t>
      </w:r>
      <w:r>
        <w:rPr>
          <w:rFonts w:ascii="Times New Roman" w:hAnsi="Times New Roman" w:eastAsia="Times New Roman"/>
          <w:b w:val="0"/>
          <w:sz w:val="21"/>
          <w:vertAlign w:val="superscript"/>
        </w:rPr>
        <w:t>[13-14]</w:t>
      </w:r>
      <w:r>
        <w:rPr>
          <w:rFonts w:ascii="Times New Roman" w:hAnsi="Times New Roman" w:eastAsia="宋体"/>
          <w:b w:val="0"/>
          <w:sz w:val="24"/>
        </w:rPr>
        <w:t>。</w:t>
      </w:r>
    </w:p>
    <w:p>
      <w:pPr>
        <w:pStyle w:val="Heading2"/>
        <w:spacing w:before="240" w:after="120"/>
        <w:jc w:val="left"/>
      </w:pPr>
      <w:r>
        <w:rPr>
          <w:rFonts w:ascii="Times New Roman" w:hAnsi="Times New Roman" w:eastAsia="黑体"/>
          <w:b/>
          <w:sz w:val="28"/>
        </w:rPr>
        <w:t>2.2 数据清洗与跨库去重规则</w:t>
      </w:r>
    </w:p>
    <w:p>
      <w:pPr>
        <w:spacing w:line="300" w:lineRule="auto" w:before="0" w:after="0"/>
        <w:ind w:left="0" w:firstLine="480"/>
      </w:pPr>
      <w:r>
        <w:rPr>
          <w:rFonts w:ascii="Times New Roman" w:hAnsi="Times New Roman" w:eastAsia="宋体"/>
          <w:b w:val="0"/>
          <w:sz w:val="24"/>
        </w:rPr>
        <w:t>为保证语料构建过程可重复、可审查且可在论文中清晰表述，本文将数据清洗与跨库去重划分为“源内可用性清洗”与“跨库文献标识合并”两个阶段。在源内清洗阶段，CNKI记录不再以DOI是否存在作为入库门槛，而是要求题名、发表时间、期刊和机构四类核心书目信息至少具备可用字段，以避免因中文数据库DOI缺失而无必要地剔除仍具识别价值的文献。</w:t>
      </w:r>
    </w:p>
    <w:p>
      <w:pPr>
        <w:spacing w:line="300" w:lineRule="auto" w:before="0" w:after="0"/>
        <w:ind w:left="0" w:firstLine="480"/>
      </w:pPr>
      <w:r>
        <w:rPr>
          <w:rFonts w:ascii="Times New Roman" w:hAnsi="Times New Roman" w:eastAsia="宋体"/>
          <w:b w:val="0"/>
          <w:sz w:val="24"/>
        </w:rPr>
        <w:t>在跨库去重阶段，本文采用“双主键”合并策略。第一主键为严格标准DOI键，统一从doi和registered_doi字段中提取；第二主键为由规范化题名、年份、第一作者和期刊共同构成的元数据回退键。具体规则为：当两条记录共享同一可用标准DOI时判定为同一文献；当记录缺乏可用标准DOI时，仅在元数据键唯一对应既有分组且不存在DOI冲突的前提下才允许执行元数据合并；若同一元数据键对应多个候选分组，则视为歧义匹配并保留到审查表，而不自动吞并。</w:t>
      </w:r>
    </w:p>
    <w:p>
      <w:pPr>
        <w:spacing w:line="300" w:lineRule="auto" w:before="0" w:after="0"/>
        <w:ind w:left="0" w:firstLine="480"/>
      </w:pPr>
      <w:r>
        <w:rPr>
          <w:rFonts w:ascii="Times New Roman" w:hAnsi="Times New Roman" w:eastAsia="宋体"/>
          <w:b w:val="0"/>
          <w:sz w:val="24"/>
        </w:rPr>
        <w:t>完成分组合并后，本文采用来源感知的字段择优融合策略生成正式主表。中文题名、中文摘要和中文关键词优先保留CNKI或CSCD信息，英文题名、英文摘要、英文关键词和被引频次优先保留WOS信息，同时显式保留来源库组合、去重依据、标准DOI键和元数据去重键等字段，以支持后续结果追踪。该规则兼顾了语料覆盖度和跨库误并风险控制。</w:t>
      </w:r>
    </w:p>
    <w:p>
      <w:pPr>
        <w:pStyle w:val="Heading2"/>
        <w:spacing w:before="240" w:after="120"/>
        <w:jc w:val="left"/>
      </w:pPr>
      <w:r>
        <w:rPr>
          <w:rFonts w:ascii="Times New Roman" w:hAnsi="Times New Roman" w:eastAsia="黑体"/>
          <w:b/>
          <w:sz w:val="28"/>
        </w:rPr>
        <w:t>2.3 机构标准化与研究样本构建</w:t>
      </w:r>
    </w:p>
    <w:p>
      <w:pPr>
        <w:spacing w:line="300" w:lineRule="auto" w:before="0" w:after="0"/>
        <w:ind w:left="0" w:firstLine="480"/>
      </w:pPr>
      <w:r>
        <w:rPr>
          <w:rFonts w:ascii="Times New Roman" w:hAnsi="Times New Roman" w:eastAsia="宋体"/>
          <w:b w:val="0"/>
          <w:sz w:val="24"/>
        </w:rPr>
        <w:t>机构标准化遵循“译名可读、标准名统一、颗粒度一致”的原则。对实验室、学院、研究中心、分院等子单元，若能够稳定回溯到母机构，则统一归并到母机构层级；对具有独立学术身份且无法合理归并的机构，则保留独立标准名。对政府机构进一步采用母机构上收规则，将可稳定识别的调查中心、海洋调查机构和技术机构子单元统一归并至对应部委或母机构层级。经清洗后，机构画像表共保留7895个有效标准化机构，其中企业研发中心5313个，高校/科研院所2433个，政府机构28个，另有121个机构暂列“其他”，不纳入正式类型比较。</w:t>
      </w:r>
    </w:p>
    <w:p>
      <w:pPr>
        <w:spacing w:line="300" w:lineRule="auto" w:before="0" w:after="0"/>
        <w:ind w:left="0" w:firstLine="480"/>
      </w:pPr>
      <w:r>
        <w:rPr>
          <w:rFonts w:ascii="Times New Roman" w:hAnsi="Times New Roman" w:eastAsia="宋体"/>
          <w:b w:val="0"/>
          <w:sz w:val="24"/>
        </w:rPr>
        <w:t>在核心评价样本方面，本文依据TOPSIS综合得分构建前100机构集合，其中99家成功联接至机构画像链条，作为机构层级比较样本；按层级划分包括头部引领型20家、中坚创新型30家和特色细分型49家。需要说明的是，机构类型比较覆盖全体7895个有效标准化机构，而非仅限Top100机构。</w:t>
      </w:r>
    </w:p>
    <w:p>
      <w:pPr>
        <w:spacing w:line="300" w:lineRule="auto" w:before="0" w:after="0"/>
        <w:ind w:left="0" w:firstLine="480"/>
      </w:pPr>
      <w:r>
        <w:rPr>
          <w:rFonts w:ascii="Times New Roman" w:hAnsi="Times New Roman" w:eastAsia="宋体"/>
          <w:b w:val="0"/>
          <w:sz w:val="24"/>
        </w:rPr>
        <w:t>表2-1 机构类型分布情况</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黑体"/>
                <w:b/>
                <w:sz w:val="21"/>
              </w:rPr>
              <w:t>机构类型</w:t>
            </w:r>
          </w:p>
        </w:tc>
        <w:tc>
          <w:tcPr>
            <w:tcW w:type="dxa" w:w="3024"/>
          </w:tcPr>
          <w:p>
            <w:pPr>
              <w:jc w:val="center"/>
            </w:pPr>
            <w:r>
              <w:rPr>
                <w:rFonts w:ascii="Times New Roman" w:hAnsi="Times New Roman" w:eastAsia="黑体"/>
                <w:b/>
                <w:sz w:val="21"/>
              </w:rPr>
              <w:t>机构数量</w:t>
            </w:r>
          </w:p>
        </w:tc>
        <w:tc>
          <w:tcPr>
            <w:tcW w:type="dxa" w:w="3024"/>
          </w:tcPr>
          <w:p>
            <w:pPr>
              <w:jc w:val="center"/>
            </w:pPr>
            <w:r>
              <w:rPr>
                <w:rFonts w:ascii="Times New Roman" w:hAnsi="Times New Roman" w:eastAsia="黑体"/>
                <w:b/>
                <w:sz w:val="21"/>
              </w:rPr>
              <w:t>说明</w:t>
            </w:r>
          </w:p>
        </w:tc>
      </w:tr>
      <w:tr>
        <w:tc>
          <w:tcPr>
            <w:tcW w:type="dxa" w:w="3024"/>
          </w:tcPr>
          <w:p>
            <w:pPr>
              <w:jc w:val="center"/>
            </w:pPr>
            <w:r>
              <w:rPr>
                <w:rFonts w:ascii="Times New Roman" w:hAnsi="Times New Roman" w:eastAsia="宋体"/>
                <w:b w:val="0"/>
                <w:sz w:val="21"/>
              </w:rPr>
              <w:t>企业研发中心</w:t>
            </w:r>
          </w:p>
        </w:tc>
        <w:tc>
          <w:tcPr>
            <w:tcW w:type="dxa" w:w="3024"/>
          </w:tcPr>
          <w:p>
            <w:pPr>
              <w:jc w:val="center"/>
            </w:pPr>
            <w:r>
              <w:rPr>
                <w:rFonts w:ascii="Times New Roman" w:hAnsi="Times New Roman" w:eastAsia="宋体"/>
                <w:b w:val="0"/>
                <w:sz w:val="21"/>
              </w:rPr>
              <w:t>5313</w:t>
            </w:r>
          </w:p>
        </w:tc>
        <w:tc>
          <w:tcPr>
            <w:tcW w:type="dxa" w:w="3024"/>
          </w:tcPr>
          <w:p>
            <w:pPr>
              <w:jc w:val="center"/>
            </w:pPr>
            <w:r>
              <w:rPr>
                <w:rFonts w:ascii="Times New Roman" w:hAnsi="Times New Roman" w:eastAsia="宋体"/>
                <w:b w:val="0"/>
                <w:sz w:val="21"/>
              </w:rPr>
              <w:t>标准化后数量最多，反映产业主体广泛参与</w:t>
            </w:r>
          </w:p>
        </w:tc>
      </w:tr>
      <w:tr>
        <w:tc>
          <w:tcPr>
            <w:tcW w:type="dxa" w:w="3024"/>
          </w:tcPr>
          <w:p>
            <w:pPr>
              <w:jc w:val="center"/>
            </w:pPr>
            <w:r>
              <w:rPr>
                <w:rFonts w:ascii="Times New Roman" w:hAnsi="Times New Roman" w:eastAsia="宋体"/>
                <w:b w:val="0"/>
                <w:sz w:val="21"/>
              </w:rPr>
              <w:t>高校/科研院所</w:t>
            </w:r>
          </w:p>
        </w:tc>
        <w:tc>
          <w:tcPr>
            <w:tcW w:type="dxa" w:w="3024"/>
          </w:tcPr>
          <w:p>
            <w:pPr>
              <w:jc w:val="center"/>
            </w:pPr>
            <w:r>
              <w:rPr>
                <w:rFonts w:ascii="Times New Roman" w:hAnsi="Times New Roman" w:eastAsia="宋体"/>
                <w:b w:val="0"/>
                <w:sz w:val="21"/>
              </w:rPr>
              <w:t>2433</w:t>
            </w:r>
          </w:p>
        </w:tc>
        <w:tc>
          <w:tcPr>
            <w:tcW w:type="dxa" w:w="3024"/>
          </w:tcPr>
          <w:p>
            <w:pPr>
              <w:jc w:val="center"/>
            </w:pPr>
            <w:r>
              <w:rPr>
                <w:rFonts w:ascii="Times New Roman" w:hAnsi="Times New Roman" w:eastAsia="宋体"/>
                <w:b w:val="0"/>
                <w:sz w:val="21"/>
              </w:rPr>
              <w:t>在高影响与头部排名中占据主导</w:t>
            </w:r>
          </w:p>
        </w:tc>
      </w:tr>
      <w:tr>
        <w:tc>
          <w:tcPr>
            <w:tcW w:type="dxa" w:w="3024"/>
          </w:tcPr>
          <w:p>
            <w:pPr>
              <w:jc w:val="center"/>
            </w:pPr>
            <w:r>
              <w:rPr>
                <w:rFonts w:ascii="Times New Roman" w:hAnsi="Times New Roman" w:eastAsia="宋体"/>
                <w:b w:val="0"/>
                <w:sz w:val="21"/>
              </w:rPr>
              <w:t>政府机构</w:t>
            </w:r>
          </w:p>
        </w:tc>
        <w:tc>
          <w:tcPr>
            <w:tcW w:type="dxa" w:w="3024"/>
          </w:tcPr>
          <w:p>
            <w:pPr>
              <w:jc w:val="center"/>
            </w:pPr>
            <w:r>
              <w:rPr>
                <w:rFonts w:ascii="Times New Roman" w:hAnsi="Times New Roman" w:eastAsia="宋体"/>
                <w:b w:val="0"/>
                <w:sz w:val="21"/>
              </w:rPr>
              <w:t>28</w:t>
            </w:r>
          </w:p>
        </w:tc>
        <w:tc>
          <w:tcPr>
            <w:tcW w:type="dxa" w:w="3024"/>
          </w:tcPr>
          <w:p>
            <w:pPr>
              <w:jc w:val="center"/>
            </w:pPr>
            <w:r>
              <w:rPr>
                <w:rFonts w:ascii="Times New Roman" w:hAnsi="Times New Roman" w:eastAsia="宋体"/>
                <w:b w:val="0"/>
                <w:sz w:val="21"/>
              </w:rPr>
              <w:t>主要包括部委、调查机构与国家技术机构</w:t>
            </w:r>
          </w:p>
        </w:tc>
      </w:tr>
      <w:tr>
        <w:tc>
          <w:tcPr>
            <w:tcW w:type="dxa" w:w="3024"/>
          </w:tcPr>
          <w:p>
            <w:pPr>
              <w:jc w:val="center"/>
            </w:pPr>
            <w:r>
              <w:rPr>
                <w:rFonts w:ascii="Times New Roman" w:hAnsi="Times New Roman" w:eastAsia="宋体"/>
                <w:b w:val="0"/>
                <w:sz w:val="21"/>
              </w:rPr>
              <w:t>其他</w:t>
            </w:r>
          </w:p>
        </w:tc>
        <w:tc>
          <w:tcPr>
            <w:tcW w:type="dxa" w:w="3024"/>
          </w:tcPr>
          <w:p>
            <w:pPr>
              <w:jc w:val="center"/>
            </w:pPr>
            <w:r>
              <w:rPr>
                <w:rFonts w:ascii="Times New Roman" w:hAnsi="Times New Roman" w:eastAsia="宋体"/>
                <w:b w:val="0"/>
                <w:sz w:val="21"/>
              </w:rPr>
              <w:t>121</w:t>
            </w:r>
          </w:p>
        </w:tc>
        <w:tc>
          <w:tcPr>
            <w:tcW w:type="dxa" w:w="3024"/>
          </w:tcPr>
          <w:p>
            <w:pPr>
              <w:jc w:val="center"/>
            </w:pPr>
            <w:r>
              <w:rPr>
                <w:rFonts w:ascii="Times New Roman" w:hAnsi="Times New Roman" w:eastAsia="宋体"/>
                <w:b w:val="0"/>
                <w:sz w:val="21"/>
              </w:rPr>
              <w:t>未纳入正式类型比较</w:t>
            </w:r>
          </w:p>
        </w:tc>
      </w:tr>
    </w:tbl>
    <w:p/>
    <w:p>
      <w:pPr>
        <w:pStyle w:val="Heading2"/>
        <w:spacing w:before="240" w:after="120"/>
        <w:jc w:val="left"/>
      </w:pPr>
      <w:r>
        <w:rPr>
          <w:rFonts w:ascii="Times New Roman" w:hAnsi="Times New Roman" w:eastAsia="黑体"/>
          <w:b/>
          <w:sz w:val="28"/>
        </w:rPr>
        <w:t>2.4 指标体系与组合赋权方法</w:t>
      </w:r>
    </w:p>
    <w:p>
      <w:pPr>
        <w:spacing w:line="300" w:lineRule="auto" w:before="0" w:after="0"/>
        <w:ind w:left="0" w:firstLine="480"/>
      </w:pPr>
      <w:r>
        <w:rPr>
          <w:rFonts w:ascii="Times New Roman" w:hAnsi="Times New Roman" w:eastAsia="宋体"/>
          <w:b w:val="0"/>
          <w:sz w:val="24"/>
        </w:rPr>
        <w:t>结合开题报告中“科研产出—学术影响—合作与国际化”三维框架与当前数据可得性，本文最终保留7项正向指标进入综合评价模型，即去重论文总数、近五年发文占比、H指数、高被引论文占比、合作论文占比、国际合作论文占比和合作国家/地区数。由于当前重建过程未恢复出可追溯的专家评分数据，本文不再将德尔菲法作为实际赋权手段，而是采用“维度均衡先验权重+熵权法+CRITIC法”的组合赋权方案。这里的指标选取和组合思路，本质上仍属于科学计量指标用于研究绩效与创新产出识别的扩展应用</w:t>
      </w:r>
      <w:r>
        <w:rPr>
          <w:rFonts w:ascii="Times New Roman" w:hAnsi="Times New Roman" w:eastAsia="Times New Roman"/>
          <w:b w:val="0"/>
          <w:sz w:val="21"/>
          <w:vertAlign w:val="superscript"/>
        </w:rPr>
        <w:t>[18]</w:t>
      </w:r>
      <w:r>
        <w:rPr>
          <w:rFonts w:ascii="Times New Roman" w:hAnsi="Times New Roman" w:eastAsia="宋体"/>
          <w:b w:val="0"/>
          <w:sz w:val="24"/>
        </w:rPr>
        <w:t>。</w:t>
      </w:r>
    </w:p>
    <w:p>
      <w:pPr>
        <w:spacing w:line="300" w:lineRule="auto" w:before="0" w:after="0"/>
        <w:ind w:left="0" w:firstLine="480"/>
      </w:pPr>
      <w:r>
        <w:rPr>
          <w:rFonts w:ascii="Times New Roman" w:hAnsi="Times New Roman" w:eastAsia="宋体"/>
          <w:b w:val="0"/>
          <w:sz w:val="24"/>
        </w:rPr>
        <w:t>在权重生成环节，本文先对7项指标进行极差标准化处理，将不同量纲指标压缩到统一量纲区间；若某一指标在全样本中无差异，则该列统一记为1。此处的极差标准化主要服务于两项任务：一是为熵权法和CRITIC法提供可比较的输入矩阵，二是为后续三大一级维度子得分的解释性计算提供统一基准。随后按一级维度等权生成先验权重，即科研产出、学术影响、合作与国际化三个一级维度先各占1/3；在维度内部再平均分配到所属指标，因此科研产出与学术影响两个维度下各指标先验权重均为1/6，合作与国际化维度下各指标先验权重均为1/9。</w:t>
      </w:r>
    </w:p>
    <w:p>
      <w:pPr>
        <w:spacing w:line="300" w:lineRule="auto" w:before="0" w:after="0"/>
        <w:ind w:left="0" w:firstLine="480"/>
      </w:pPr>
      <w:r>
        <w:rPr>
          <w:rFonts w:ascii="Times New Roman" w:hAnsi="Times New Roman" w:eastAsia="宋体"/>
          <w:b w:val="0"/>
          <w:sz w:val="24"/>
        </w:rPr>
        <w:t>在客观赋权环节，熵权法用于识别指标离散度，离散度越大、信息量越高，则该指标的客观权重越高；CRITIC法则同时考虑指标标准差与指标间相关冲突，能够在“波动大”和“与其他指标重复度低”两个方向上识别更具区分力的指标。最后将先验权重、熵权权重和CRITIC权重按等权方式求平均，并再次归一化得到最终组合权重。换言之，本文既没有完全依赖主观判断，也没有完全交由样本分布决定，而是通过三类权重的折中组合，在理论结构约束与数据客观差异之间取得平衡。其中，熵权法的理论基础可追溯到Shannon的信息熵思想，CRITIC法则直接来源于Diakoulaki等提出的客观赋权框架</w:t>
      </w:r>
      <w:r>
        <w:rPr>
          <w:rFonts w:ascii="Times New Roman" w:hAnsi="Times New Roman" w:eastAsia="Times New Roman"/>
          <w:b w:val="0"/>
          <w:sz w:val="21"/>
          <w:vertAlign w:val="superscript"/>
        </w:rPr>
        <w:t>[10-11]</w:t>
      </w:r>
      <w:r>
        <w:rPr>
          <w:rFonts w:ascii="Times New Roman" w:hAnsi="Times New Roman" w:eastAsia="宋体"/>
          <w:b w:val="0"/>
          <w:sz w:val="24"/>
        </w:rPr>
        <w:t>。</w:t>
      </w:r>
    </w:p>
    <w:p>
      <w:pPr>
        <w:spacing w:line="300" w:lineRule="auto" w:before="0" w:after="0"/>
        <w:ind w:left="0" w:firstLine="480"/>
      </w:pPr>
      <w:r>
        <w:rPr>
          <w:rFonts w:ascii="Times New Roman" w:hAnsi="Times New Roman" w:eastAsia="宋体"/>
          <w:b w:val="0"/>
          <w:sz w:val="24"/>
        </w:rPr>
        <w:t>表2-2 机构评价指标组合权重</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黑体"/>
                <w:b/>
                <w:sz w:val="21"/>
              </w:rPr>
              <w:t>指标名称</w:t>
            </w:r>
          </w:p>
        </w:tc>
        <w:tc>
          <w:tcPr>
            <w:tcW w:type="dxa" w:w="3024"/>
          </w:tcPr>
          <w:p>
            <w:pPr>
              <w:jc w:val="center"/>
            </w:pPr>
            <w:r>
              <w:rPr>
                <w:rFonts w:ascii="Times New Roman" w:hAnsi="Times New Roman" w:eastAsia="黑体"/>
                <w:b/>
                <w:sz w:val="21"/>
              </w:rPr>
              <w:t>所属维度</w:t>
            </w:r>
          </w:p>
        </w:tc>
        <w:tc>
          <w:tcPr>
            <w:tcW w:type="dxa" w:w="3024"/>
          </w:tcPr>
          <w:p>
            <w:pPr>
              <w:jc w:val="center"/>
            </w:pPr>
            <w:r>
              <w:rPr>
                <w:rFonts w:ascii="Times New Roman" w:hAnsi="Times New Roman" w:eastAsia="黑体"/>
                <w:b/>
                <w:sz w:val="21"/>
              </w:rPr>
              <w:t>组合权重</w:t>
            </w:r>
          </w:p>
        </w:tc>
      </w:tr>
      <w:tr>
        <w:tc>
          <w:tcPr>
            <w:tcW w:type="dxa" w:w="3024"/>
          </w:tcPr>
          <w:p>
            <w:pPr>
              <w:jc w:val="center"/>
            </w:pPr>
            <w:r>
              <w:rPr>
                <w:rFonts w:ascii="Times New Roman" w:hAnsi="Times New Roman" w:eastAsia="宋体"/>
                <w:b w:val="0"/>
                <w:sz w:val="21"/>
              </w:rPr>
              <w:t>去重论文总数</w:t>
            </w:r>
          </w:p>
        </w:tc>
        <w:tc>
          <w:tcPr>
            <w:tcW w:type="dxa" w:w="3024"/>
          </w:tcPr>
          <w:p>
            <w:pPr>
              <w:jc w:val="center"/>
            </w:pPr>
            <w:r>
              <w:rPr>
                <w:rFonts w:ascii="Times New Roman" w:hAnsi="Times New Roman" w:eastAsia="宋体"/>
                <w:b w:val="0"/>
                <w:sz w:val="21"/>
              </w:rPr>
              <w:t>科研产出</w:t>
            </w:r>
          </w:p>
        </w:tc>
        <w:tc>
          <w:tcPr>
            <w:tcW w:type="dxa" w:w="3024"/>
          </w:tcPr>
          <w:p>
            <w:pPr>
              <w:jc w:val="center"/>
            </w:pPr>
            <w:r>
              <w:rPr>
                <w:rFonts w:ascii="Times New Roman" w:hAnsi="Times New Roman" w:eastAsia="宋体"/>
                <w:b w:val="0"/>
                <w:sz w:val="21"/>
              </w:rPr>
              <w:t>0.279947</w:t>
            </w:r>
          </w:p>
        </w:tc>
      </w:tr>
      <w:tr>
        <w:tc>
          <w:tcPr>
            <w:tcW w:type="dxa" w:w="3024"/>
          </w:tcPr>
          <w:p>
            <w:pPr>
              <w:jc w:val="center"/>
            </w:pPr>
            <w:r>
              <w:rPr>
                <w:rFonts w:ascii="Times New Roman" w:hAnsi="Times New Roman" w:eastAsia="宋体"/>
                <w:b w:val="0"/>
                <w:sz w:val="21"/>
              </w:rPr>
              <w:t>近五年发文占比</w:t>
            </w:r>
          </w:p>
        </w:tc>
        <w:tc>
          <w:tcPr>
            <w:tcW w:type="dxa" w:w="3024"/>
          </w:tcPr>
          <w:p>
            <w:pPr>
              <w:jc w:val="center"/>
            </w:pPr>
            <w:r>
              <w:rPr>
                <w:rFonts w:ascii="Times New Roman" w:hAnsi="Times New Roman" w:eastAsia="宋体"/>
                <w:b w:val="0"/>
                <w:sz w:val="21"/>
              </w:rPr>
              <w:t>科研产出</w:t>
            </w:r>
          </w:p>
        </w:tc>
        <w:tc>
          <w:tcPr>
            <w:tcW w:type="dxa" w:w="3024"/>
          </w:tcPr>
          <w:p>
            <w:pPr>
              <w:jc w:val="center"/>
            </w:pPr>
            <w:r>
              <w:rPr>
                <w:rFonts w:ascii="Times New Roman" w:hAnsi="Times New Roman" w:eastAsia="宋体"/>
                <w:b w:val="0"/>
                <w:sz w:val="21"/>
              </w:rPr>
              <w:t>0.136064</w:t>
            </w:r>
          </w:p>
        </w:tc>
      </w:tr>
      <w:tr>
        <w:tc>
          <w:tcPr>
            <w:tcW w:type="dxa" w:w="3024"/>
          </w:tcPr>
          <w:p>
            <w:pPr>
              <w:jc w:val="center"/>
            </w:pPr>
            <w:r>
              <w:rPr>
                <w:rFonts w:ascii="Times New Roman" w:hAnsi="Times New Roman" w:eastAsia="宋体"/>
                <w:b w:val="0"/>
                <w:sz w:val="21"/>
              </w:rPr>
              <w:t>H指数</w:t>
            </w:r>
          </w:p>
        </w:tc>
        <w:tc>
          <w:tcPr>
            <w:tcW w:type="dxa" w:w="3024"/>
          </w:tcPr>
          <w:p>
            <w:pPr>
              <w:jc w:val="center"/>
            </w:pPr>
            <w:r>
              <w:rPr>
                <w:rFonts w:ascii="Times New Roman" w:hAnsi="Times New Roman" w:eastAsia="宋体"/>
                <w:b w:val="0"/>
                <w:sz w:val="21"/>
              </w:rPr>
              <w:t>学术影响</w:t>
            </w:r>
          </w:p>
        </w:tc>
        <w:tc>
          <w:tcPr>
            <w:tcW w:type="dxa" w:w="3024"/>
          </w:tcPr>
          <w:p>
            <w:pPr>
              <w:jc w:val="center"/>
            </w:pPr>
            <w:r>
              <w:rPr>
                <w:rFonts w:ascii="Times New Roman" w:hAnsi="Times New Roman" w:eastAsia="宋体"/>
                <w:b w:val="0"/>
                <w:sz w:val="21"/>
              </w:rPr>
              <w:t>0.113570</w:t>
            </w:r>
          </w:p>
        </w:tc>
      </w:tr>
      <w:tr>
        <w:tc>
          <w:tcPr>
            <w:tcW w:type="dxa" w:w="3024"/>
          </w:tcPr>
          <w:p>
            <w:pPr>
              <w:jc w:val="center"/>
            </w:pPr>
            <w:r>
              <w:rPr>
                <w:rFonts w:ascii="Times New Roman" w:hAnsi="Times New Roman" w:eastAsia="宋体"/>
                <w:b w:val="0"/>
                <w:sz w:val="21"/>
              </w:rPr>
              <w:t>高被引论文占比</w:t>
            </w:r>
          </w:p>
        </w:tc>
        <w:tc>
          <w:tcPr>
            <w:tcW w:type="dxa" w:w="3024"/>
          </w:tcPr>
          <w:p>
            <w:pPr>
              <w:jc w:val="center"/>
            </w:pPr>
            <w:r>
              <w:rPr>
                <w:rFonts w:ascii="Times New Roman" w:hAnsi="Times New Roman" w:eastAsia="宋体"/>
                <w:b w:val="0"/>
                <w:sz w:val="21"/>
              </w:rPr>
              <w:t>学术影响</w:t>
            </w:r>
          </w:p>
        </w:tc>
        <w:tc>
          <w:tcPr>
            <w:tcW w:type="dxa" w:w="3024"/>
          </w:tcPr>
          <w:p>
            <w:pPr>
              <w:jc w:val="center"/>
            </w:pPr>
            <w:r>
              <w:rPr>
                <w:rFonts w:ascii="Times New Roman" w:hAnsi="Times New Roman" w:eastAsia="宋体"/>
                <w:b w:val="0"/>
                <w:sz w:val="21"/>
              </w:rPr>
              <w:t>0.124035</w:t>
            </w:r>
          </w:p>
        </w:tc>
      </w:tr>
      <w:tr>
        <w:tc>
          <w:tcPr>
            <w:tcW w:type="dxa" w:w="3024"/>
          </w:tcPr>
          <w:p>
            <w:pPr>
              <w:jc w:val="center"/>
            </w:pPr>
            <w:r>
              <w:rPr>
                <w:rFonts w:ascii="Times New Roman" w:hAnsi="Times New Roman" w:eastAsia="宋体"/>
                <w:b w:val="0"/>
                <w:sz w:val="21"/>
              </w:rPr>
              <w:t>合作论文占比</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0.113100</w:t>
            </w:r>
          </w:p>
        </w:tc>
      </w:tr>
      <w:tr>
        <w:tc>
          <w:tcPr>
            <w:tcW w:type="dxa" w:w="3024"/>
          </w:tcPr>
          <w:p>
            <w:pPr>
              <w:jc w:val="center"/>
            </w:pPr>
            <w:r>
              <w:rPr>
                <w:rFonts w:ascii="Times New Roman" w:hAnsi="Times New Roman" w:eastAsia="宋体"/>
                <w:b w:val="0"/>
                <w:sz w:val="21"/>
              </w:rPr>
              <w:t>国际合作论文占比</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0.145686</w:t>
            </w:r>
          </w:p>
        </w:tc>
      </w:tr>
      <w:tr>
        <w:tc>
          <w:tcPr>
            <w:tcW w:type="dxa" w:w="3024"/>
          </w:tcPr>
          <w:p>
            <w:pPr>
              <w:jc w:val="center"/>
            </w:pPr>
            <w:r>
              <w:rPr>
                <w:rFonts w:ascii="Times New Roman" w:hAnsi="Times New Roman" w:eastAsia="宋体"/>
                <w:b w:val="0"/>
                <w:sz w:val="21"/>
              </w:rPr>
              <w:t>合作国家/地区数</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0.087598</w:t>
            </w:r>
          </w:p>
        </w:tc>
      </w:tr>
    </w:tbl>
    <w:p/>
    <w:p>
      <w:pPr>
        <w:spacing w:line="300" w:lineRule="auto" w:before="0" w:after="0"/>
        <w:ind w:left="0" w:firstLine="480"/>
      </w:pPr>
      <w:r>
        <w:rPr>
          <w:rFonts w:ascii="Times New Roman" w:hAnsi="Times New Roman" w:eastAsia="宋体"/>
          <w:b w:val="0"/>
          <w:sz w:val="24"/>
        </w:rPr>
        <w:t>从组合权重看，去重论文总数权重最高，为0.279947，说明样本规模仍是机构综合影响力的基础；国际合作论文占比与近五年发文占比分别承担国际化活跃度和近期活跃度识别功能；H指数、高被引论文占比则主要反映成果影响质量。值得说明的是，本文在“赋权”和“排序”两个环节采用了不同归一化逻辑：前者使用极差标准化，后者在TOPSIS阶段使用向量归一化。这样处理的原因在于，极差标准化更便于比较指标离散度和计算维度子得分，而TOPSIS的向量归一化更适合构造正理想解、负理想解及其欧氏距离。</w:t>
      </w:r>
    </w:p>
    <w:p>
      <w:pPr>
        <w:pStyle w:val="Heading2"/>
        <w:spacing w:before="240" w:after="120"/>
        <w:jc w:val="left"/>
      </w:pPr>
      <w:r>
        <w:rPr>
          <w:rFonts w:ascii="Times New Roman" w:hAnsi="Times New Roman" w:eastAsia="黑体"/>
          <w:b/>
          <w:sz w:val="28"/>
        </w:rPr>
        <w:t>2.5 TOPSIS评价与机构分层</w:t>
      </w:r>
    </w:p>
    <w:p>
      <w:pPr>
        <w:spacing w:line="300" w:lineRule="auto" w:before="0" w:after="0"/>
        <w:ind w:left="0" w:firstLine="480"/>
      </w:pPr>
      <w:r>
        <w:rPr>
          <w:rFonts w:ascii="Times New Roman" w:hAnsi="Times New Roman" w:eastAsia="宋体"/>
          <w:b w:val="0"/>
          <w:sz w:val="24"/>
        </w:rPr>
        <w:t>在TOPSIS评价阶段，本文并不直接使用极差标准化矩阵排序，而是先对原始正向指标矩阵进行向量归一化处理，再与组合权重相乘构建加权规范化决策矩阵。由于7项指标均为正向指标，正理想解取各指标加权值的最大值，负理想解取最小值；随后计算各机构到正、负理想解的欧氏距离，并据此获得TOPSIS综合贴近度得分。得分越高，表示机构越接近理想最优状态。与此同时，本文还基于极差标准化矩阵和组合权重计算科研产出、学术影响、合作与国际化三个维度的分项得分，用于解释机构“强在何处”。这种“综合得分+维度子得分”的双层输出结构，有助于同时回答“哪些机构领先”与“领先优势来自哪里”两个问题。TOPSIS的排序思想直接来源于Hwang和Yoon提出的多属性决策框架</w:t>
      </w:r>
      <w:r>
        <w:rPr>
          <w:rFonts w:ascii="Times New Roman" w:hAnsi="Times New Roman" w:eastAsia="Times New Roman"/>
          <w:b w:val="0"/>
          <w:sz w:val="21"/>
          <w:vertAlign w:val="superscript"/>
        </w:rPr>
        <w:t>[9]</w:t>
      </w:r>
      <w:r>
        <w:rPr>
          <w:rFonts w:ascii="Times New Roman" w:hAnsi="Times New Roman" w:eastAsia="宋体"/>
          <w:b w:val="0"/>
          <w:sz w:val="24"/>
        </w:rPr>
        <w:t>。基于综合得分分布，进一步将接入机构画像链条的核心机构划分为头部引领型、中坚创新型和特色细分型三个层级，用于后续机构画像和主题偏好比较。</w:t>
      </w:r>
    </w:p>
    <w:p>
      <w:pPr>
        <w:pStyle w:val="Heading2"/>
        <w:spacing w:before="240" w:after="120"/>
        <w:jc w:val="left"/>
      </w:pPr>
      <w:r>
        <w:rPr>
          <w:rFonts w:ascii="Times New Roman" w:hAnsi="Times New Roman" w:eastAsia="黑体"/>
          <w:b/>
          <w:sz w:val="28"/>
        </w:rPr>
        <w:t>2.6 主题演化分析流程</w:t>
      </w:r>
    </w:p>
    <w:p>
      <w:pPr>
        <w:spacing w:line="300" w:lineRule="auto" w:before="0" w:after="0"/>
        <w:ind w:left="0" w:firstLine="480"/>
      </w:pPr>
      <w:r>
        <w:rPr>
          <w:rFonts w:ascii="Times New Roman" w:hAnsi="Times New Roman" w:eastAsia="宋体"/>
          <w:b w:val="0"/>
          <w:sz w:val="24"/>
        </w:rPr>
        <w:t>主题分析以正式语料中的摘要文本为主要对象，按2011-2015、2016-2020、2021-2025三个阶段分别建模。摘要选取遵循“英文摘要优先、中文摘要补充”的原则：若英文摘要存在且长度不少于30个字符，则优先使用英文摘要；否则回退到中文摘要；若中文摘要缺失但英文摘要可用，则仍使用英文摘要。按这一规则处理后，三个阶段的有摘要文献数分别为115396、82999和109752篇，其中后两个阶段几乎完全由英文摘要支撑，说明在近十年全球高质量石油研究文献中，英文摘要已成为主题分析的主要载体。</w:t>
      </w:r>
    </w:p>
    <w:p>
      <w:pPr>
        <w:spacing w:line="300" w:lineRule="auto" w:before="0" w:after="0"/>
        <w:ind w:left="0" w:firstLine="480"/>
      </w:pPr>
      <w:r>
        <w:rPr>
          <w:rFonts w:ascii="Times New Roman" w:hAnsi="Times New Roman" w:eastAsia="宋体"/>
          <w:b w:val="0"/>
          <w:sz w:val="24"/>
        </w:rPr>
        <w:t>在领域过滤环节，本文并非仅依据摘要判断文献是否属于石油领域，而是将题名、英文题名、中英文关键词与所选摘要合并为综合文本，只要命中石油领域锚词即计入“通过领域过滤文献数”。这一处理有两个考虑：一是避免因摘要篇幅短或摘要书写偏泛而误排除本属石油领域的文献；二是让题名与关键词中更稳定的术语信息参与主题相关性判断。在建模入样环节，本文继续对所选摘要执行分词、短语合并、术语映射和停用词过滤，并要求清洗后保留的有效词数不少于5；未达到阈值的文献不进入LDA训练。因此，“通过领域过滤文献数”反映主题相关性，“进入建模文献数”反映在相关性基础上同时满足文本有效性的最终样本规模。</w:t>
      </w:r>
    </w:p>
    <w:p>
      <w:pPr>
        <w:spacing w:line="300" w:lineRule="auto" w:before="0" w:after="0"/>
        <w:ind w:left="0" w:firstLine="480"/>
      </w:pPr>
      <w:r>
        <w:rPr>
          <w:rFonts w:ascii="Times New Roman" w:hAnsi="Times New Roman" w:eastAsia="宋体"/>
          <w:b w:val="0"/>
          <w:sz w:val="24"/>
        </w:rPr>
        <w:t>词袋构建中设置最小文档频次20、最大文档频率比例0.45、最大特征数5000。相应地，三个阶段最终进入建模的文献数分别为43672、28872和31224篇，平均有效词数则由77.1528上升到111.6514，说明后期样本在摘要长度和术语密度上更适合开展主题识别。主题数根据困惑度与一致性得分联合判定，最终三阶段分别选择12、10和11个主题。随后，本文依据相邻阶段主题词分布余弦相似度构建演化连接，仅保留相似度不低于0.20的路径，以识别主题的延续、分化与迁移关系。</w:t>
      </w:r>
    </w:p>
    <w:p>
      <w:pPr>
        <w:spacing w:line="300" w:lineRule="auto" w:before="0" w:after="0"/>
        <w:ind w:left="0" w:firstLine="480"/>
      </w:pPr>
      <w:r>
        <w:rPr>
          <w:rFonts w:ascii="Times New Roman" w:hAnsi="Times New Roman" w:eastAsia="宋体"/>
          <w:b w:val="0"/>
          <w:sz w:val="24"/>
        </w:rPr>
        <w:t>表2-3 三阶段主题建模与选模结果</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rFonts w:ascii="Times New Roman" w:hAnsi="Times New Roman" w:eastAsia="黑体"/>
                <w:b/>
                <w:sz w:val="21"/>
              </w:rPr>
              <w:t>阶段</w:t>
            </w:r>
          </w:p>
        </w:tc>
        <w:tc>
          <w:tcPr>
            <w:tcW w:type="dxa" w:w="1296"/>
          </w:tcPr>
          <w:p>
            <w:pPr>
              <w:jc w:val="center"/>
            </w:pPr>
            <w:r>
              <w:rPr>
                <w:rFonts w:ascii="Times New Roman" w:hAnsi="Times New Roman" w:eastAsia="黑体"/>
                <w:b/>
                <w:sz w:val="21"/>
              </w:rPr>
              <w:t>阶段文献数</w:t>
            </w:r>
          </w:p>
        </w:tc>
        <w:tc>
          <w:tcPr>
            <w:tcW w:type="dxa" w:w="1296"/>
          </w:tcPr>
          <w:p>
            <w:pPr>
              <w:jc w:val="center"/>
            </w:pPr>
            <w:r>
              <w:rPr>
                <w:rFonts w:ascii="Times New Roman" w:hAnsi="Times New Roman" w:eastAsia="黑体"/>
                <w:b/>
                <w:sz w:val="21"/>
              </w:rPr>
              <w:t>通过领域过滤文献数</w:t>
            </w:r>
          </w:p>
        </w:tc>
        <w:tc>
          <w:tcPr>
            <w:tcW w:type="dxa" w:w="1296"/>
          </w:tcPr>
          <w:p>
            <w:pPr>
              <w:jc w:val="center"/>
            </w:pPr>
            <w:r>
              <w:rPr>
                <w:rFonts w:ascii="Times New Roman" w:hAnsi="Times New Roman" w:eastAsia="黑体"/>
                <w:b/>
                <w:sz w:val="21"/>
              </w:rPr>
              <w:t>进入建模文献数</w:t>
            </w:r>
          </w:p>
        </w:tc>
        <w:tc>
          <w:tcPr>
            <w:tcW w:type="dxa" w:w="1296"/>
          </w:tcPr>
          <w:p>
            <w:pPr>
              <w:jc w:val="center"/>
            </w:pPr>
            <w:r>
              <w:rPr>
                <w:rFonts w:ascii="Times New Roman" w:hAnsi="Times New Roman" w:eastAsia="黑体"/>
                <w:b/>
                <w:sz w:val="21"/>
              </w:rPr>
              <w:t>选定主题数</w:t>
            </w:r>
          </w:p>
        </w:tc>
        <w:tc>
          <w:tcPr>
            <w:tcW w:type="dxa" w:w="1296"/>
          </w:tcPr>
          <w:p>
            <w:pPr>
              <w:jc w:val="center"/>
            </w:pPr>
            <w:r>
              <w:rPr>
                <w:rFonts w:ascii="Times New Roman" w:hAnsi="Times New Roman" w:eastAsia="黑体"/>
                <w:b/>
                <w:sz w:val="21"/>
              </w:rPr>
              <w:t>困惑度</w:t>
            </w:r>
          </w:p>
        </w:tc>
        <w:tc>
          <w:tcPr>
            <w:tcW w:type="dxa" w:w="1296"/>
          </w:tcPr>
          <w:p>
            <w:pPr>
              <w:jc w:val="center"/>
            </w:pPr>
            <w:r>
              <w:rPr>
                <w:rFonts w:ascii="Times New Roman" w:hAnsi="Times New Roman" w:eastAsia="黑体"/>
                <w:b/>
                <w:sz w:val="21"/>
              </w:rPr>
              <w:t>一致性得分</w:t>
            </w:r>
          </w:p>
        </w:tc>
      </w:tr>
      <w:tr>
        <w:tc>
          <w:tcPr>
            <w:tcW w:type="dxa" w:w="1296"/>
          </w:tcPr>
          <w:p>
            <w:pPr>
              <w:jc w:val="center"/>
            </w:pPr>
            <w:r>
              <w:rPr>
                <w:rFonts w:ascii="Times New Roman" w:hAnsi="Times New Roman" w:eastAsia="宋体"/>
                <w:b w:val="0"/>
                <w:sz w:val="21"/>
              </w:rPr>
              <w:t>2011-2015</w:t>
            </w:r>
          </w:p>
        </w:tc>
        <w:tc>
          <w:tcPr>
            <w:tcW w:type="dxa" w:w="1296"/>
          </w:tcPr>
          <w:p>
            <w:pPr>
              <w:jc w:val="center"/>
            </w:pPr>
            <w:r>
              <w:rPr>
                <w:rFonts w:ascii="Times New Roman" w:hAnsi="Times New Roman" w:eastAsia="宋体"/>
                <w:b w:val="0"/>
                <w:sz w:val="21"/>
              </w:rPr>
              <w:t>116302</w:t>
            </w:r>
          </w:p>
        </w:tc>
        <w:tc>
          <w:tcPr>
            <w:tcW w:type="dxa" w:w="1296"/>
          </w:tcPr>
          <w:p>
            <w:pPr>
              <w:jc w:val="center"/>
            </w:pPr>
            <w:r>
              <w:rPr>
                <w:rFonts w:ascii="Times New Roman" w:hAnsi="Times New Roman" w:eastAsia="宋体"/>
                <w:b w:val="0"/>
                <w:sz w:val="21"/>
              </w:rPr>
              <w:t>43682</w:t>
            </w:r>
          </w:p>
        </w:tc>
        <w:tc>
          <w:tcPr>
            <w:tcW w:type="dxa" w:w="1296"/>
          </w:tcPr>
          <w:p>
            <w:pPr>
              <w:jc w:val="center"/>
            </w:pPr>
            <w:r>
              <w:rPr>
                <w:rFonts w:ascii="Times New Roman" w:hAnsi="Times New Roman" w:eastAsia="宋体"/>
                <w:b w:val="0"/>
                <w:sz w:val="21"/>
              </w:rPr>
              <w:t>43672</w:t>
            </w:r>
          </w:p>
        </w:tc>
        <w:tc>
          <w:tcPr>
            <w:tcW w:type="dxa" w:w="1296"/>
          </w:tcPr>
          <w:p>
            <w:pPr>
              <w:jc w:val="center"/>
            </w:pPr>
            <w:r>
              <w:rPr>
                <w:rFonts w:ascii="Times New Roman" w:hAnsi="Times New Roman" w:eastAsia="宋体"/>
                <w:b w:val="0"/>
                <w:sz w:val="21"/>
              </w:rPr>
              <w:t>12</w:t>
            </w:r>
          </w:p>
        </w:tc>
        <w:tc>
          <w:tcPr>
            <w:tcW w:type="dxa" w:w="1296"/>
          </w:tcPr>
          <w:p>
            <w:pPr>
              <w:jc w:val="center"/>
            </w:pPr>
            <w:r>
              <w:rPr>
                <w:rFonts w:ascii="Times New Roman" w:hAnsi="Times New Roman" w:eastAsia="宋体"/>
                <w:b w:val="0"/>
                <w:sz w:val="21"/>
              </w:rPr>
              <w:t>1158.148282</w:t>
            </w:r>
          </w:p>
        </w:tc>
        <w:tc>
          <w:tcPr>
            <w:tcW w:type="dxa" w:w="1296"/>
          </w:tcPr>
          <w:p>
            <w:pPr>
              <w:jc w:val="center"/>
            </w:pPr>
            <w:r>
              <w:rPr>
                <w:rFonts w:ascii="Times New Roman" w:hAnsi="Times New Roman" w:eastAsia="宋体"/>
                <w:b w:val="0"/>
                <w:sz w:val="21"/>
              </w:rPr>
              <w:t>0.168499</w:t>
            </w:r>
          </w:p>
        </w:tc>
      </w:tr>
      <w:tr>
        <w:tc>
          <w:tcPr>
            <w:tcW w:type="dxa" w:w="1296"/>
          </w:tcPr>
          <w:p>
            <w:pPr>
              <w:jc w:val="center"/>
            </w:pPr>
            <w:r>
              <w:rPr>
                <w:rFonts w:ascii="Times New Roman" w:hAnsi="Times New Roman" w:eastAsia="宋体"/>
                <w:b w:val="0"/>
                <w:sz w:val="21"/>
              </w:rPr>
              <w:t>2016-2020</w:t>
            </w:r>
          </w:p>
        </w:tc>
        <w:tc>
          <w:tcPr>
            <w:tcW w:type="dxa" w:w="1296"/>
          </w:tcPr>
          <w:p>
            <w:pPr>
              <w:jc w:val="center"/>
            </w:pPr>
            <w:r>
              <w:rPr>
                <w:rFonts w:ascii="Times New Roman" w:hAnsi="Times New Roman" w:eastAsia="宋体"/>
                <w:b w:val="0"/>
                <w:sz w:val="21"/>
              </w:rPr>
              <w:t>84223</w:t>
            </w:r>
          </w:p>
        </w:tc>
        <w:tc>
          <w:tcPr>
            <w:tcW w:type="dxa" w:w="1296"/>
          </w:tcPr>
          <w:p>
            <w:pPr>
              <w:jc w:val="center"/>
            </w:pPr>
            <w:r>
              <w:rPr>
                <w:rFonts w:ascii="Times New Roman" w:hAnsi="Times New Roman" w:eastAsia="宋体"/>
                <w:b w:val="0"/>
                <w:sz w:val="21"/>
              </w:rPr>
              <w:t>28874</w:t>
            </w:r>
          </w:p>
        </w:tc>
        <w:tc>
          <w:tcPr>
            <w:tcW w:type="dxa" w:w="1296"/>
          </w:tcPr>
          <w:p>
            <w:pPr>
              <w:jc w:val="center"/>
            </w:pPr>
            <w:r>
              <w:rPr>
                <w:rFonts w:ascii="Times New Roman" w:hAnsi="Times New Roman" w:eastAsia="宋体"/>
                <w:b w:val="0"/>
                <w:sz w:val="21"/>
              </w:rPr>
              <w:t>28872</w:t>
            </w:r>
          </w:p>
        </w:tc>
        <w:tc>
          <w:tcPr>
            <w:tcW w:type="dxa" w:w="1296"/>
          </w:tcPr>
          <w:p>
            <w:pPr>
              <w:jc w:val="center"/>
            </w:pPr>
            <w:r>
              <w:rPr>
                <w:rFonts w:ascii="Times New Roman" w:hAnsi="Times New Roman" w:eastAsia="宋体"/>
                <w:b w:val="0"/>
                <w:sz w:val="21"/>
              </w:rPr>
              <w:t>10</w:t>
            </w:r>
          </w:p>
        </w:tc>
        <w:tc>
          <w:tcPr>
            <w:tcW w:type="dxa" w:w="1296"/>
          </w:tcPr>
          <w:p>
            <w:pPr>
              <w:jc w:val="center"/>
            </w:pPr>
            <w:r>
              <w:rPr>
                <w:rFonts w:ascii="Times New Roman" w:hAnsi="Times New Roman" w:eastAsia="宋体"/>
                <w:b w:val="0"/>
                <w:sz w:val="21"/>
              </w:rPr>
              <w:t>1405.459584</w:t>
            </w:r>
          </w:p>
        </w:tc>
        <w:tc>
          <w:tcPr>
            <w:tcW w:type="dxa" w:w="1296"/>
          </w:tcPr>
          <w:p>
            <w:pPr>
              <w:jc w:val="center"/>
            </w:pPr>
            <w:r>
              <w:rPr>
                <w:rFonts w:ascii="Times New Roman" w:hAnsi="Times New Roman" w:eastAsia="宋体"/>
                <w:b w:val="0"/>
                <w:sz w:val="21"/>
              </w:rPr>
              <w:t>0.176611</w:t>
            </w:r>
          </w:p>
        </w:tc>
      </w:tr>
      <w:tr>
        <w:tc>
          <w:tcPr>
            <w:tcW w:type="dxa" w:w="1296"/>
          </w:tcPr>
          <w:p>
            <w:pPr>
              <w:jc w:val="center"/>
            </w:pPr>
            <w:r>
              <w:rPr>
                <w:rFonts w:ascii="Times New Roman" w:hAnsi="Times New Roman" w:eastAsia="宋体"/>
                <w:b w:val="0"/>
                <w:sz w:val="21"/>
              </w:rPr>
              <w:t>2021-2025</w:t>
            </w:r>
          </w:p>
        </w:tc>
        <w:tc>
          <w:tcPr>
            <w:tcW w:type="dxa" w:w="1296"/>
          </w:tcPr>
          <w:p>
            <w:pPr>
              <w:jc w:val="center"/>
            </w:pPr>
            <w:r>
              <w:rPr>
                <w:rFonts w:ascii="Times New Roman" w:hAnsi="Times New Roman" w:eastAsia="宋体"/>
                <w:b w:val="0"/>
                <w:sz w:val="21"/>
              </w:rPr>
              <w:t>110796</w:t>
            </w:r>
          </w:p>
        </w:tc>
        <w:tc>
          <w:tcPr>
            <w:tcW w:type="dxa" w:w="1296"/>
          </w:tcPr>
          <w:p>
            <w:pPr>
              <w:jc w:val="center"/>
            </w:pPr>
            <w:r>
              <w:rPr>
                <w:rFonts w:ascii="Times New Roman" w:hAnsi="Times New Roman" w:eastAsia="宋体"/>
                <w:b w:val="0"/>
                <w:sz w:val="21"/>
              </w:rPr>
              <w:t>31225</w:t>
            </w:r>
          </w:p>
        </w:tc>
        <w:tc>
          <w:tcPr>
            <w:tcW w:type="dxa" w:w="1296"/>
          </w:tcPr>
          <w:p>
            <w:pPr>
              <w:jc w:val="center"/>
            </w:pPr>
            <w:r>
              <w:rPr>
                <w:rFonts w:ascii="Times New Roman" w:hAnsi="Times New Roman" w:eastAsia="宋体"/>
                <w:b w:val="0"/>
                <w:sz w:val="21"/>
              </w:rPr>
              <w:t>31224</w:t>
            </w:r>
          </w:p>
        </w:tc>
        <w:tc>
          <w:tcPr>
            <w:tcW w:type="dxa" w:w="1296"/>
          </w:tcPr>
          <w:p>
            <w:pPr>
              <w:jc w:val="center"/>
            </w:pPr>
            <w:r>
              <w:rPr>
                <w:rFonts w:ascii="Times New Roman" w:hAnsi="Times New Roman" w:eastAsia="宋体"/>
                <w:b w:val="0"/>
                <w:sz w:val="21"/>
              </w:rPr>
              <w:t>11</w:t>
            </w:r>
          </w:p>
        </w:tc>
        <w:tc>
          <w:tcPr>
            <w:tcW w:type="dxa" w:w="1296"/>
          </w:tcPr>
          <w:p>
            <w:pPr>
              <w:jc w:val="center"/>
            </w:pPr>
            <w:r>
              <w:rPr>
                <w:rFonts w:ascii="Times New Roman" w:hAnsi="Times New Roman" w:eastAsia="宋体"/>
                <w:b w:val="0"/>
                <w:sz w:val="21"/>
              </w:rPr>
              <w:t>1566.144421</w:t>
            </w:r>
          </w:p>
        </w:tc>
        <w:tc>
          <w:tcPr>
            <w:tcW w:type="dxa" w:w="1296"/>
          </w:tcPr>
          <w:p>
            <w:pPr>
              <w:jc w:val="center"/>
            </w:pPr>
            <w:r>
              <w:rPr>
                <w:rFonts w:ascii="Times New Roman" w:hAnsi="Times New Roman" w:eastAsia="宋体"/>
                <w:b w:val="0"/>
                <w:sz w:val="21"/>
              </w:rPr>
              <w:t>0.238550</w:t>
            </w:r>
          </w:p>
        </w:tc>
      </w:tr>
    </w:tbl>
    <w:p/>
    <w:p>
      <w:pPr>
        <w:sectPr>
          <w:headerReference w:type="default" r:id="rId13"/>
          <w:footerReference w:type="default" r:id="rId14"/>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3 全球石油领域研究机构学术影响力评价结果</w:t>
      </w:r>
    </w:p>
    <w:p>
      <w:pPr>
        <w:pStyle w:val="Heading2"/>
        <w:spacing w:before="240" w:after="120"/>
        <w:jc w:val="left"/>
      </w:pPr>
      <w:r>
        <w:rPr>
          <w:rFonts w:ascii="Times New Roman" w:hAnsi="Times New Roman" w:eastAsia="黑体"/>
          <w:b/>
          <w:sz w:val="28"/>
        </w:rPr>
        <w:t>3.1 样本概况与综合格局</w:t>
      </w:r>
    </w:p>
    <w:p>
      <w:pPr>
        <w:spacing w:line="300" w:lineRule="auto" w:before="0" w:after="0"/>
        <w:ind w:left="0" w:firstLine="480"/>
      </w:pPr>
      <w:r>
        <w:rPr>
          <w:rFonts w:ascii="Times New Roman" w:hAnsi="Times New Roman" w:eastAsia="宋体"/>
          <w:b w:val="0"/>
          <w:sz w:val="24"/>
        </w:rPr>
        <w:t>依据Top100核心机构综合评价结果，2011-2025年全球石油领域研究机构影响力排名前十位依次为中国科学院、中国石油大学（北京）、中国石油化工股份有限公司、中国石油天然气股份有限公司、西南石油大学、中国科学院大学、中国石油大学（华东）、清华大学、天津大学、浙江大学。综合排名呈现出明显的“头部集中+多元并存”格局：中国科学院和中国石油大学（北京）构成第一梯队，其后依次为两大石油央企主体以及行业特色高校与综合性大学。</w:t>
      </w:r>
    </w:p>
    <w:p>
      <w:pPr>
        <w:spacing w:line="300" w:lineRule="auto" w:before="0" w:after="0"/>
        <w:ind w:left="0" w:firstLine="480"/>
      </w:pPr>
      <w:r>
        <w:rPr>
          <w:rFonts w:ascii="Times New Roman" w:hAnsi="Times New Roman" w:eastAsia="宋体"/>
          <w:b w:val="0"/>
          <w:sz w:val="24"/>
        </w:rPr>
        <w:t>从国家分布看，这一格局同时具有鲜明的“中国主导+国际嵌入”特征。Top20机构中，中国机构共14家，新加坡和澳大利亚各2家，英国和沙特阿拉伯各1家；扩展到Top100样本时，中国机构达到76家，美国和澳大利亚各4家，新加坡、加拿大、沙特阿拉伯和伊朗等国家也有代表性机构进入。说明在高质量石油文献场域中，中国机构在规模和持续产出上具有显著优势，而部分国际高校则更多通过高影响成果和国际合作网络取得竞争位置。</w:t>
      </w:r>
    </w:p>
    <w:p>
      <w:pPr>
        <w:spacing w:line="300" w:lineRule="auto" w:before="0" w:after="0"/>
        <w:ind w:left="0" w:firstLine="480"/>
      </w:pPr>
      <w:r>
        <w:rPr>
          <w:rFonts w:ascii="Times New Roman" w:hAnsi="Times New Roman" w:eastAsia="宋体"/>
          <w:b w:val="0"/>
          <w:sz w:val="24"/>
        </w:rPr>
        <w:t>综合排名前20位中除国内头部高校与科研机构外，还出现了新加坡国立大学、南洋理工大学、帝国理工学院、昆士兰大学、蒙纳士大学、阿卜杜拉国王科技大学等境外高水平大学。说明在石油领域的高质量文献场域中，国际合作广度和学术影响质量能够帮助部分境外机构在总体发文规模不占绝对优势的情况下进入前列。</w:t>
      </w:r>
    </w:p>
    <w:p>
      <w:pPr>
        <w:spacing w:line="300" w:lineRule="auto" w:before="0" w:after="0"/>
        <w:ind w:left="0" w:firstLine="480"/>
      </w:pPr>
      <w:r>
        <w:rPr>
          <w:rFonts w:ascii="Times New Roman" w:hAnsi="Times New Roman" w:eastAsia="宋体"/>
          <w:b w:val="0"/>
          <w:sz w:val="24"/>
        </w:rPr>
        <w:t>表3-1 TOPSIS综合排名前十机构</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rFonts w:ascii="Times New Roman" w:hAnsi="Times New Roman" w:eastAsia="黑体"/>
                <w:b/>
                <w:sz w:val="21"/>
              </w:rPr>
              <w:t>排名</w:t>
            </w:r>
          </w:p>
        </w:tc>
        <w:tc>
          <w:tcPr>
            <w:tcW w:type="dxa" w:w="1296"/>
          </w:tcPr>
          <w:p>
            <w:pPr>
              <w:jc w:val="center"/>
            </w:pPr>
            <w:r>
              <w:rPr>
                <w:rFonts w:ascii="Times New Roman" w:hAnsi="Times New Roman" w:eastAsia="黑体"/>
                <w:b/>
                <w:sz w:val="21"/>
              </w:rPr>
              <w:t>机构名称</w:t>
            </w:r>
          </w:p>
        </w:tc>
        <w:tc>
          <w:tcPr>
            <w:tcW w:type="dxa" w:w="1296"/>
          </w:tcPr>
          <w:p>
            <w:pPr>
              <w:jc w:val="center"/>
            </w:pPr>
            <w:r>
              <w:rPr>
                <w:rFonts w:ascii="Times New Roman" w:hAnsi="Times New Roman" w:eastAsia="黑体"/>
                <w:b/>
                <w:sz w:val="21"/>
              </w:rPr>
              <w:t>国家/地区</w:t>
            </w:r>
          </w:p>
        </w:tc>
        <w:tc>
          <w:tcPr>
            <w:tcW w:type="dxa" w:w="1296"/>
          </w:tcPr>
          <w:p>
            <w:pPr>
              <w:jc w:val="center"/>
            </w:pPr>
            <w:r>
              <w:rPr>
                <w:rFonts w:ascii="Times New Roman" w:hAnsi="Times New Roman" w:eastAsia="黑体"/>
                <w:b/>
                <w:sz w:val="21"/>
              </w:rPr>
              <w:t>综合得分</w:t>
            </w:r>
          </w:p>
        </w:tc>
        <w:tc>
          <w:tcPr>
            <w:tcW w:type="dxa" w:w="1296"/>
          </w:tcPr>
          <w:p>
            <w:pPr>
              <w:jc w:val="center"/>
            </w:pPr>
            <w:r>
              <w:rPr>
                <w:rFonts w:ascii="Times New Roman" w:hAnsi="Times New Roman" w:eastAsia="黑体"/>
                <w:b/>
                <w:sz w:val="21"/>
              </w:rPr>
              <w:t>科研产出子得分</w:t>
            </w:r>
          </w:p>
        </w:tc>
        <w:tc>
          <w:tcPr>
            <w:tcW w:type="dxa" w:w="1296"/>
          </w:tcPr>
          <w:p>
            <w:pPr>
              <w:jc w:val="center"/>
            </w:pPr>
            <w:r>
              <w:rPr>
                <w:rFonts w:ascii="Times New Roman" w:hAnsi="Times New Roman" w:eastAsia="黑体"/>
                <w:b/>
                <w:sz w:val="21"/>
              </w:rPr>
              <w:t>学术影响子得分</w:t>
            </w:r>
          </w:p>
        </w:tc>
        <w:tc>
          <w:tcPr>
            <w:tcW w:type="dxa" w:w="1296"/>
          </w:tcPr>
          <w:p>
            <w:pPr>
              <w:jc w:val="center"/>
            </w:pPr>
            <w:r>
              <w:rPr>
                <w:rFonts w:ascii="Times New Roman" w:hAnsi="Times New Roman" w:eastAsia="黑体"/>
                <w:b/>
                <w:sz w:val="21"/>
              </w:rPr>
              <w:t>合作与国际化子得分</w:t>
            </w:r>
          </w:p>
        </w:tc>
      </w:tr>
      <w:tr>
        <w:tc>
          <w:tcPr>
            <w:tcW w:type="dxa" w:w="1296"/>
          </w:tcPr>
          <w:p>
            <w:pPr>
              <w:jc w:val="center"/>
            </w:pPr>
            <w:r>
              <w:rPr>
                <w:rFonts w:ascii="Times New Roman" w:hAnsi="Times New Roman" w:eastAsia="宋体"/>
                <w:b w:val="0"/>
                <w:sz w:val="21"/>
              </w:rPr>
              <w:t>1</w:t>
            </w:r>
          </w:p>
        </w:tc>
        <w:tc>
          <w:tcPr>
            <w:tcW w:type="dxa" w:w="1296"/>
          </w:tcPr>
          <w:p>
            <w:pPr>
              <w:jc w:val="center"/>
            </w:pPr>
            <w:r>
              <w:rPr>
                <w:rFonts w:ascii="Times New Roman" w:hAnsi="Times New Roman" w:eastAsia="宋体"/>
                <w:b w:val="0"/>
                <w:sz w:val="21"/>
              </w:rPr>
              <w:t>中国科学院</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0.793235</w:t>
            </w:r>
          </w:p>
        </w:tc>
        <w:tc>
          <w:tcPr>
            <w:tcW w:type="dxa" w:w="1296"/>
          </w:tcPr>
          <w:p>
            <w:pPr>
              <w:jc w:val="center"/>
            </w:pPr>
            <w:r>
              <w:rPr>
                <w:rFonts w:ascii="Times New Roman" w:hAnsi="Times New Roman" w:eastAsia="宋体"/>
                <w:b w:val="0"/>
                <w:sz w:val="21"/>
              </w:rPr>
              <w:t>0.835071</w:t>
            </w:r>
          </w:p>
        </w:tc>
        <w:tc>
          <w:tcPr>
            <w:tcW w:type="dxa" w:w="1296"/>
          </w:tcPr>
          <w:p>
            <w:pPr>
              <w:jc w:val="center"/>
            </w:pPr>
            <w:r>
              <w:rPr>
                <w:rFonts w:ascii="Times New Roman" w:hAnsi="Times New Roman" w:eastAsia="宋体"/>
                <w:b w:val="0"/>
                <w:sz w:val="21"/>
              </w:rPr>
              <w:t>0.751752</w:t>
            </w:r>
          </w:p>
        </w:tc>
        <w:tc>
          <w:tcPr>
            <w:tcW w:type="dxa" w:w="1296"/>
          </w:tcPr>
          <w:p>
            <w:pPr>
              <w:jc w:val="center"/>
            </w:pPr>
            <w:r>
              <w:rPr>
                <w:rFonts w:ascii="Times New Roman" w:hAnsi="Times New Roman" w:eastAsia="宋体"/>
                <w:b w:val="0"/>
                <w:sz w:val="21"/>
              </w:rPr>
              <w:t>0.63271</w:t>
            </w:r>
          </w:p>
        </w:tc>
      </w:tr>
      <w:tr>
        <w:tc>
          <w:tcPr>
            <w:tcW w:type="dxa" w:w="1296"/>
          </w:tcPr>
          <w:p>
            <w:pPr>
              <w:jc w:val="center"/>
            </w:pPr>
            <w:r>
              <w:rPr>
                <w:rFonts w:ascii="Times New Roman" w:hAnsi="Times New Roman" w:eastAsia="宋体"/>
                <w:b w:val="0"/>
                <w:sz w:val="21"/>
              </w:rPr>
              <w:t>2</w:t>
            </w:r>
          </w:p>
        </w:tc>
        <w:tc>
          <w:tcPr>
            <w:tcW w:type="dxa" w:w="1296"/>
          </w:tcPr>
          <w:p>
            <w:pPr>
              <w:jc w:val="center"/>
            </w:pPr>
            <w:r>
              <w:rPr>
                <w:rFonts w:ascii="Times New Roman" w:hAnsi="Times New Roman" w:eastAsia="宋体"/>
                <w:b w:val="0"/>
                <w:sz w:val="21"/>
              </w:rPr>
              <w:t>中国石油大学（北京）</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0.755086</w:t>
            </w:r>
          </w:p>
        </w:tc>
        <w:tc>
          <w:tcPr>
            <w:tcW w:type="dxa" w:w="1296"/>
          </w:tcPr>
          <w:p>
            <w:pPr>
              <w:jc w:val="center"/>
            </w:pPr>
            <w:r>
              <w:rPr>
                <w:rFonts w:ascii="Times New Roman" w:hAnsi="Times New Roman" w:eastAsia="宋体"/>
                <w:b w:val="0"/>
                <w:sz w:val="21"/>
              </w:rPr>
              <w:t>0.753118</w:t>
            </w:r>
          </w:p>
        </w:tc>
        <w:tc>
          <w:tcPr>
            <w:tcW w:type="dxa" w:w="1296"/>
          </w:tcPr>
          <w:p>
            <w:pPr>
              <w:jc w:val="center"/>
            </w:pPr>
            <w:r>
              <w:rPr>
                <w:rFonts w:ascii="Times New Roman" w:hAnsi="Times New Roman" w:eastAsia="宋体"/>
                <w:b w:val="0"/>
                <w:sz w:val="21"/>
              </w:rPr>
              <w:t>0.399168</w:t>
            </w:r>
          </w:p>
        </w:tc>
        <w:tc>
          <w:tcPr>
            <w:tcW w:type="dxa" w:w="1296"/>
          </w:tcPr>
          <w:p>
            <w:pPr>
              <w:jc w:val="center"/>
            </w:pPr>
            <w:r>
              <w:rPr>
                <w:rFonts w:ascii="Times New Roman" w:hAnsi="Times New Roman" w:eastAsia="宋体"/>
                <w:b w:val="0"/>
                <w:sz w:val="21"/>
              </w:rPr>
              <w:t>0.436145</w:t>
            </w:r>
          </w:p>
        </w:tc>
      </w:tr>
      <w:tr>
        <w:tc>
          <w:tcPr>
            <w:tcW w:type="dxa" w:w="1296"/>
          </w:tcPr>
          <w:p>
            <w:pPr>
              <w:jc w:val="center"/>
            </w:pPr>
            <w:r>
              <w:rPr>
                <w:rFonts w:ascii="Times New Roman" w:hAnsi="Times New Roman" w:eastAsia="宋体"/>
                <w:b w:val="0"/>
                <w:sz w:val="21"/>
              </w:rPr>
              <w:t>3</w:t>
            </w:r>
          </w:p>
        </w:tc>
        <w:tc>
          <w:tcPr>
            <w:tcW w:type="dxa" w:w="1296"/>
          </w:tcPr>
          <w:p>
            <w:pPr>
              <w:jc w:val="center"/>
            </w:pPr>
            <w:r>
              <w:rPr>
                <w:rFonts w:ascii="Times New Roman" w:hAnsi="Times New Roman" w:eastAsia="宋体"/>
                <w:b w:val="0"/>
                <w:sz w:val="21"/>
              </w:rPr>
              <w:t>中国石油化工股份有限公司</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0.560668</w:t>
            </w:r>
          </w:p>
        </w:tc>
        <w:tc>
          <w:tcPr>
            <w:tcW w:type="dxa" w:w="1296"/>
          </w:tcPr>
          <w:p>
            <w:pPr>
              <w:jc w:val="center"/>
            </w:pPr>
            <w:r>
              <w:rPr>
                <w:rFonts w:ascii="Times New Roman" w:hAnsi="Times New Roman" w:eastAsia="宋体"/>
                <w:b w:val="0"/>
                <w:sz w:val="21"/>
              </w:rPr>
              <w:t>0.463979</w:t>
            </w:r>
          </w:p>
        </w:tc>
        <w:tc>
          <w:tcPr>
            <w:tcW w:type="dxa" w:w="1296"/>
          </w:tcPr>
          <w:p>
            <w:pPr>
              <w:jc w:val="center"/>
            </w:pPr>
            <w:r>
              <w:rPr>
                <w:rFonts w:ascii="Times New Roman" w:hAnsi="Times New Roman" w:eastAsia="宋体"/>
                <w:b w:val="0"/>
                <w:sz w:val="21"/>
              </w:rPr>
              <w:t>0.281445</w:t>
            </w:r>
          </w:p>
        </w:tc>
        <w:tc>
          <w:tcPr>
            <w:tcW w:type="dxa" w:w="1296"/>
          </w:tcPr>
          <w:p>
            <w:pPr>
              <w:jc w:val="center"/>
            </w:pPr>
            <w:r>
              <w:rPr>
                <w:rFonts w:ascii="Times New Roman" w:hAnsi="Times New Roman" w:eastAsia="宋体"/>
                <w:b w:val="0"/>
                <w:sz w:val="21"/>
              </w:rPr>
              <w:t>0.201289</w:t>
            </w:r>
          </w:p>
        </w:tc>
      </w:tr>
      <w:tr>
        <w:tc>
          <w:tcPr>
            <w:tcW w:type="dxa" w:w="1296"/>
          </w:tcPr>
          <w:p>
            <w:pPr>
              <w:jc w:val="center"/>
            </w:pPr>
            <w:r>
              <w:rPr>
                <w:rFonts w:ascii="Times New Roman" w:hAnsi="Times New Roman" w:eastAsia="宋体"/>
                <w:b w:val="0"/>
                <w:sz w:val="21"/>
              </w:rPr>
              <w:t>4</w:t>
            </w:r>
          </w:p>
        </w:tc>
        <w:tc>
          <w:tcPr>
            <w:tcW w:type="dxa" w:w="1296"/>
          </w:tcPr>
          <w:p>
            <w:pPr>
              <w:jc w:val="center"/>
            </w:pPr>
            <w:r>
              <w:rPr>
                <w:rFonts w:ascii="Times New Roman" w:hAnsi="Times New Roman" w:eastAsia="宋体"/>
                <w:b w:val="0"/>
                <w:sz w:val="21"/>
              </w:rPr>
              <w:t>中国石油天然气股份有限公司</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0.547276</w:t>
            </w:r>
          </w:p>
        </w:tc>
        <w:tc>
          <w:tcPr>
            <w:tcW w:type="dxa" w:w="1296"/>
          </w:tcPr>
          <w:p>
            <w:pPr>
              <w:jc w:val="center"/>
            </w:pPr>
            <w:r>
              <w:rPr>
                <w:rFonts w:ascii="Times New Roman" w:hAnsi="Times New Roman" w:eastAsia="宋体"/>
                <w:b w:val="0"/>
                <w:sz w:val="21"/>
              </w:rPr>
              <w:t>0.480744</w:t>
            </w:r>
          </w:p>
        </w:tc>
        <w:tc>
          <w:tcPr>
            <w:tcW w:type="dxa" w:w="1296"/>
          </w:tcPr>
          <w:p>
            <w:pPr>
              <w:jc w:val="center"/>
            </w:pPr>
            <w:r>
              <w:rPr>
                <w:rFonts w:ascii="Times New Roman" w:hAnsi="Times New Roman" w:eastAsia="宋体"/>
                <w:b w:val="0"/>
                <w:sz w:val="21"/>
              </w:rPr>
              <w:t>0.562303</w:t>
            </w:r>
          </w:p>
        </w:tc>
        <w:tc>
          <w:tcPr>
            <w:tcW w:type="dxa" w:w="1296"/>
          </w:tcPr>
          <w:p>
            <w:pPr>
              <w:jc w:val="center"/>
            </w:pPr>
            <w:r>
              <w:rPr>
                <w:rFonts w:ascii="Times New Roman" w:hAnsi="Times New Roman" w:eastAsia="宋体"/>
                <w:b w:val="0"/>
                <w:sz w:val="21"/>
              </w:rPr>
              <w:t>0.388481</w:t>
            </w:r>
          </w:p>
        </w:tc>
      </w:tr>
      <w:tr>
        <w:tc>
          <w:tcPr>
            <w:tcW w:type="dxa" w:w="1296"/>
          </w:tcPr>
          <w:p>
            <w:pPr>
              <w:jc w:val="center"/>
            </w:pPr>
            <w:r>
              <w:rPr>
                <w:rFonts w:ascii="Times New Roman" w:hAnsi="Times New Roman" w:eastAsia="宋体"/>
                <w:b w:val="0"/>
                <w:sz w:val="21"/>
              </w:rPr>
              <w:t>5</w:t>
            </w:r>
          </w:p>
        </w:tc>
        <w:tc>
          <w:tcPr>
            <w:tcW w:type="dxa" w:w="1296"/>
          </w:tcPr>
          <w:p>
            <w:pPr>
              <w:jc w:val="center"/>
            </w:pPr>
            <w:r>
              <w:rPr>
                <w:rFonts w:ascii="Times New Roman" w:hAnsi="Times New Roman" w:eastAsia="宋体"/>
                <w:b w:val="0"/>
                <w:sz w:val="21"/>
              </w:rPr>
              <w:t>西南石油大学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0.384529</w:t>
            </w:r>
          </w:p>
        </w:tc>
        <w:tc>
          <w:tcPr>
            <w:tcW w:type="dxa" w:w="1296"/>
          </w:tcPr>
          <w:p>
            <w:pPr>
              <w:jc w:val="center"/>
            </w:pPr>
            <w:r>
              <w:rPr>
                <w:rFonts w:ascii="Times New Roman" w:hAnsi="Times New Roman" w:eastAsia="宋体"/>
                <w:b w:val="0"/>
                <w:sz w:val="21"/>
              </w:rPr>
              <w:t>0.364246</w:t>
            </w:r>
          </w:p>
        </w:tc>
        <w:tc>
          <w:tcPr>
            <w:tcW w:type="dxa" w:w="1296"/>
          </w:tcPr>
          <w:p>
            <w:pPr>
              <w:jc w:val="center"/>
            </w:pPr>
            <w:r>
              <w:rPr>
                <w:rFonts w:ascii="Times New Roman" w:hAnsi="Times New Roman" w:eastAsia="宋体"/>
                <w:b w:val="0"/>
                <w:sz w:val="21"/>
              </w:rPr>
              <w:t>0.227659</w:t>
            </w:r>
          </w:p>
        </w:tc>
        <w:tc>
          <w:tcPr>
            <w:tcW w:type="dxa" w:w="1296"/>
          </w:tcPr>
          <w:p>
            <w:pPr>
              <w:jc w:val="center"/>
            </w:pPr>
            <w:r>
              <w:rPr>
                <w:rFonts w:ascii="Times New Roman" w:hAnsi="Times New Roman" w:eastAsia="宋体"/>
                <w:b w:val="0"/>
                <w:sz w:val="21"/>
              </w:rPr>
              <w:t>0.370088</w:t>
            </w:r>
          </w:p>
        </w:tc>
      </w:tr>
      <w:tr>
        <w:tc>
          <w:tcPr>
            <w:tcW w:type="dxa" w:w="1296"/>
          </w:tcPr>
          <w:p>
            <w:pPr>
              <w:jc w:val="center"/>
            </w:pPr>
            <w:r>
              <w:rPr>
                <w:rFonts w:ascii="Times New Roman" w:hAnsi="Times New Roman" w:eastAsia="宋体"/>
                <w:b w:val="0"/>
                <w:sz w:val="21"/>
              </w:rPr>
              <w:t>6</w:t>
            </w:r>
          </w:p>
        </w:tc>
        <w:tc>
          <w:tcPr>
            <w:tcW w:type="dxa" w:w="1296"/>
          </w:tcPr>
          <w:p>
            <w:pPr>
              <w:jc w:val="center"/>
            </w:pPr>
            <w:r>
              <w:rPr>
                <w:rFonts w:ascii="Times New Roman" w:hAnsi="Times New Roman" w:eastAsia="宋体"/>
                <w:b w:val="0"/>
                <w:sz w:val="21"/>
              </w:rPr>
              <w:t>中国科学院大学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0.348506</w:t>
            </w:r>
          </w:p>
        </w:tc>
        <w:tc>
          <w:tcPr>
            <w:tcW w:type="dxa" w:w="1296"/>
          </w:tcPr>
          <w:p>
            <w:pPr>
              <w:jc w:val="center"/>
            </w:pPr>
            <w:r>
              <w:rPr>
                <w:rFonts w:ascii="Times New Roman" w:hAnsi="Times New Roman" w:eastAsia="宋体"/>
                <w:b w:val="0"/>
                <w:sz w:val="21"/>
              </w:rPr>
              <w:t>0.450859</w:t>
            </w:r>
          </w:p>
        </w:tc>
        <w:tc>
          <w:tcPr>
            <w:tcW w:type="dxa" w:w="1296"/>
          </w:tcPr>
          <w:p>
            <w:pPr>
              <w:jc w:val="center"/>
            </w:pPr>
            <w:r>
              <w:rPr>
                <w:rFonts w:ascii="Times New Roman" w:hAnsi="Times New Roman" w:eastAsia="宋体"/>
                <w:b w:val="0"/>
                <w:sz w:val="21"/>
              </w:rPr>
              <w:t>0.458329</w:t>
            </w:r>
          </w:p>
        </w:tc>
        <w:tc>
          <w:tcPr>
            <w:tcW w:type="dxa" w:w="1296"/>
          </w:tcPr>
          <w:p>
            <w:pPr>
              <w:jc w:val="center"/>
            </w:pPr>
            <w:r>
              <w:rPr>
                <w:rFonts w:ascii="Times New Roman" w:hAnsi="Times New Roman" w:eastAsia="宋体"/>
                <w:b w:val="0"/>
                <w:sz w:val="21"/>
              </w:rPr>
              <w:t>0.586137</w:t>
            </w:r>
          </w:p>
        </w:tc>
      </w:tr>
      <w:tr>
        <w:tc>
          <w:tcPr>
            <w:tcW w:type="dxa" w:w="1296"/>
          </w:tcPr>
          <w:p>
            <w:pPr>
              <w:jc w:val="center"/>
            </w:pPr>
            <w:r>
              <w:rPr>
                <w:rFonts w:ascii="Times New Roman" w:hAnsi="Times New Roman" w:eastAsia="宋体"/>
                <w:b w:val="0"/>
                <w:sz w:val="21"/>
              </w:rPr>
              <w:t>7</w:t>
            </w:r>
          </w:p>
        </w:tc>
        <w:tc>
          <w:tcPr>
            <w:tcW w:type="dxa" w:w="1296"/>
          </w:tcPr>
          <w:p>
            <w:pPr>
              <w:jc w:val="center"/>
            </w:pPr>
            <w:r>
              <w:rPr>
                <w:rFonts w:ascii="Times New Roman" w:hAnsi="Times New Roman" w:eastAsia="宋体"/>
                <w:b w:val="0"/>
                <w:sz w:val="21"/>
              </w:rPr>
              <w:t>中国石油大学（华东）</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0.33376</w:t>
            </w:r>
          </w:p>
        </w:tc>
        <w:tc>
          <w:tcPr>
            <w:tcW w:type="dxa" w:w="1296"/>
          </w:tcPr>
          <w:p>
            <w:pPr>
              <w:jc w:val="center"/>
            </w:pPr>
            <w:r>
              <w:rPr>
                <w:rFonts w:ascii="Times New Roman" w:hAnsi="Times New Roman" w:eastAsia="宋体"/>
                <w:b w:val="0"/>
                <w:sz w:val="21"/>
              </w:rPr>
              <w:t>0.373123</w:t>
            </w:r>
          </w:p>
        </w:tc>
        <w:tc>
          <w:tcPr>
            <w:tcW w:type="dxa" w:w="1296"/>
          </w:tcPr>
          <w:p>
            <w:pPr>
              <w:jc w:val="center"/>
            </w:pPr>
            <w:r>
              <w:rPr>
                <w:rFonts w:ascii="Times New Roman" w:hAnsi="Times New Roman" w:eastAsia="宋体"/>
                <w:b w:val="0"/>
                <w:sz w:val="21"/>
              </w:rPr>
              <w:t>0.246408</w:t>
            </w:r>
          </w:p>
        </w:tc>
        <w:tc>
          <w:tcPr>
            <w:tcW w:type="dxa" w:w="1296"/>
          </w:tcPr>
          <w:p>
            <w:pPr>
              <w:jc w:val="center"/>
            </w:pPr>
            <w:r>
              <w:rPr>
                <w:rFonts w:ascii="Times New Roman" w:hAnsi="Times New Roman" w:eastAsia="宋体"/>
                <w:b w:val="0"/>
                <w:sz w:val="21"/>
              </w:rPr>
              <w:t>0.43379</w:t>
            </w:r>
          </w:p>
        </w:tc>
      </w:tr>
      <w:tr>
        <w:tc>
          <w:tcPr>
            <w:tcW w:type="dxa" w:w="1296"/>
          </w:tcPr>
          <w:p>
            <w:pPr>
              <w:jc w:val="center"/>
            </w:pPr>
            <w:r>
              <w:rPr>
                <w:rFonts w:ascii="Times New Roman" w:hAnsi="Times New Roman" w:eastAsia="宋体"/>
                <w:b w:val="0"/>
                <w:sz w:val="21"/>
              </w:rPr>
              <w:t>8</w:t>
            </w:r>
          </w:p>
        </w:tc>
        <w:tc>
          <w:tcPr>
            <w:tcW w:type="dxa" w:w="1296"/>
          </w:tcPr>
          <w:p>
            <w:pPr>
              <w:jc w:val="center"/>
            </w:pPr>
            <w:r>
              <w:rPr>
                <w:rFonts w:ascii="Times New Roman" w:hAnsi="Times New Roman" w:eastAsia="宋体"/>
                <w:b w:val="0"/>
                <w:sz w:val="21"/>
              </w:rPr>
              <w:t>清华大学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0.324022</w:t>
            </w:r>
          </w:p>
        </w:tc>
        <w:tc>
          <w:tcPr>
            <w:tcW w:type="dxa" w:w="1296"/>
          </w:tcPr>
          <w:p>
            <w:pPr>
              <w:jc w:val="center"/>
            </w:pPr>
            <w:r>
              <w:rPr>
                <w:rFonts w:ascii="Times New Roman" w:hAnsi="Times New Roman" w:eastAsia="宋体"/>
                <w:b w:val="0"/>
                <w:sz w:val="21"/>
              </w:rPr>
              <w:t>0.384337</w:t>
            </w:r>
          </w:p>
        </w:tc>
        <w:tc>
          <w:tcPr>
            <w:tcW w:type="dxa" w:w="1296"/>
          </w:tcPr>
          <w:p>
            <w:pPr>
              <w:jc w:val="center"/>
            </w:pPr>
            <w:r>
              <w:rPr>
                <w:rFonts w:ascii="Times New Roman" w:hAnsi="Times New Roman" w:eastAsia="宋体"/>
                <w:b w:val="0"/>
                <w:sz w:val="21"/>
              </w:rPr>
              <w:t>0.633542</w:t>
            </w:r>
          </w:p>
        </w:tc>
        <w:tc>
          <w:tcPr>
            <w:tcW w:type="dxa" w:w="1296"/>
          </w:tcPr>
          <w:p>
            <w:pPr>
              <w:jc w:val="center"/>
            </w:pPr>
            <w:r>
              <w:rPr>
                <w:rFonts w:ascii="Times New Roman" w:hAnsi="Times New Roman" w:eastAsia="宋体"/>
                <w:b w:val="0"/>
                <w:sz w:val="21"/>
              </w:rPr>
              <w:t>0.424767</w:t>
            </w:r>
          </w:p>
        </w:tc>
      </w:tr>
      <w:tr>
        <w:tc>
          <w:tcPr>
            <w:tcW w:type="dxa" w:w="1296"/>
          </w:tcPr>
          <w:p>
            <w:pPr>
              <w:jc w:val="center"/>
            </w:pPr>
            <w:r>
              <w:rPr>
                <w:rFonts w:ascii="Times New Roman" w:hAnsi="Times New Roman" w:eastAsia="宋体"/>
                <w:b w:val="0"/>
                <w:sz w:val="21"/>
              </w:rPr>
              <w:t>9</w:t>
            </w:r>
          </w:p>
        </w:tc>
        <w:tc>
          <w:tcPr>
            <w:tcW w:type="dxa" w:w="1296"/>
          </w:tcPr>
          <w:p>
            <w:pPr>
              <w:jc w:val="center"/>
            </w:pPr>
            <w:r>
              <w:rPr>
                <w:rFonts w:ascii="Times New Roman" w:hAnsi="Times New Roman" w:eastAsia="宋体"/>
                <w:b w:val="0"/>
                <w:sz w:val="21"/>
              </w:rPr>
              <w:t>天津大学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0.301111</w:t>
            </w:r>
          </w:p>
        </w:tc>
        <w:tc>
          <w:tcPr>
            <w:tcW w:type="dxa" w:w="1296"/>
          </w:tcPr>
          <w:p>
            <w:pPr>
              <w:jc w:val="center"/>
            </w:pPr>
            <w:r>
              <w:rPr>
                <w:rFonts w:ascii="Times New Roman" w:hAnsi="Times New Roman" w:eastAsia="宋体"/>
                <w:b w:val="0"/>
                <w:sz w:val="21"/>
              </w:rPr>
              <w:t>0.380265</w:t>
            </w:r>
          </w:p>
        </w:tc>
        <w:tc>
          <w:tcPr>
            <w:tcW w:type="dxa" w:w="1296"/>
          </w:tcPr>
          <w:p>
            <w:pPr>
              <w:jc w:val="center"/>
            </w:pPr>
            <w:r>
              <w:rPr>
                <w:rFonts w:ascii="Times New Roman" w:hAnsi="Times New Roman" w:eastAsia="宋体"/>
                <w:b w:val="0"/>
                <w:sz w:val="21"/>
              </w:rPr>
              <w:t>0.522722</w:t>
            </w:r>
          </w:p>
        </w:tc>
        <w:tc>
          <w:tcPr>
            <w:tcW w:type="dxa" w:w="1296"/>
          </w:tcPr>
          <w:p>
            <w:pPr>
              <w:jc w:val="center"/>
            </w:pPr>
            <w:r>
              <w:rPr>
                <w:rFonts w:ascii="Times New Roman" w:hAnsi="Times New Roman" w:eastAsia="宋体"/>
                <w:b w:val="0"/>
                <w:sz w:val="21"/>
              </w:rPr>
              <w:t>0.392331</w:t>
            </w:r>
          </w:p>
        </w:tc>
      </w:tr>
      <w:tr>
        <w:tc>
          <w:tcPr>
            <w:tcW w:type="dxa" w:w="1296"/>
          </w:tcPr>
          <w:p>
            <w:pPr>
              <w:jc w:val="center"/>
            </w:pPr>
            <w:r>
              <w:rPr>
                <w:rFonts w:ascii="Times New Roman" w:hAnsi="Times New Roman" w:eastAsia="宋体"/>
                <w:b w:val="0"/>
                <w:sz w:val="21"/>
              </w:rPr>
              <w:t>10</w:t>
            </w:r>
          </w:p>
        </w:tc>
        <w:tc>
          <w:tcPr>
            <w:tcW w:type="dxa" w:w="1296"/>
          </w:tcPr>
          <w:p>
            <w:pPr>
              <w:jc w:val="center"/>
            </w:pPr>
            <w:r>
              <w:rPr>
                <w:rFonts w:ascii="Times New Roman" w:hAnsi="Times New Roman" w:eastAsia="宋体"/>
                <w:b w:val="0"/>
                <w:sz w:val="21"/>
              </w:rPr>
              <w:t>浙江大学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0.296226</w:t>
            </w:r>
          </w:p>
        </w:tc>
        <w:tc>
          <w:tcPr>
            <w:tcW w:type="dxa" w:w="1296"/>
          </w:tcPr>
          <w:p>
            <w:pPr>
              <w:jc w:val="center"/>
            </w:pPr>
            <w:r>
              <w:rPr>
                <w:rFonts w:ascii="Times New Roman" w:hAnsi="Times New Roman" w:eastAsia="宋体"/>
                <w:b w:val="0"/>
                <w:sz w:val="21"/>
              </w:rPr>
              <w:t>0.367863</w:t>
            </w:r>
          </w:p>
        </w:tc>
        <w:tc>
          <w:tcPr>
            <w:tcW w:type="dxa" w:w="1296"/>
          </w:tcPr>
          <w:p>
            <w:pPr>
              <w:jc w:val="center"/>
            </w:pPr>
            <w:r>
              <w:rPr>
                <w:rFonts w:ascii="Times New Roman" w:hAnsi="Times New Roman" w:eastAsia="宋体"/>
                <w:b w:val="0"/>
                <w:sz w:val="21"/>
              </w:rPr>
              <w:t>0.520573</w:t>
            </w:r>
          </w:p>
        </w:tc>
        <w:tc>
          <w:tcPr>
            <w:tcW w:type="dxa" w:w="1296"/>
          </w:tcPr>
          <w:p>
            <w:pPr>
              <w:jc w:val="center"/>
            </w:pPr>
            <w:r>
              <w:rPr>
                <w:rFonts w:ascii="Times New Roman" w:hAnsi="Times New Roman" w:eastAsia="宋体"/>
                <w:b w:val="0"/>
                <w:sz w:val="21"/>
              </w:rPr>
              <w:t>0.402531</w:t>
            </w:r>
          </w:p>
        </w:tc>
      </w:tr>
    </w:tbl>
    <w:p/>
    <w:p>
      <w:pPr>
        <w:pStyle w:val="Heading2"/>
        <w:spacing w:before="240" w:after="120"/>
        <w:jc w:val="left"/>
      </w:pPr>
      <w:r>
        <w:rPr>
          <w:rFonts w:ascii="Times New Roman" w:hAnsi="Times New Roman" w:eastAsia="黑体"/>
          <w:b/>
          <w:sz w:val="28"/>
        </w:rPr>
        <w:t>3.2 TOPSIS综合结果分析</w:t>
      </w:r>
    </w:p>
    <w:p>
      <w:pPr>
        <w:spacing w:line="300" w:lineRule="auto" w:before="0" w:after="0"/>
        <w:ind w:left="0" w:firstLine="480"/>
      </w:pPr>
      <w:r>
        <w:rPr>
          <w:rFonts w:ascii="Times New Roman" w:hAnsi="Times New Roman" w:eastAsia="宋体"/>
          <w:b w:val="0"/>
          <w:sz w:val="24"/>
        </w:rPr>
        <w:t>从综合得分看，中国科学院以0.793235位列第一，中国石油大学（北京）以0.755086位列第二，二者分差为0.038149，明显高于第二名与第三名之间0.194418的差距。这表明头部格局并非简单的线性排序，而是存在“前二机构相对领跑、第三名以后进入第二梯队”的结构断层。中国科学院的优势来源于高水平的科研产出和稳健的学术影响表现；中国石油大学（北京）则在发文规模、持续活跃度和领域聚焦度上保持显著优势。</w:t>
      </w:r>
    </w:p>
    <w:p>
      <w:pPr>
        <w:spacing w:line="300" w:lineRule="auto" w:before="0" w:after="0"/>
        <w:ind w:left="0" w:firstLine="480"/>
      </w:pPr>
      <w:r>
        <w:rPr>
          <w:rFonts w:ascii="Times New Roman" w:hAnsi="Times New Roman" w:eastAsia="宋体"/>
          <w:b w:val="0"/>
          <w:sz w:val="24"/>
        </w:rPr>
        <w:t>排名第三和第四的中国石油化工股份有限公司、中国石油天然气股份有限公司，说明大型行业企业不仅在工程应用层面发挥关键作用，也已经形成持续稳定的高质量科研输出能力。这一点对于石油领域尤其重要，因为该领域的核心知识生产并不完全发生在高校和科研院所内部，企业研发主体在工程场景、问题牵引和应用验证方面拥有天然优势，因而能够在综合评价中进入第一阵营。</w:t>
      </w:r>
    </w:p>
    <w:p>
      <w:pPr>
        <w:spacing w:line="300" w:lineRule="auto" w:before="0" w:after="0"/>
        <w:ind w:left="0" w:firstLine="480"/>
      </w:pPr>
      <w:r>
        <w:rPr>
          <w:rFonts w:ascii="Times New Roman" w:hAnsi="Times New Roman" w:eastAsia="宋体"/>
          <w:b w:val="0"/>
          <w:sz w:val="24"/>
        </w:rPr>
        <w:t>进一步看，头部机构的优势并不完全相同。中国科学院表现为多维均衡型优势；中国石油大学（北京）体现出长期积累形成的产出优势；中国石油化工股份有限公司和中国石油天然气股份有限公司则显示出企业研发主体在行业问题导向研究上的持续发力。这说明综合排名靠前并不意味着优势结构一致，不同机构可以通过不同能力组合达到较高影响力水平。</w:t>
      </w:r>
    </w:p>
    <w:p>
      <w:pPr>
        <w:pStyle w:val="Heading2"/>
        <w:spacing w:before="240" w:after="120"/>
        <w:jc w:val="left"/>
      </w:pPr>
      <w:r>
        <w:rPr>
          <w:rFonts w:ascii="Times New Roman" w:hAnsi="Times New Roman" w:eastAsia="黑体"/>
          <w:b/>
          <w:sz w:val="28"/>
        </w:rPr>
        <w:t>3.3 分维度优势比较</w:t>
      </w:r>
    </w:p>
    <w:p>
      <w:pPr>
        <w:spacing w:line="300" w:lineRule="auto" w:before="0" w:after="0"/>
        <w:ind w:left="0" w:firstLine="480"/>
      </w:pPr>
      <w:r>
        <w:rPr>
          <w:rFonts w:ascii="Times New Roman" w:hAnsi="Times New Roman" w:eastAsia="宋体"/>
          <w:b w:val="0"/>
          <w:sz w:val="24"/>
        </w:rPr>
        <w:t>从科研产出维度看，前五位分别为中国科学院、中国石油大学（北京）、中国石油天然气股份有限公司、中国石油化工股份有限公司、中国科学院大学；从学术影响维度看，前五位分别为湖南大学、新加坡国立大学、中国科学院、华南理工大学、江苏大学；从合作与国际化维度看，前五位分别为帝国理工学院、南洋理工大学、昆士兰大学、阿卜杜拉国王科技大学、蒙纳士大学。</w:t>
      </w:r>
    </w:p>
    <w:p>
      <w:pPr>
        <w:spacing w:line="300" w:lineRule="auto" w:before="0" w:after="0"/>
        <w:ind w:left="0" w:firstLine="480"/>
      </w:pPr>
      <w:r>
        <w:rPr>
          <w:rFonts w:ascii="Times New Roman" w:hAnsi="Times New Roman" w:eastAsia="宋体"/>
          <w:b w:val="0"/>
          <w:sz w:val="24"/>
        </w:rPr>
        <w:t>分维度比较进一步揭示了不同机构的“强项结构”。科研产出维度前十名几乎全部为中国机构，且中国科学院、中国石油大学（北京）的科研产出子得分分别达到0.835071和0.753118，明显高于后续机构，说明它们在持续发文能力与样本规模上具备压倒性优势。学术影响维度则出现更明显的国际混合格局，湖南大学、新加坡国立大学、科廷大学、蒙纳士大学、佐治亚理工学院等机构进入前十，说明高影响成果产出具有更强的全球竞争属性。合作与国际化维度中，前十名全部为境外或强国际合作导向机构，帝国理工学院、南洋理工大学、昆士兰大学得分均在0.78上下，显著高于多数国内机构。</w:t>
      </w:r>
    </w:p>
    <w:p>
      <w:pPr>
        <w:spacing w:line="300" w:lineRule="auto" w:before="0" w:after="0"/>
        <w:ind w:left="0" w:firstLine="480"/>
      </w:pPr>
      <w:r>
        <w:rPr>
          <w:rFonts w:ascii="Times New Roman" w:hAnsi="Times New Roman" w:eastAsia="宋体"/>
          <w:b w:val="0"/>
          <w:sz w:val="24"/>
        </w:rPr>
        <w:t>这一结果说明，机构综合影响力并不完全等同于单一维度优势。科研产出维度主要受发文规模驱动，国内头部科研院所和行业高校占据主导；学术影响维度更强调高质量成果的集中释放，呈现“质量优先型”特征；合作与国际化维度则直接体现跨国合作网络、国际署名扩散和开放合作能力。这也解释了为什么部分境外高校虽然综合排名未进入前五，却能在某一维度形成非常突出的竞争优势。</w:t>
      </w:r>
    </w:p>
    <w:p>
      <w:pPr>
        <w:pStyle w:val="Heading2"/>
        <w:spacing w:before="240" w:after="120"/>
        <w:jc w:val="left"/>
      </w:pPr>
      <w:r>
        <w:rPr>
          <w:rFonts w:ascii="Times New Roman" w:hAnsi="Times New Roman" w:eastAsia="黑体"/>
          <w:b/>
          <w:sz w:val="28"/>
        </w:rPr>
        <w:t>3.4 机构类型与机构层级特征</w:t>
      </w:r>
    </w:p>
    <w:p>
      <w:pPr>
        <w:spacing w:line="300" w:lineRule="auto" w:before="0" w:after="0"/>
        <w:ind w:left="0" w:firstLine="480"/>
      </w:pPr>
      <w:r>
        <w:rPr>
          <w:rFonts w:ascii="Times New Roman" w:hAnsi="Times New Roman" w:eastAsia="宋体"/>
          <w:b w:val="0"/>
          <w:sz w:val="24"/>
        </w:rPr>
        <w:t>从全部标准化机构画像看，企业研发中心在数量上占绝对多数，共5313个；高校/科研院所2433个；政府机构28个；另有121个归为其他类型。这意味着从总体参与面看，石油领域知识生产具有明显的产业主体广泛参与特征。但在Top100高影响样本中，99家成功联接至机构画像链条的机构里，高校/科研院所占93家，企业研发中心仅5家，政府机构1家，说明在高质量期刊口径下，知识生产质量与学术扩散能力仍主要由高校与科研机构主导。与此同时，少数石油央企和大型企业研发主体能够凭借行业问题驱动的稳定产出进入头部样本，体现出鲜明的产业技术牵引特征。</w:t>
      </w:r>
    </w:p>
    <w:p>
      <w:pPr>
        <w:spacing w:line="300" w:lineRule="auto" w:before="0" w:after="0"/>
        <w:ind w:left="0" w:firstLine="480"/>
      </w:pPr>
      <w:r>
        <w:rPr>
          <w:rFonts w:ascii="Times New Roman" w:hAnsi="Times New Roman" w:eastAsia="宋体"/>
          <w:b w:val="0"/>
          <w:sz w:val="24"/>
        </w:rPr>
        <w:t>按机构层级观察，头部引领型机构20家、中坚创新型30家、特色细分型49家。头部引领型机构在综合得分、合作网络和成果质量等方面表现更为均衡；中坚创新型机构往往在某一维度形成差异化突破；特色细分型机构则更多依赖细分主题长期积累进入核心样本。换言之，层级划分并不是对机构“大小”的简单复述，而是对其综合能力结构、主题布局广度与资源整合能力的一种综合刻画。该分层结果为后续主题偏好分析提供了稳定的机构画像基础。</w:t>
      </w:r>
    </w:p>
    <w:p>
      <w:pPr>
        <w:sectPr>
          <w:headerReference w:type="default" r:id="rId15"/>
          <w:footerReference w:type="default" r:id="rId16"/>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4 研究主题演化与机构画像分析</w:t>
      </w:r>
    </w:p>
    <w:p>
      <w:pPr>
        <w:pStyle w:val="Heading2"/>
        <w:spacing w:before="240" w:after="120"/>
        <w:jc w:val="left"/>
      </w:pPr>
      <w:r>
        <w:rPr>
          <w:rFonts w:ascii="Times New Roman" w:hAnsi="Times New Roman" w:eastAsia="黑体"/>
          <w:b/>
          <w:sz w:val="28"/>
        </w:rPr>
        <w:t>4.1 三阶段建模结果与热点主题</w:t>
      </w:r>
    </w:p>
    <w:p>
      <w:pPr>
        <w:spacing w:line="300" w:lineRule="auto" w:before="0" w:after="0"/>
        <w:ind w:left="0" w:firstLine="480"/>
      </w:pPr>
      <w:r>
        <w:rPr>
          <w:rFonts w:ascii="Times New Roman" w:hAnsi="Times New Roman" w:eastAsia="宋体"/>
          <w:b w:val="0"/>
          <w:sz w:val="24"/>
        </w:rPr>
        <w:t>三阶段LDA建模结果显示，2011-2015、2016-2020、2021-2025三个阶段的最优主题数分别为12、10和11。2011-2015年主题强度最高的三个主题依次为“地层 / 催化剂 / 二氧化碳 / 颗粒”（0.164934）、“油田 / 钻井 / 地层 / 储层”（0.139426）和“盆地 / 构造 / 断层 / 地层”（0.117627）；2016-2020年依次为“催化剂 / 产品 / 构造 / 催化”（0.202826）、“水合物 / 甲烷 / 沥青质 / 液相”（0.138300）和“储层 / 注入 / 钻井 / 渗透率”（0.123961）；2021-2025年依次为“构造 / 离子 / 材料 / 稳定性”（0.142326）、“储层 / 地震 / 模拟 / 裂缝”（0.129324）和“催化剂 / 催化 / 活性 / 二氧化碳”（0.125833）。</w:t>
      </w:r>
    </w:p>
    <w:p>
      <w:pPr>
        <w:spacing w:line="300" w:lineRule="auto" w:before="0" w:after="0"/>
        <w:ind w:left="0" w:firstLine="480"/>
      </w:pPr>
      <w:r>
        <w:rPr>
          <w:rFonts w:ascii="Times New Roman" w:hAnsi="Times New Roman" w:eastAsia="宋体"/>
          <w:b w:val="0"/>
          <w:sz w:val="24"/>
        </w:rPr>
        <w:t>从整体趋势看，石油领域研究热点已由传统油气地质、油田开发和常规催化转化问题，逐步扩展到储层预测与模拟、二氧化碳利用与储存、催化活性和新材料稳定性等方向，呈现出资源开发议题、低碳转型议题与材料机理议题并行演进的特征。</w:t>
      </w:r>
    </w:p>
    <w:p>
      <w:pPr>
        <w:jc w:val="center"/>
      </w:pPr>
      <w:r>
        <w:drawing>
          <wp:inline xmlns:a="http://schemas.openxmlformats.org/drawingml/2006/main" xmlns:pic="http://schemas.openxmlformats.org/drawingml/2006/picture">
            <wp:extent cx="5400000" cy="2883180"/>
            <wp:docPr id="1" name="Picture 1"/>
            <wp:cNvGraphicFramePr>
              <a:graphicFrameLocks noChangeAspect="1"/>
            </wp:cNvGraphicFramePr>
            <a:graphic>
              <a:graphicData uri="http://schemas.openxmlformats.org/drawingml/2006/picture">
                <pic:pic>
                  <pic:nvPicPr>
                    <pic:cNvPr id="0" name="topic_intensity_evolution_curve_dual_key_2011_2025.png"/>
                    <pic:cNvPicPr/>
                  </pic:nvPicPr>
                  <pic:blipFill>
                    <a:blip r:embed="rId19"/>
                    <a:stretch>
                      <a:fillRect/>
                    </a:stretch>
                  </pic:blipFill>
                  <pic:spPr>
                    <a:xfrm>
                      <a:off x="0" y="0"/>
                      <a:ext cx="5400000" cy="2883180"/>
                    </a:xfrm>
                    <a:prstGeom prst="rect"/>
                  </pic:spPr>
                </pic:pic>
              </a:graphicData>
            </a:graphic>
          </wp:inline>
        </w:drawing>
      </w:r>
    </w:p>
    <w:p>
      <w:pPr>
        <w:spacing w:line="300" w:lineRule="auto" w:before="0" w:after="0"/>
        <w:ind w:left="0" w:firstLine="0"/>
        <w:jc w:val="center"/>
      </w:pPr>
      <w:r>
        <w:rPr>
          <w:rFonts w:ascii="Times New Roman" w:hAnsi="Times New Roman" w:eastAsia="宋体"/>
          <w:b w:val="0"/>
          <w:sz w:val="21"/>
        </w:rPr>
        <w:t>图4-1 主题强度演化曲线</w:t>
      </w:r>
    </w:p>
    <w:p>
      <w:pPr>
        <w:pStyle w:val="Heading2"/>
        <w:spacing w:before="240" w:after="120"/>
        <w:jc w:val="left"/>
      </w:pPr>
      <w:r>
        <w:rPr>
          <w:rFonts w:ascii="Times New Roman" w:hAnsi="Times New Roman" w:eastAsia="黑体"/>
          <w:b/>
          <w:sz w:val="28"/>
        </w:rPr>
        <w:t>4.2 主题演化路径分析</w:t>
      </w:r>
    </w:p>
    <w:p>
      <w:pPr>
        <w:spacing w:line="300" w:lineRule="auto" w:before="0" w:after="0"/>
        <w:ind w:left="0" w:firstLine="480"/>
      </w:pPr>
      <w:r>
        <w:rPr>
          <w:rFonts w:ascii="Times New Roman" w:hAnsi="Times New Roman" w:eastAsia="宋体"/>
          <w:b w:val="0"/>
          <w:sz w:val="24"/>
        </w:rPr>
        <w:t>在相邻阶段主题相似度匹配基础上，共识别出14条主题演化路径。较具代表性的路径包括：“盆地 / 构造 / 断层 / 地层 → 盆地 / 断层 / 构造 / 区带 → 盆地 / 储层 / 断层 / 构造”，显示传统油气地质研究沿着构造解释与成藏区带识别不断深化；“储层 / 渗透率 / 孔隙 / 孔隙度 → 孔隙 / 二氧化碳 / 储层 / 页岩 → 孔隙 / 页岩 / 储层 / 渗透率”，说明储层表征逐步与页岩和二氧化碳利用/封存问题耦合；“地层 / 催化剂 / 二氧化碳 / 颗粒 → 催化剂 / 产品 / 构造 / 催化 → 催化剂 / 催化 / 活性 / 二氧化碳”，体现催化研究由反应现象和产品转向活性位、选择性与二氧化碳转化机理。</w:t>
      </w:r>
    </w:p>
    <w:p>
      <w:pPr>
        <w:spacing w:line="300" w:lineRule="auto" w:before="0" w:after="0"/>
        <w:ind w:left="0" w:firstLine="480"/>
      </w:pPr>
      <w:r>
        <w:rPr>
          <w:rFonts w:ascii="Times New Roman" w:hAnsi="Times New Roman" w:eastAsia="宋体"/>
          <w:b w:val="0"/>
          <w:sz w:val="24"/>
        </w:rPr>
        <w:t>还可以看到，不同路径的延续程度并不相同。部分早期主题如“钻井 / 水力压裂 / 地层 / 水平”“油田 / 钻井 / 地层 / 储层”在后续阶段未形成稳定长链，更多体现为阶段性工程热点；而盆地构造、储层表征、催化转化等主题则跨越三个阶段持续演进，说明这些议题构成了石油领域知识结构中更稳定的“主干主题”。此外，“装置 / 催化剂 / 汽油 / 产品 → 水合物 / 甲烷 / 沥青质 / 液相 → 水合物 / 二氧化碳 / 甲烷 / 储存”这一路径，也显示出传统加工与资源利用研究逐渐向低碳利用和储存问题转移。</w:t>
      </w:r>
    </w:p>
    <w:p>
      <w:pPr>
        <w:spacing w:line="300" w:lineRule="auto" w:before="0" w:after="0"/>
        <w:ind w:left="0" w:firstLine="480"/>
      </w:pPr>
      <w:r>
        <w:rPr>
          <w:rFonts w:ascii="Times New Roman" w:hAnsi="Times New Roman" w:eastAsia="宋体"/>
          <w:b w:val="0"/>
          <w:sz w:val="24"/>
        </w:rPr>
        <w:t>此外，2021-2025阶段还出现了“吸附 / 官能团 / 构造 / 降解”和“热解 / 产品 / 收率 / 生物质”等新增路径端点，说明面向环境治理与生物质转化的新兴议题开始进入石油领域研究视野。总体上，石油领域主题演化表现出延续性、细化性和新兴性并存的特征。</w:t>
      </w:r>
    </w:p>
    <w:p>
      <w:pPr>
        <w:pStyle w:val="Heading2"/>
        <w:spacing w:before="240" w:after="120"/>
        <w:jc w:val="left"/>
      </w:pPr>
      <w:r>
        <w:rPr>
          <w:rFonts w:ascii="Times New Roman" w:hAnsi="Times New Roman" w:eastAsia="黑体"/>
          <w:b/>
          <w:sz w:val="28"/>
        </w:rPr>
        <w:t>4.3 机构类型主题偏好比较</w:t>
      </w:r>
    </w:p>
    <w:p>
      <w:pPr>
        <w:spacing w:line="300" w:lineRule="auto" w:before="0" w:after="0"/>
        <w:ind w:left="0" w:firstLine="480"/>
      </w:pPr>
      <w:r>
        <w:rPr>
          <w:rFonts w:ascii="Times New Roman" w:hAnsi="Times New Roman" w:eastAsia="宋体"/>
          <w:b w:val="0"/>
          <w:sz w:val="24"/>
        </w:rPr>
        <w:t>类型比较结果显示，2011-2015年高校/科研院所占比最高的主题为“地层 / 催化剂 / 二氧化碳 / 颗粒”（0.2330），其后为“盆地 / 构造 / 断层 / 地层”（0.1252）和“储层 / 渗透率 / 孔隙 / 孔隙度”（0.1103）；企业研发中心则更集中于“油田 / 钻井 / 地层 / 储层”（0.2259）、“盆地 / 构造 / 断层 / 地层”（0.1339）和“钻井 / 水力压裂 / 地层 / 水平”（0.1236）。2016-2020年，高校/科研院所转向“催化剂 / 产品 / 构造 / 催化”（0.2382）、“水合物 / 甲烷 / 沥青质 / 液相”（0.1496）和“裂缝 / 地震 / 应力 / 速度”（0.1153）；企业研发中心则主要集中于“储层 / 注入 / 钻井 / 渗透率”（0.2235）、“储层 / 沉积 / 砂岩 / 砂体”（0.1657）和“盆地 / 断层 / 构造 / 区带”（0.1404）。到2021-2025年，高校/科研院所在“构造 / 离子 / 材料 / 稳定性”（0.1511）与“催化剂 / 催化 / 活性 / 二氧化碳”（0.1330）上保持更高占比，企业研发中心则集中于“盆地 / 储层 / 断层 / 构造”（0.2174）、“储层 / 地震 / 模拟 / 裂缝”（0.2116）和“孔隙 / 页岩 / 储层 / 渗透率”（0.1701）。</w:t>
      </w:r>
    </w:p>
    <w:p>
      <w:pPr>
        <w:spacing w:line="300" w:lineRule="auto" w:before="0" w:after="0"/>
        <w:ind w:left="0" w:firstLine="480"/>
      </w:pPr>
      <w:r>
        <w:rPr>
          <w:rFonts w:ascii="Times New Roman" w:hAnsi="Times New Roman" w:eastAsia="宋体"/>
          <w:b w:val="0"/>
          <w:sz w:val="24"/>
        </w:rPr>
        <w:t>这一差异表明，高校/科研院所更偏向知识探索和机理阐释主题，其优势主题往往与催化机理、材料稳定性、裂缝响应、水合物和二氧化碳转化等问题相关；企业研发中心则持续围绕储层评价、盆地构造、钻井开发和地震模拟等应用导向议题展开布局，主题结构与产业现场问题更为贴近。换言之，两类机构在石油领域形成了相对稳定的功能分工：前者更擅长知识前沿推进和机理阐释，后者更强调工程场景中的技术落地与问题求解。</w:t>
      </w:r>
    </w:p>
    <w:p>
      <w:pPr>
        <w:spacing w:line="300" w:lineRule="auto" w:before="0" w:after="0"/>
        <w:ind w:left="0" w:firstLine="480"/>
      </w:pPr>
      <w:r>
        <w:rPr>
          <w:rFonts w:ascii="Times New Roman" w:hAnsi="Times New Roman" w:eastAsia="宋体"/>
          <w:b w:val="0"/>
          <w:sz w:val="24"/>
        </w:rPr>
        <w:t>政府机构样本经母机构归并和规则修正后已扩展为28家，主要包括部委、地质调查机构和国家技术机构。从主题分布看，其2011-2015年主要集中于“盆地 / 构造 / 断层 / 地层”（0.2571）和“地层 / 催化剂 / 二氧化碳 / 颗粒”（0.1934），2016-2020年则更多聚焦“页岩 / 有机质 / 盆地 / 样品”（0.2189）和“孔隙 / 二氧化碳 / 储层 / 页岩”（0.1495），到2021-2025年又转向“盆地 / 储层 / 断层 / 构造”（0.2547）和“孔隙 / 页岩 / 储层 / 渗透率”（0.1528）。这说明政府机构的研究参与更偏向基础调查、资源评价和政策关联度较高的方向。考虑到其总体规模仍明显小于高校/科研院所与企业研发中心，且少数机构改革前后的历史署名仍保留为相邻标准名，因此其主题分布更适合作为补充观察，而不宜进行强度相当的正式比较。</w:t>
      </w:r>
    </w:p>
    <w:p>
      <w:pPr>
        <w:jc w:val="center"/>
      </w:pPr>
      <w:r>
        <w:drawing>
          <wp:inline xmlns:a="http://schemas.openxmlformats.org/drawingml/2006/main" xmlns:pic="http://schemas.openxmlformats.org/drawingml/2006/picture">
            <wp:extent cx="5400000" cy="1525615"/>
            <wp:docPr id="2" name="Picture 2"/>
            <wp:cNvGraphicFramePr>
              <a:graphicFrameLocks noChangeAspect="1"/>
            </wp:cNvGraphicFramePr>
            <a:graphic>
              <a:graphicData uri="http://schemas.openxmlformats.org/drawingml/2006/picture">
                <pic:pic>
                  <pic:nvPicPr>
                    <pic:cNvPr id="0" name="topic_distribution_heatmap_by_institution_type_dual_key_2011_2025.png"/>
                    <pic:cNvPicPr/>
                  </pic:nvPicPr>
                  <pic:blipFill>
                    <a:blip r:embed="rId20"/>
                    <a:stretch>
                      <a:fillRect/>
                    </a:stretch>
                  </pic:blipFill>
                  <pic:spPr>
                    <a:xfrm>
                      <a:off x="0" y="0"/>
                      <a:ext cx="5400000" cy="1525615"/>
                    </a:xfrm>
                    <a:prstGeom prst="rect"/>
                  </pic:spPr>
                </pic:pic>
              </a:graphicData>
            </a:graphic>
          </wp:inline>
        </w:drawing>
      </w:r>
    </w:p>
    <w:p>
      <w:pPr>
        <w:spacing w:line="300" w:lineRule="auto" w:before="0" w:after="0"/>
        <w:ind w:left="0" w:firstLine="0"/>
        <w:jc w:val="center"/>
      </w:pPr>
      <w:r>
        <w:rPr>
          <w:rFonts w:ascii="Times New Roman" w:hAnsi="Times New Roman" w:eastAsia="宋体"/>
          <w:b w:val="0"/>
          <w:sz w:val="21"/>
        </w:rPr>
        <w:t>图4-2 不同机构类型主题分布热力图</w:t>
      </w:r>
    </w:p>
    <w:p>
      <w:pPr>
        <w:pStyle w:val="Heading2"/>
        <w:spacing w:before="240" w:after="120"/>
        <w:jc w:val="left"/>
      </w:pPr>
      <w:r>
        <w:rPr>
          <w:rFonts w:ascii="Times New Roman" w:hAnsi="Times New Roman" w:eastAsia="黑体"/>
          <w:b/>
          <w:sz w:val="28"/>
        </w:rPr>
        <w:t>4.4 机构层级主题偏好比较</w:t>
      </w:r>
    </w:p>
    <w:p>
      <w:pPr>
        <w:spacing w:line="300" w:lineRule="auto" w:before="0" w:after="0"/>
        <w:ind w:left="0" w:firstLine="480"/>
      </w:pPr>
      <w:r>
        <w:rPr>
          <w:rFonts w:ascii="Times New Roman" w:hAnsi="Times New Roman" w:eastAsia="宋体"/>
          <w:b w:val="0"/>
          <w:sz w:val="24"/>
        </w:rPr>
        <w:t>从机构层级看，2011-2015年头部引领型机构的高占比主题为“盆地 / 构造 / 断层 / 地层”（0.1582）、“钻井 / 水力压裂 / 地层 / 水平”（0.1301）和“储层 / 渗透率 / 孔隙 / 孔隙度”（0.1283）；中坚创新型则高度集中于“地层 / 催化剂 / 二氧化碳 / 颗粒”（0.5108），显示出明显的单一优势主题集聚；特色细分型主要分布在“盆地 / 构造 / 断层 / 地层”（0.1680）和“地层 / 催化剂 / 二氧化碳 / 颗粒”（0.1334）等主题。2016-2020年，头部引领型更多覆盖“储层 / 注入 / 钻井 / 渗透率”“裂缝 / 地震 / 应力 / 速度”和“催化剂 / 产品 / 构造 / 催化”三类主题，中坚创新型对“催化剂 / 产品 / 构造 / 催化”的集中度高达0.3542，特色细分型也在该主题上形成0.1737的明显偏好。到2021-2025年，头部引领型机构更偏向“储层 / 地震 / 模拟 / 裂缝”“孔隙 / 页岩 / 储层 / 渗透率”和“盆地 / 储层 / 断层 / 构造”，而中坚创新型与特色细分型都明显向“构造 / 离子 / 材料 / 稳定性”“催化剂 / 催化 / 活性 / 二氧化碳”聚集。</w:t>
      </w:r>
    </w:p>
    <w:p>
      <w:pPr>
        <w:spacing w:line="300" w:lineRule="auto" w:before="0" w:after="0"/>
        <w:ind w:left="0" w:firstLine="480"/>
      </w:pPr>
      <w:r>
        <w:rPr>
          <w:rFonts w:ascii="Times New Roman" w:hAnsi="Times New Roman" w:eastAsia="宋体"/>
          <w:b w:val="0"/>
          <w:sz w:val="24"/>
        </w:rPr>
        <w:t>总体而言，机构层级越高，主题覆盖通常越广，更容易同时连接地质解释、工程预测与低碳转型相关议题；而中坚创新型和特色细分型机构则更依赖少数高占比主题形成差异化优势。头部引领型机构的优势在于“多主题并行布局”，中坚创新型机构的优势在于“关键主题高强度突破”，特色细分型机构则更像围绕少数技术方向长期深耕的“专长型”主体。这说明影响力层级不仅是结果性排名，也可视为主题布局广度和资源整合能力的一个侧面反映。</w:t>
      </w:r>
    </w:p>
    <w:p>
      <w:pPr>
        <w:jc w:val="center"/>
      </w:pPr>
      <w:r>
        <w:drawing>
          <wp:inline xmlns:a="http://schemas.openxmlformats.org/drawingml/2006/main" xmlns:pic="http://schemas.openxmlformats.org/drawingml/2006/picture">
            <wp:extent cx="5400000" cy="1525999"/>
            <wp:docPr id="3" name="Picture 3"/>
            <wp:cNvGraphicFramePr>
              <a:graphicFrameLocks noChangeAspect="1"/>
            </wp:cNvGraphicFramePr>
            <a:graphic>
              <a:graphicData uri="http://schemas.openxmlformats.org/drawingml/2006/picture">
                <pic:pic>
                  <pic:nvPicPr>
                    <pic:cNvPr id="0" name="topic_distribution_heatmap_by_institution_level_dual_key_2011_2025.png"/>
                    <pic:cNvPicPr/>
                  </pic:nvPicPr>
                  <pic:blipFill>
                    <a:blip r:embed="rId21"/>
                    <a:stretch>
                      <a:fillRect/>
                    </a:stretch>
                  </pic:blipFill>
                  <pic:spPr>
                    <a:xfrm>
                      <a:off x="0" y="0"/>
                      <a:ext cx="5400000" cy="1525999"/>
                    </a:xfrm>
                    <a:prstGeom prst="rect"/>
                  </pic:spPr>
                </pic:pic>
              </a:graphicData>
            </a:graphic>
          </wp:inline>
        </w:drawing>
      </w:r>
    </w:p>
    <w:p>
      <w:pPr>
        <w:spacing w:line="300" w:lineRule="auto" w:before="0" w:after="0"/>
        <w:ind w:left="0" w:firstLine="0"/>
        <w:jc w:val="center"/>
      </w:pPr>
      <w:r>
        <w:rPr>
          <w:rFonts w:ascii="Times New Roman" w:hAnsi="Times New Roman" w:eastAsia="宋体"/>
          <w:b w:val="0"/>
          <w:sz w:val="21"/>
        </w:rPr>
        <w:t>图4-3 不同机构层级主题分布热力图</w:t>
      </w:r>
    </w:p>
    <w:p>
      <w:pPr>
        <w:sectPr>
          <w:headerReference w:type="default" r:id="rId17"/>
          <w:footerReference w:type="default" r:id="rId18"/>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5 讨论与建议</w:t>
      </w:r>
    </w:p>
    <w:p>
      <w:pPr>
        <w:pStyle w:val="Heading2"/>
        <w:spacing w:before="240" w:after="120"/>
        <w:jc w:val="left"/>
      </w:pPr>
      <w:r>
        <w:rPr>
          <w:rFonts w:ascii="Times New Roman" w:hAnsi="Times New Roman" w:eastAsia="黑体"/>
          <w:b/>
          <w:sz w:val="28"/>
        </w:rPr>
        <w:t>5.1 机构影响力与主题布局的耦合关系</w:t>
      </w:r>
    </w:p>
    <w:p>
      <w:pPr>
        <w:spacing w:line="300" w:lineRule="auto" w:before="0" w:after="0"/>
        <w:ind w:left="0" w:firstLine="480"/>
      </w:pPr>
      <w:r>
        <w:rPr>
          <w:rFonts w:ascii="Times New Roman" w:hAnsi="Times New Roman" w:eastAsia="宋体"/>
          <w:b w:val="0"/>
          <w:sz w:val="24"/>
        </w:rPr>
        <w:t>综合前文结果可以发现，石油领域机构影响力并非简单由规模决定，而是由规模、质量、合作和主题布局共同塑造。头部机构往往既拥有较强的科研产出能力，也能覆盖更多前沿主题和国际合作网络；中坚机构更容易在单一维度上形成突破；特色机构则更多通过细分技术路线保持存在感。换言之，机构影响力评价结果与主题演化结果之间存在较强的结构性对应关系。</w:t>
      </w:r>
    </w:p>
    <w:p>
      <w:pPr>
        <w:spacing w:line="300" w:lineRule="auto" w:before="0" w:after="0"/>
        <w:ind w:left="0" w:firstLine="480"/>
      </w:pPr>
      <w:r>
        <w:rPr>
          <w:rFonts w:ascii="Times New Roman" w:hAnsi="Times New Roman" w:eastAsia="宋体"/>
          <w:b w:val="0"/>
          <w:sz w:val="24"/>
        </w:rPr>
        <w:t>这种耦合关系在不同类型机构上表现得尤为明显。以中国科学院、中国石油大学（北京）为代表的头部高校和科研院所，既处于综合评价前列，又在催化、储层、构造和材料等多个主题上保持持续布局；以中国石油化工股份有限公司、中国石油天然气股份有限公司为代表的企业主体，则通过与开发场景高度相关的工程型议题进入高位。由此可见，机构影响力不是脱离主题结构而存在的抽象名次，而是其在关键问题域中持续生产、扩散和组织知识能力的结果。</w:t>
      </w:r>
    </w:p>
    <w:p>
      <w:pPr>
        <w:spacing w:line="300" w:lineRule="auto" w:before="0" w:after="0"/>
        <w:ind w:left="0" w:firstLine="480"/>
      </w:pPr>
      <w:r>
        <w:rPr>
          <w:rFonts w:ascii="Times New Roman" w:hAnsi="Times New Roman" w:eastAsia="宋体"/>
          <w:b w:val="0"/>
          <w:sz w:val="24"/>
        </w:rPr>
        <w:t>从更一般的意义上说，主题布局可以被视为机构影响力形成机制的一部分。主题过于单一的机构虽然可能在某一阶段迅速形成优势，但其综合评价更容易受单一维度波动影响；而能够在传统油气地质、工程开发、低碳利用和材料催化等多个方向保持关联的机构，更容易形成稳定而可持续的综合优势。</w:t>
      </w:r>
    </w:p>
    <w:p>
      <w:pPr>
        <w:pStyle w:val="Heading2"/>
        <w:spacing w:before="240" w:after="120"/>
        <w:jc w:val="left"/>
      </w:pPr>
      <w:r>
        <w:rPr>
          <w:rFonts w:ascii="Times New Roman" w:hAnsi="Times New Roman" w:eastAsia="黑体"/>
          <w:b/>
          <w:sz w:val="28"/>
        </w:rPr>
        <w:t>5.2 对高校/科研院所的建议</w:t>
      </w:r>
    </w:p>
    <w:p>
      <w:pPr>
        <w:spacing w:line="300" w:lineRule="auto" w:before="0" w:after="0"/>
        <w:ind w:left="0" w:firstLine="480"/>
      </w:pPr>
      <w:r>
        <w:rPr>
          <w:rFonts w:ascii="Times New Roman" w:hAnsi="Times New Roman" w:eastAsia="宋体"/>
          <w:b w:val="0"/>
          <w:sz w:val="24"/>
        </w:rPr>
        <w:t>高校/科研院所应继续保持在储层精细表征、低碳利用、催化机理等知识探索型主题上的优势，同时加强与企业场景的深度耦合，推动基础研究问题向工程可验证问题延伸。对于已进入头部引领型的机构，应重点提升跨机构协作效率和国际合作深度，避免“高产出但国际扩散不足”的结构性短板；对于中坚创新型机构，则应在已有优势主题上形成更清晰的学术品牌，并围绕少数标志性方向持续积累高影响成果。</w:t>
      </w:r>
    </w:p>
    <w:p>
      <w:pPr>
        <w:spacing w:line="300" w:lineRule="auto" w:before="0" w:after="0"/>
        <w:ind w:left="0" w:firstLine="480"/>
      </w:pPr>
      <w:r>
        <w:rPr>
          <w:rFonts w:ascii="Times New Roman" w:hAnsi="Times New Roman" w:eastAsia="宋体"/>
          <w:b w:val="0"/>
          <w:sz w:val="24"/>
        </w:rPr>
        <w:t>此外，高校和科研院所还应重视主题布局的梯度配置。一方面，要维持传统优势主题的连续性，防止评价体系对短期热点的过度追逐；另一方面，也要在二氧化碳利用与储存、先进催化材料、复杂储层智能预测等前沿方向尽早嵌入，从而在下一阶段主题转移中保持主动性。</w:t>
      </w:r>
    </w:p>
    <w:p>
      <w:pPr>
        <w:pStyle w:val="Heading2"/>
        <w:spacing w:before="240" w:after="120"/>
        <w:jc w:val="left"/>
      </w:pPr>
      <w:r>
        <w:rPr>
          <w:rFonts w:ascii="Times New Roman" w:hAnsi="Times New Roman" w:eastAsia="黑体"/>
          <w:b/>
          <w:sz w:val="28"/>
        </w:rPr>
        <w:t>5.3 对企业研发中心的建议</w:t>
      </w:r>
    </w:p>
    <w:p>
      <w:pPr>
        <w:spacing w:line="300" w:lineRule="auto" w:before="0" w:after="0"/>
        <w:ind w:left="0" w:firstLine="480"/>
      </w:pPr>
      <w:r>
        <w:rPr>
          <w:rFonts w:ascii="Times New Roman" w:hAnsi="Times New Roman" w:eastAsia="宋体"/>
          <w:b w:val="0"/>
          <w:sz w:val="24"/>
        </w:rPr>
        <w:t>企业研发中心在油田开发、储层预测与工程应用类主题上已形成明显优势，但在高影响成果产出和国际合作方面仍有提升空间。建议企业主体在保持问题导向优势的同时，进一步布局催化材料、二氧化碳利用与封存等前沿议题，强化与高校、科研院所的协同研发机制，从而提升研究成果的学术可见度与长期影响力。</w:t>
      </w:r>
    </w:p>
    <w:p>
      <w:pPr>
        <w:spacing w:line="300" w:lineRule="auto" w:before="0" w:after="0"/>
        <w:ind w:left="0" w:firstLine="480"/>
      </w:pPr>
      <w:r>
        <w:rPr>
          <w:rFonts w:ascii="Times New Roman" w:hAnsi="Times New Roman" w:eastAsia="宋体"/>
          <w:b w:val="0"/>
          <w:sz w:val="24"/>
        </w:rPr>
        <w:t>对于已进入Top100的企业主体，更值得关注的是如何把工程问题转化为可发表、可传播、可积累的高质量研究议题。企业若仅停留在技术应用层面，容易在综合评价中受限于学术扩散不足；若能围绕关键工艺、复杂储层、低碳开发和材料性能等问题构建稳定论文产出链条，则更有可能把工程优势转化为长期学术影响力。</w:t>
      </w:r>
    </w:p>
    <w:p>
      <w:pPr>
        <w:pStyle w:val="Heading2"/>
        <w:spacing w:before="240" w:after="120"/>
        <w:jc w:val="left"/>
      </w:pPr>
      <w:r>
        <w:rPr>
          <w:rFonts w:ascii="Times New Roman" w:hAnsi="Times New Roman" w:eastAsia="黑体"/>
          <w:b/>
          <w:sz w:val="28"/>
        </w:rPr>
        <w:t>5.4 对管理部门的建议</w:t>
      </w:r>
    </w:p>
    <w:p>
      <w:pPr>
        <w:spacing w:line="300" w:lineRule="auto" w:before="0" w:after="0"/>
        <w:ind w:left="0" w:firstLine="480"/>
      </w:pPr>
      <w:r>
        <w:rPr>
          <w:rFonts w:ascii="Times New Roman" w:hAnsi="Times New Roman" w:eastAsia="宋体"/>
          <w:b w:val="0"/>
          <w:sz w:val="24"/>
        </w:rPr>
        <w:t>管理部门应推动高质量文献数据、机构标准名和主题监测结果的常态化归集，建立面向重点能源技术方向的滚动监测机制。对于跨机构协同创新，可考虑围绕储层预测、低碳利用和关键催化材料等主题建立联合攻关网络，促进基础研究资源和产业场景资源的有效对接。</w:t>
      </w:r>
    </w:p>
    <w:p>
      <w:pPr>
        <w:spacing w:line="300" w:lineRule="auto" w:before="0" w:after="0"/>
        <w:ind w:left="0" w:firstLine="480"/>
      </w:pPr>
      <w:r>
        <w:rPr>
          <w:rFonts w:ascii="Times New Roman" w:hAnsi="Times New Roman" w:eastAsia="宋体"/>
          <w:b w:val="0"/>
          <w:sz w:val="24"/>
        </w:rPr>
        <w:t>从治理工具角度看，机构评价结果可用于识别“谁是头部主体”，而主题演化结果则可用于识别“未来重点往哪里走”。因此，管理部门在资源配置时不宜只看传统发文规模，也不宜只看单年热点，而应将机构综合能力、主题迁移方向和合作网络结构结合起来，形成面向重点技术方向的动态支持机制。对于政府机构和调查机构，则更适合作为基础调查、标准支撑和前瞻监测节点纳入协同体系。</w:t>
      </w:r>
    </w:p>
    <w:p>
      <w:pPr>
        <w:pStyle w:val="Heading2"/>
        <w:spacing w:before="240" w:after="120"/>
        <w:jc w:val="left"/>
      </w:pPr>
      <w:r>
        <w:rPr>
          <w:rFonts w:ascii="Times New Roman" w:hAnsi="Times New Roman" w:eastAsia="黑体"/>
          <w:b/>
          <w:sz w:val="28"/>
        </w:rPr>
        <w:t>5.5 研究局限</w:t>
      </w:r>
    </w:p>
    <w:p>
      <w:pPr>
        <w:spacing w:line="300" w:lineRule="auto" w:before="0" w:after="0"/>
        <w:ind w:left="0" w:firstLine="480"/>
      </w:pPr>
      <w:r>
        <w:rPr>
          <w:rFonts w:ascii="Times New Roman" w:hAnsi="Times New Roman" w:eastAsia="宋体"/>
          <w:b w:val="0"/>
          <w:sz w:val="24"/>
        </w:rPr>
        <w:t>本文仍存在三点局限。第一，机构类型识别虽已显著改善，但仍有121个机构暂列“其他”，说明少量跨国联盟、中心类组织及边界模糊机构的属性辨识仍需进一步细化。第二，由于缺乏可追溯的专家评分数据，本文未将德尔菲法纳入实际赋权流程，而是采用完全可复现的组合客观赋权方案。第三，政府机构识别虽已补入部委、调查机构和国家技术机构，并对可识别子单元完成母机构归并，但少数存在机构改革沿革关系的政府部门仍按历史署名保留为相邻标准名，后续可结合组织连续性进一步统一口径。除此之外，还应注意传统书目计量指标对短期活跃度变化较为敏感，既有研究已提醒，若缺乏中长期视角，短期计量结果可能低估先导性贡献的真实价值</w:t>
      </w:r>
      <w:r>
        <w:rPr>
          <w:rFonts w:ascii="Times New Roman" w:hAnsi="Times New Roman" w:eastAsia="Times New Roman"/>
          <w:b w:val="0"/>
          <w:sz w:val="21"/>
          <w:vertAlign w:val="superscript"/>
        </w:rPr>
        <w:t>[17]</w:t>
      </w:r>
      <w:r>
        <w:rPr>
          <w:rFonts w:ascii="Times New Roman" w:hAnsi="Times New Roman" w:eastAsia="宋体"/>
          <w:b w:val="0"/>
          <w:sz w:val="24"/>
        </w:rPr>
        <w:t>。</w:t>
      </w:r>
    </w:p>
    <w:p>
      <w:pPr>
        <w:sectPr>
          <w:headerReference w:type="default" r:id="rId22"/>
          <w:footerReference w:type="default" r:id="rId23"/>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6 结论</w:t>
      </w:r>
    </w:p>
    <w:p>
      <w:pPr>
        <w:spacing w:line="300" w:lineRule="auto" w:before="0" w:after="0"/>
        <w:ind w:left="0" w:firstLine="480"/>
      </w:pPr>
      <w:r>
        <w:rPr>
          <w:rFonts w:ascii="Times New Roman" w:hAnsi="Times New Roman" w:eastAsia="宋体"/>
          <w:b w:val="0"/>
          <w:sz w:val="24"/>
        </w:rPr>
        <w:t>本文基于109本高质量期刊石油领域文献数据，构建了覆盖2011-2025年的311321篇双主键正式语料，并在7895个有效标准化机构基础上完成了从机构标准化、TOPSIS综合评价到主题演化比较的一体化分析。研究表明，中国科学院、中国石油大学（北京）等机构在综合评价中位居前列，头部格局体现出大型科研院所、行业特色高校与石油企业主体并存的结构特征。</w:t>
      </w:r>
    </w:p>
    <w:p>
      <w:pPr>
        <w:spacing w:line="300" w:lineRule="auto" w:before="0" w:after="0"/>
        <w:ind w:left="0" w:firstLine="480"/>
      </w:pPr>
      <w:r>
        <w:rPr>
          <w:rFonts w:ascii="Times New Roman" w:hAnsi="Times New Roman" w:eastAsia="宋体"/>
          <w:b w:val="0"/>
          <w:sz w:val="24"/>
        </w:rPr>
        <w:t>主题演化结果显示，103768篇建模文献在三个阶段分别形成12、10和11个最优主题，并识别出14条主题演化路径。石油领域研究热点总体呈现由盆地构造、油田开发和传统催化转化，逐步转向储层预测与模拟、二氧化碳利用与储存、催化活性和材料稳定性等方向的趋势。高校/科研院所在知识探索型主题上保持更强优势，企业研发中心则更集中于储层评价、盆地构造和工程开发类议题，机构层级越高的样本越容易表现出更宽的主题覆盖度。</w:t>
      </w:r>
    </w:p>
    <w:p>
      <w:pPr>
        <w:spacing w:line="300" w:lineRule="auto" w:before="0" w:after="0"/>
        <w:ind w:left="0" w:firstLine="480"/>
      </w:pPr>
      <w:r>
        <w:rPr>
          <w:rFonts w:ascii="Times New Roman" w:hAnsi="Times New Roman" w:eastAsia="宋体"/>
          <w:b w:val="0"/>
          <w:sz w:val="24"/>
        </w:rPr>
        <w:t>总体而言，本文为高质量文献驱动下的全球石油领域研究机构评价提供了可复现的技术路线，也为后续机构竞争力诊断、主题监测和资源配置优化提供了数据基础。</w:t>
      </w:r>
    </w:p>
    <w:p>
      <w:pPr>
        <w:sectPr>
          <w:headerReference w:type="default" r:id="rId24"/>
          <w:footerReference w:type="default" r:id="rId25"/>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参考文献</w:t>
      </w:r>
    </w:p>
    <w:p>
      <w:pPr>
        <w:spacing w:line="300" w:lineRule="auto" w:before="0" w:after="0"/>
        <w:ind w:left="480" w:hanging="480"/>
      </w:pPr>
      <w:r>
        <w:rPr>
          <w:rFonts w:ascii="Times New Roman" w:hAnsi="Times New Roman" w:eastAsia="宋体"/>
          <w:b w:val="0"/>
          <w:sz w:val="24"/>
        </w:rPr>
        <w:t>[1] Schlögl C, Stock W G, Reichmann G. Scientometric evaluation of research institutions: Identifying the appropriate dimensions and attributes for assessment[J]. Journal of Information Science Theory and Practice, 2025, 13(2): 49-68.</w:t>
      </w:r>
    </w:p>
    <w:p>
      <w:pPr>
        <w:spacing w:line="300" w:lineRule="auto" w:before="0" w:after="0"/>
        <w:ind w:left="480" w:hanging="480"/>
      </w:pPr>
      <w:r>
        <w:rPr>
          <w:rFonts w:ascii="Times New Roman" w:hAnsi="Times New Roman" w:eastAsia="宋体"/>
          <w:b w:val="0"/>
          <w:sz w:val="24"/>
        </w:rPr>
        <w:t>[2] Deng Z, Duan Z, Zhang Z, et al. An evaluation model for authors' academic influence based on multi-source heterogeneous database in bilingual environment[J]. Journal of Physics: Conference Series, 2020, 1575(1): 012147.</w:t>
      </w:r>
    </w:p>
    <w:p>
      <w:pPr>
        <w:spacing w:line="300" w:lineRule="auto" w:before="0" w:after="0"/>
        <w:ind w:left="480" w:hanging="480"/>
      </w:pPr>
      <w:r>
        <w:rPr>
          <w:rFonts w:ascii="Times New Roman" w:hAnsi="Times New Roman" w:eastAsia="宋体"/>
          <w:b w:val="0"/>
          <w:sz w:val="24"/>
        </w:rPr>
        <w:t>[3] 林子婕, 唐星龙. 互动视角下学者学术影响力多维评价模型研究[J]. 情报理论与实践, 2024, 47(9): 88-98.</w:t>
      </w:r>
    </w:p>
    <w:p>
      <w:pPr>
        <w:spacing w:line="300" w:lineRule="auto" w:before="0" w:after="0"/>
        <w:ind w:left="480" w:hanging="480"/>
      </w:pPr>
      <w:r>
        <w:rPr>
          <w:rFonts w:ascii="Times New Roman" w:hAnsi="Times New Roman" w:eastAsia="宋体"/>
          <w:b w:val="0"/>
          <w:sz w:val="24"/>
        </w:rPr>
        <w:t>[4] 张璜, 高睿. 主题性视域下中国设计学学者学术影响力的评价立场: 基于LDA模型的实证研究[J]. 上海视觉, 2024(4): 136-143.</w:t>
      </w:r>
    </w:p>
    <w:p>
      <w:pPr>
        <w:spacing w:line="300" w:lineRule="auto" w:before="0" w:after="0"/>
        <w:ind w:left="480" w:hanging="480"/>
      </w:pPr>
      <w:r>
        <w:rPr>
          <w:rFonts w:ascii="Times New Roman" w:hAnsi="Times New Roman" w:eastAsia="宋体"/>
          <w:b w:val="0"/>
          <w:sz w:val="24"/>
        </w:rPr>
        <w:t>[5] 王宏宇, 石锴文, 王晓光, 等. 基于词向量网络的科研主题演化分析: 语义漂移过程的揭示[J]. 情报学报, 2025, 44(10): 1287-1299.</w:t>
      </w:r>
    </w:p>
    <w:p>
      <w:pPr>
        <w:spacing w:line="300" w:lineRule="auto" w:before="0" w:after="0"/>
        <w:ind w:left="480" w:hanging="480"/>
      </w:pPr>
      <w:r>
        <w:rPr>
          <w:rFonts w:ascii="Times New Roman" w:hAnsi="Times New Roman" w:eastAsia="宋体"/>
          <w:b w:val="0"/>
          <w:sz w:val="24"/>
        </w:rPr>
        <w:t>[6] 李小燕, 郑军卫, 田欣, 等. 中文科技期刊影响力分析与提升路径: 以石油天然气工程类期刊为例[J]. 中国科技期刊研究, 2016, 27(11): 1221-1227.</w:t>
      </w:r>
    </w:p>
    <w:p>
      <w:pPr>
        <w:spacing w:line="300" w:lineRule="auto" w:before="0" w:after="0"/>
        <w:ind w:left="480" w:hanging="480"/>
      </w:pPr>
      <w:r>
        <w:rPr>
          <w:rFonts w:ascii="Times New Roman" w:hAnsi="Times New Roman" w:eastAsia="宋体"/>
          <w:b w:val="0"/>
          <w:sz w:val="24"/>
        </w:rPr>
        <w:t>[7] Ghosh A, Das S. Research productivity of University of Petroleum and Energy Studies during 2004-2018: A scientometric analysis[J]. Library Philosophy and Practice, 2020: 1-10.</w:t>
      </w:r>
    </w:p>
    <w:p>
      <w:pPr>
        <w:spacing w:line="300" w:lineRule="auto" w:before="0" w:after="0"/>
        <w:ind w:left="480" w:hanging="480"/>
      </w:pPr>
      <w:r>
        <w:rPr>
          <w:rFonts w:ascii="Times New Roman" w:hAnsi="Times New Roman" w:eastAsia="宋体"/>
          <w:b w:val="0"/>
          <w:sz w:val="24"/>
        </w:rPr>
        <w:t>[8] J B, T B. Mapping the research productivity in University of Petroleum and Energy Studies: A scientometric approach[J]. Library Philosophy and Practice, 2019.</w:t>
      </w:r>
    </w:p>
    <w:p>
      <w:pPr>
        <w:spacing w:line="300" w:lineRule="auto" w:before="0" w:after="0"/>
        <w:ind w:left="480" w:hanging="480"/>
      </w:pPr>
      <w:r>
        <w:rPr>
          <w:rFonts w:ascii="Times New Roman" w:hAnsi="Times New Roman" w:eastAsia="宋体"/>
          <w:b w:val="0"/>
          <w:sz w:val="24"/>
        </w:rPr>
        <w:t>[9] Hwang C L, Yoon K. Multiple Attribute Decision Making: Methods and Applications[M]. Berlin: Springer, 1981.</w:t>
      </w:r>
    </w:p>
    <w:p>
      <w:pPr>
        <w:spacing w:line="300" w:lineRule="auto" w:before="0" w:after="0"/>
        <w:ind w:left="480" w:hanging="480"/>
      </w:pPr>
      <w:r>
        <w:rPr>
          <w:rFonts w:ascii="Times New Roman" w:hAnsi="Times New Roman" w:eastAsia="宋体"/>
          <w:b w:val="0"/>
          <w:sz w:val="24"/>
        </w:rPr>
        <w:t>[10] Shannon C E. A mathematical theory of communication[J]. Bell System Technical Journal, 1948, 27(3): 379-423.</w:t>
      </w:r>
    </w:p>
    <w:p>
      <w:pPr>
        <w:spacing w:line="300" w:lineRule="auto" w:before="0" w:after="0"/>
        <w:ind w:left="480" w:hanging="480"/>
      </w:pPr>
      <w:r>
        <w:rPr>
          <w:rFonts w:ascii="Times New Roman" w:hAnsi="Times New Roman" w:eastAsia="宋体"/>
          <w:b w:val="0"/>
          <w:sz w:val="24"/>
        </w:rPr>
        <w:t>[11] Diakoulaki D, Mavrotas G, Papayannakis L. Determining objective weights in multiple criteria problems: The CRITIC method[J]. Computers &amp; Operations Research, 1995, 22(7): 763-770.</w:t>
      </w:r>
    </w:p>
    <w:p>
      <w:pPr>
        <w:spacing w:line="300" w:lineRule="auto" w:before="0" w:after="0"/>
        <w:ind w:left="480" w:hanging="480"/>
      </w:pPr>
      <w:r>
        <w:rPr>
          <w:rFonts w:ascii="Times New Roman" w:hAnsi="Times New Roman" w:eastAsia="宋体"/>
          <w:b w:val="0"/>
          <w:sz w:val="24"/>
        </w:rPr>
        <w:t>[12] Blei D M, Ng A Y, Jordan M I. Latent Dirichlet allocation[J]. Journal of Machine Learning Research, 2003, 3: 993-1022.</w:t>
      </w:r>
    </w:p>
    <w:p>
      <w:pPr>
        <w:spacing w:line="300" w:lineRule="auto" w:before="0" w:after="0"/>
        <w:ind w:left="480" w:hanging="480"/>
      </w:pPr>
      <w:r>
        <w:rPr>
          <w:rFonts w:ascii="Times New Roman" w:hAnsi="Times New Roman" w:eastAsia="宋体"/>
          <w:b w:val="0"/>
          <w:sz w:val="24"/>
        </w:rPr>
        <w:t>[13] Halevi G, Moed H, Bar-Ilan J. Suitability of Google Scholar as a source of scientific information and as a source of data for scientific evaluation: Review of the literature[J]. Journal of Informetrics, 2017, 11(3): 823-834.</w:t>
      </w:r>
    </w:p>
    <w:p>
      <w:pPr>
        <w:spacing w:line="300" w:lineRule="auto" w:before="0" w:after="0"/>
        <w:ind w:left="480" w:hanging="480"/>
      </w:pPr>
      <w:r>
        <w:rPr>
          <w:rFonts w:ascii="Times New Roman" w:hAnsi="Times New Roman" w:eastAsia="宋体"/>
          <w:b w:val="0"/>
          <w:sz w:val="24"/>
        </w:rPr>
        <w:t>[14] Gusenbauer M. Beyond Google Scholar, Scopus, and Web of Science: An evaluation of the backward and forward citation coverage of 59 databases' citation indices[J]. Research Synthesis Methods, 2024, 15(5): 802-817.</w:t>
      </w:r>
    </w:p>
    <w:p>
      <w:pPr>
        <w:spacing w:line="300" w:lineRule="auto" w:before="0" w:after="0"/>
        <w:ind w:left="480" w:hanging="480"/>
      </w:pPr>
      <w:r>
        <w:rPr>
          <w:rFonts w:ascii="Times New Roman" w:hAnsi="Times New Roman" w:eastAsia="宋体"/>
          <w:b w:val="0"/>
          <w:sz w:val="24"/>
        </w:rPr>
        <w:t>[15] Zhao R, Wang X, Liu Z, et al. Research on the impact evaluation of academic journals based on altmetrics and citation indicators[J]. Proceedings of the Association for Information Science and Technology, 2019, 56(1): 336-345.</w:t>
      </w:r>
    </w:p>
    <w:p>
      <w:pPr>
        <w:spacing w:line="300" w:lineRule="auto" w:before="0" w:after="0"/>
        <w:ind w:left="480" w:hanging="480"/>
      </w:pPr>
      <w:r>
        <w:rPr>
          <w:rFonts w:ascii="Times New Roman" w:hAnsi="Times New Roman" w:eastAsia="宋体"/>
          <w:b w:val="0"/>
          <w:sz w:val="24"/>
        </w:rPr>
        <w:t>[16] Pratama I B, Wijaya A, Hermawan B, et al. Evaluating academic performance and scholarly impact of rectors of Indonesia's public universities: A dual bibliometric and scholastic analysis[J]. Cogent Education, 2024, 11(1).</w:t>
      </w:r>
    </w:p>
    <w:p>
      <w:pPr>
        <w:spacing w:line="300" w:lineRule="auto" w:before="0" w:after="0"/>
        <w:ind w:left="480" w:hanging="480"/>
      </w:pPr>
      <w:r>
        <w:rPr>
          <w:rFonts w:ascii="Times New Roman" w:hAnsi="Times New Roman" w:eastAsia="宋体"/>
          <w:b w:val="0"/>
          <w:sz w:val="24"/>
        </w:rPr>
        <w:t>[17] Xiao-Jun H, Jian-Hong L, Ronald R. A warning for Chinese academic evaluation systems: Short-term bibliometric measures misjudge the value of pioneering contributions[J]. Journal of Zhejiang University Science B, 2018, 19(1): 1-5.</w:t>
      </w:r>
    </w:p>
    <w:p>
      <w:pPr>
        <w:spacing w:line="300" w:lineRule="auto" w:before="0" w:after="0"/>
        <w:ind w:left="480" w:hanging="480"/>
      </w:pPr>
      <w:r>
        <w:rPr>
          <w:rFonts w:ascii="Times New Roman" w:hAnsi="Times New Roman" w:eastAsia="宋体"/>
          <w:b w:val="0"/>
          <w:sz w:val="24"/>
        </w:rPr>
        <w:t>[18] Qosimjonov S A. Scientometric indicators as tools for evaluating innovation and research productivity[J]. Technical Science Integrated Research, 2025, 1(3): 24-29.</w:t>
      </w:r>
    </w:p>
    <w:p>
      <w:pPr>
        <w:sectPr>
          <w:headerReference w:type="default" r:id="rId26"/>
          <w:footerReference w:type="default" r:id="rId27"/>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致谢</w:t>
      </w:r>
    </w:p>
    <w:p>
      <w:pPr>
        <w:spacing w:line="300" w:lineRule="auto" w:before="0" w:after="0"/>
        <w:ind w:left="0" w:firstLine="480"/>
      </w:pPr>
      <w:r>
        <w:rPr>
          <w:rFonts w:ascii="Times New Roman" w:hAnsi="Times New Roman" w:eastAsia="宋体"/>
          <w:b w:val="0"/>
          <w:sz w:val="24"/>
        </w:rPr>
        <w:t>感谢导师在选题、方法与写作过程中的指导，感谢学院提供的研究条件与毕业论文组织支持。本文当前版本为基于最新重建数据链生成的论文初稿，后续仍将结合参考文献细化、正文扩写、图表编号校核和版式套版结果继续完善。</w:t>
      </w:r>
    </w:p>
    <w:sectPr w:rsidR="00FC693F" w:rsidRPr="0006063C" w:rsidSect="00034616">
      <w:headerReference w:type="default" r:id="rId28"/>
      <w:footerReference w:type="default" r:id="rId29"/>
      <w:pgSz w:w="11906" w:h="16838"/>
      <w:pgMar w:top="1701" w:right="1134" w:bottom="1134" w:left="1701"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中国石油大学（北京）本科毕业设计(论文)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1 绪论</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2 数据来源与研究方法</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3 全球石油领域研究机构学术影响力评价结果</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4 研究主题演化与机构画像分析</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5 讨论与建议</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6 结论</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中国石油大学（北京）本科毕业设计(论文)</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中国石油大学（北京）本科毕业设计(论文)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