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k5eqbqfutqz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 Edge —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wuxgcdfvp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 App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be delivered as a </w:t>
      </w:r>
      <w:r w:rsidDel="00000000" w:rsidR="00000000" w:rsidRPr="00000000">
        <w:rPr>
          <w:b w:val="1"/>
          <w:bCs w:val="1"/>
          <w:rtl w:val="0"/>
        </w:rPr>
        <w:t xml:space="preserve">responsive web application accessible through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development cost and complexity while allowing access across devices.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apps may be developed in later milestones once product-market fit is validated.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hwl15yhi7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Browsers &amp; Versions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Chrome: v100+</w:t>
        <w:br w:type="textWrapping"/>
        <w:t xml:space="preserve">Safari: v15+</w:t>
        <w:br w:type="textWrapping"/>
        <w:t xml:space="preserve">Firefox: v100+</w:t>
        <w:br w:type="textWrapping"/>
        <w:t xml:space="preserve">Edge: v100+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hz82z8jxc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Responsive Layout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Material breakpoint system</w:t>
      </w:r>
      <w:r w:rsidDel="00000000" w:rsidR="00000000" w:rsidRPr="00000000">
        <w:rPr>
          <w:rtl w:val="0"/>
        </w:rPr>
        <w:t xml:space="preserve"> for responsive layout.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Breakpoints:</w:t>
      </w:r>
    </w:p>
    <w:tbl>
      <w:tblPr>
        <w:tblStyle w:val="Table1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550"/>
        <w:gridCol w:w="2915"/>
        <w:tblGridChange w:id="0">
          <w:tblGrid>
            <w:gridCol w:w="1385"/>
            <w:gridCol w:w="1550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1280–1919px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Laptops / desktops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1920px+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Large monitors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gvm7p2ribz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a7yhvhay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Browser version compatibility: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https://caniuse.com/es6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Material responsive screen layout: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https://material.io/design/layout/responsive-layout-grid.html#breakpoints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iuse.com/es6" TargetMode="External"/><Relationship Id="rId7" Type="http://schemas.openxmlformats.org/officeDocument/2006/relationships/hyperlink" Target="https://material.io/design/layout/responsive-layout-grid.html#breakpo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