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5cz90r46wd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EVOLVE EDGE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1x85qx3tvi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Capitalization Table (Cap Table)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Entity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Texas Corporation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Evolve Edge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1/15/2025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r9om3pu8t1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Authorized Capital</w:t>
      </w:r>
    </w:p>
    <w:tbl>
      <w:tblPr>
        <w:tblStyle w:val="Table1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135"/>
        <w:gridCol w:w="1235"/>
        <w:gridCol w:w="3950"/>
        <w:tblGridChange w:id="0">
          <w:tblGrid>
            <w:gridCol w:w="1730"/>
            <w:gridCol w:w="2135"/>
            <w:gridCol w:w="1235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Authorized Shares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Common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founder and employee equity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Preferred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Reserved for future investor financing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81dan8wyti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Issued &amp; Outstanding Shares (Pre-Investment)</w:t>
      </w:r>
    </w:p>
    <w:tbl>
      <w:tblPr>
        <w:tblStyle w:val="Table2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730"/>
        <w:gridCol w:w="1640"/>
        <w:gridCol w:w="1670"/>
        <w:gridCol w:w="1880"/>
        <w:tblGridChange w:id="0">
          <w:tblGrid>
            <w:gridCol w:w="1490"/>
            <w:gridCol w:w="1730"/>
            <w:gridCol w:w="1640"/>
            <w:gridCol w:w="167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Shareholder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Shares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Ownership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Fully Diluted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Kiel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Common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Issued &amp; Outstanding: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10,000,000 Common Shares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vhzs4atypb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Equity Summary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Sole founder ownership at formation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outside investors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employee stock option pool established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SAFEs, convertible notes, or warrants outstanding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cap table suitable for seed, angel, or VC investment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d3c8ovm3qt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mhk2zuhb43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Equity Planning (Not Yet Issued)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9.0256678889473"/>
        <w:gridCol w:w="1166.935568360398"/>
        <w:gridCol w:w="3240.9429020429543"/>
        <w:gridCol w:w="2373.0958617077004"/>
        <w:tblGridChange w:id="0">
          <w:tblGrid>
            <w:gridCol w:w="2579.0256678889473"/>
            <w:gridCol w:w="1166.935568360398"/>
            <w:gridCol w:w="3240.9429020429543"/>
            <w:gridCol w:w="2373.09586170770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% of Company (Post-Authorization)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 Option Pool (ESOP)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Reserved (recommended)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 / Angel Investors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Future issuance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pggmnjhiwb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 for Investors &amp; Banks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founder shares issued pursuant to board and shareholder resolutions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Consideration includes intellectual property, services rendered, and/or cash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 table reflects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clean, single-owner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before fundraising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Board-authorized to issue additional equity consistent with the bylaws and Texas law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undersigned certifies that the foregoing capitalization table is accurate and complete as of the date below.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Kiel Green</w:t>
        <w:br w:type="textWrapping"/>
        <w:t xml:space="preserve">Title: Founder &amp; Sole Shareholder</w:t>
        <w:br w:type="textWrapping"/>
        <w:t xml:space="preserve">Date: _________________________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