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 xml:space="preserve">Mode D’emploi - Tir Balistique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15455" cy="35099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45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Panel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d’affichage qui affiche le tir balistique en fonction de l’angle et de la vitesse, ce panel affiche aussi la hauteur et la distance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Max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ainsi que la hauteur et la distance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Inst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du projectile.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Astuce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Le meilleur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Angle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est de 45 degrés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Bouton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qui permet de changer la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couleur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du tir balistique à fin de satisfaire visuellement l’utilisateur.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Astuce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: On peut changer la couleur de la courbe pendant son trajet, il suffit de mettre sur pause de changer la couleur et de redémarrer.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Bouton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permettant de lancer le calcul du tire balistique, ce bouton permet aussi de mettre sur pause le tir à fin de voir un moment précis de la courbe.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Voici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les texte box qui accueil les données de l’utilisateur à gauche celle pour l’angle et à droite celle pour la vitesse.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aa84f"/>
          <w:sz w:val="24"/>
          <w:szCs w:val="24"/>
          <w:u w:val="none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Astuce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 La vitesse est en mètre second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aa84f"/>
          <w:sz w:val="24"/>
          <w:szCs w:val="24"/>
          <w:u w:val="none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Astuce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La vitesse ne peux dépasser 9999 m/s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Astuce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L’angle ne peut pas aller plus loin que 90 degrés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