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7416" w14:textId="77777777" w:rsidR="00110BDA" w:rsidRDefault="00000000">
      <w:pPr>
        <w:spacing w:after="240"/>
        <w:jc w:val="center"/>
      </w:pPr>
      <w:r>
        <w:rPr>
          <w:rFonts w:eastAsia="黑体"/>
          <w:b/>
          <w:sz w:val="32"/>
        </w:rPr>
        <w:t>跨链资金流取证对应：运输表示与条件解码</w:t>
      </w:r>
    </w:p>
    <w:p w14:paraId="58F05525" w14:textId="77777777" w:rsidR="00110BDA" w:rsidRDefault="00000000">
      <w:pPr>
        <w:pStyle w:val="1"/>
        <w:spacing w:before="280" w:after="160"/>
      </w:pPr>
      <w:r>
        <w:t>摘要</w:t>
      </w:r>
    </w:p>
    <w:p w14:paraId="16FF4E86" w14:textId="4E2DD46A" w:rsidR="00110BDA" w:rsidRDefault="00000000">
      <w:pPr>
        <w:spacing w:after="120" w:line="360" w:lineRule="auto"/>
        <w:ind w:firstLine="480"/>
      </w:pPr>
      <w:r>
        <w:t>跨链洗钱把可疑资产的痕迹拆分到多条链、多个代币与多笔延迟到账中，使面向反洗钱调查的资金追踪难以再依赖"一笔源链交易对应一笔目标链交易"的一对一假设：一次资金运动既可以扇出为多条目标活动，也可以由多条源活动合并而成。本文将跨链可疑资金流对应（CSFFC）形式化为流级软对应问题，以非负运输计划统一表达一对一、分流、合流与未匹配质量；监督标签由一对一的协议原生桥锚定构建，非一对一拓扑在真实流特征上以合成方式施加；监督标签由一对一的协议原生桥锚定构建，非一对一拓扑在真实流特征上以合成方式施加，并将金额、时间因果、路径、风险与证据质量编码为带取证语义的代价。进一步分析表明，直接按原始运输计划排序会失真：计划数值混入了求解器对偶缩放与边际压力，而非纯粹的对应分数。为此，本文提出方向条件化解码——行向分数按列质量归一、列向分数按行质量归一后互选前 k，其双重消除性质作为标准 Sinkhorn 结构的直接推论成立。在跨 Celer、Multichain 和 PolyNetwork 三桥的确认性保留集（半合成模板网格，720 个配对实例共享同一注入结构构成）上，方向条件化解码将宏平均边 F1 从原始计划解码的 0.2350 提升至 0.3104（Δ = +0.075413，配对 95% 置信区间 [0.070557, 0.080312]），且三桥均呈正向改善；该增益对应的解码边精度约 0.19，是方法内排序修复结果而非分诊级操作点。此外，两个预测盲的后开发期数据审计（仅数据组装）记录了开发语料之外存在的协议支撑流级扇出结构（Tier-A 源级扇出单元 2,451 与 5,516 个，集中于少数长期活跃地址），但两个窗口均未通过预先注册的行为来源多样性标准；因此，本文不作外部方法性能声明。方法在充分多样独立语料上的外部性能目前仍未建立。</w:t>
      </w:r>
      <w:r/>
      <w:r/>
      <w:r/>
      <w:r/>
      <w:r/>
      <w:r/>
      <w:r/>
      <w:r/>
      <w:r/>
      <w:r/>
      <w:r/>
      <w:r/>
      <w:r/>
      <w:r/>
      <w:r/>
      <w:r/>
      <w:r/>
      <w:r/>
      <w:r/>
      <w:r/>
      <w:r/>
      <w:r/>
      <w:r/>
      <w:r/>
      <w:r/>
      <w:r/>
      <w:r/>
      <w:r/>
      <w:r/>
      <w:r/>
      <w:r/>
      <w:r/>
      <w:r/>
      <w:r/>
    </w:p>
    <w:p w14:paraId="5B743B9A" w14:textId="77777777" w:rsidR="00110BDA" w:rsidRDefault="00000000">
      <w:pPr>
        <w:spacing w:after="120" w:line="360" w:lineRule="auto"/>
        <w:ind w:firstLine="480"/>
      </w:pPr>
      <w:r>
        <w:rPr>
          <w:b/>
        </w:rPr>
        <w:t>关键词：</w:t>
      </w:r>
      <w:r>
        <w:t>跨链取证；反洗钱；资金流对应；最优传输；条件解码；选择性弃权</w:t>
      </w:r>
    </w:p>
    <w:p w14:paraId="151F6362" w14:textId="77777777" w:rsidR="00110BDA" w:rsidRDefault="00000000">
      <w:pPr>
        <w:pStyle w:val="1"/>
        <w:spacing w:before="280" w:after="160"/>
      </w:pPr>
      <w:r>
        <w:t xml:space="preserve">1 </w:t>
      </w:r>
      <w:r>
        <w:t>引言</w:t>
      </w:r>
    </w:p>
    <w:p w14:paraId="7034514F" w14:textId="77777777" w:rsidR="00110BDA" w:rsidRDefault="00000000">
      <w:pPr>
        <w:spacing w:after="120" w:line="360" w:lineRule="auto"/>
        <w:ind w:firstLine="480"/>
      </w:pPr>
      <w:r>
        <w:t>跨链桥与去中心化交易所使加密资产可以在多条链之间移动：资金在源链被拆分，兑换成其他代币，以延迟方式释放，并在目标链的新地址上重新归集；监管机构已将此类链跳行为列为高风险洗钱形态</w:t>
      </w:r>
      <w:r>
        <w:t xml:space="preserve"> [1,2,3]</w:t>
      </w:r>
      <w:r>
        <w:t>。对追踪这类资金的调查者而言，核心问题因此不再是一笔交易发生在哪条链上，而是：源链上的一组活动，与目标链上的哪组活动构成同一次资金运动？分流或合流本身并不构成非法性证据</w:t>
      </w:r>
      <w:r>
        <w:t>——</w:t>
      </w:r>
      <w:r>
        <w:t>它们同样出现在正常路由、聚合器与流动性管理中</w:t>
      </w:r>
      <w:r>
        <w:t>——</w:t>
      </w:r>
      <w:r>
        <w:t>因此这一问题本质上是证据限定的取证对应，而不是全链自动非法性判定。</w:t>
      </w:r>
    </w:p>
    <w:p w14:paraId="22203212" w14:textId="77777777" w:rsidR="00110BDA" w:rsidRDefault="00000000">
      <w:pPr>
        <w:spacing w:after="120" w:line="360" w:lineRule="auto"/>
        <w:ind w:firstLine="480"/>
      </w:pPr>
      <w:r>
        <w:t>现有跨链追踪工具在桥事件明确时是有效的。</w:t>
      </w:r>
      <w:r>
        <w:t xml:space="preserve">CONNECTOR [4] </w:t>
      </w:r>
      <w:r>
        <w:t>与</w:t>
      </w:r>
      <w:r>
        <w:t xml:space="preserve"> ABCTracer [5] </w:t>
      </w:r>
      <w:r>
        <w:t>能够从桥合约轨迹关联存取款交易对，但它们把输出单元固定为</w:t>
      </w:r>
      <w:r>
        <w:t>"</w:t>
      </w:r>
      <w:r>
        <w:t>哪一笔源链交易对</w:t>
      </w:r>
      <w:r>
        <w:lastRenderedPageBreak/>
        <w:t>应哪一笔目标链交易</w:t>
      </w:r>
      <w:r>
        <w:t>"</w:t>
      </w:r>
      <w:r>
        <w:t>。真实的跨链资金重组形态与这一假设之间存在结构性失配：一条源活动可以扇出到多个目标，多条源活动可以汇入一个目标；桥的延迟释放破坏时间与事件对齐；手续费造成金额漂移；事件证据常常不完整。当一个源级资金流单元在目标链对应多个流级活动时，一对一输出无法完整表达该对应结构。硬性的一对一输出语义无法表达部分质量分配，而在一对一锚定为主的数据上取得的高命中率，并不保证在分流、合流或证据缺口条件下依然稳健。</w:t>
      </w:r>
    </w:p>
    <w:p w14:paraId="482DA572" w14:textId="77777777" w:rsidR="00110BDA" w:rsidRDefault="00000000">
      <w:pPr>
        <w:spacing w:after="120" w:line="360" w:lineRule="auto"/>
        <w:ind w:firstLine="480"/>
      </w:pPr>
      <w:r>
        <w:t>从对应单元的角度看，单链取证分析以地址聚类、启发式规则与图学习为手段</w:t>
      </w:r>
      <w:r>
        <w:t xml:space="preserve"> [6,7,8]</w:t>
      </w:r>
      <w:r>
        <w:t>，其输出单元是单链上的地址或账户；跨链关联工具把单元推进到交易对，但止步于此。无论哪种单元，都没有把</w:t>
      </w:r>
      <w:r>
        <w:t>"</w:t>
      </w:r>
      <w:r>
        <w:t>资金流之间的质量分配</w:t>
      </w:r>
      <w:r>
        <w:t>"</w:t>
      </w:r>
      <w:r>
        <w:t>作为一等输出对象：当一个源流的质量需要分摊到多个目标流、或来自多个源流的质量需要归并到一个目标流时，一对一的输出形式在结构上就无法表示正确结果。这意味着，即便配对打分再准，输出形式本身也可能在分流与合流场景中系统性丢失真值；而当证据不足以确定单一归属时，强制的单一输出还会把不确定性伪装成确定性，产生过度归因。图</w:t>
      </w:r>
      <w:r>
        <w:t xml:space="preserve"> 1 </w:t>
      </w:r>
      <w:r>
        <w:t>给出从交易级一对一匹配到流级软对应的问题重构。</w:t>
      </w:r>
    </w:p>
    <w:p w14:paraId="1A30D624" w14:textId="77777777" w:rsidR="00110BDA" w:rsidRDefault="00000000">
      <w:pPr>
        <w:jc w:val="center"/>
      </w:pPr>
      <w:r>
        <w:rPr>
          <w:noProof/>
        </w:rPr>
        <w:drawing>
          <wp:inline distT="0" distB="0" distL="0" distR="0" wp14:anchorId="10557E94" wp14:editId="3AE5AB70">
            <wp:extent cx="5580000" cy="2239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blem_reformulation.png"/>
                    <pic:cNvPicPr/>
                  </pic:nvPicPr>
                  <pic:blipFill>
                    <a:blip r:embed="rId6"/>
                    <a:stretch>
                      <a:fillRect/>
                    </a:stretch>
                  </pic:blipFill>
                  <pic:spPr>
                    <a:xfrm>
                      <a:off x="0" y="0"/>
                      <a:ext cx="5580000" cy="2239730"/>
                    </a:xfrm>
                    <a:prstGeom prst="rect">
                      <a:avLst/>
                    </a:prstGeom>
                  </pic:spPr>
                </pic:pic>
              </a:graphicData>
            </a:graphic>
          </wp:inline>
        </w:drawing>
      </w:r>
    </w:p>
    <w:p w14:paraId="5E93E0BE" w14:textId="77777777" w:rsidR="00110BDA" w:rsidRDefault="00000000">
      <w:pPr>
        <w:spacing w:after="160"/>
        <w:jc w:val="center"/>
      </w:pPr>
      <w:r>
        <w:rPr>
          <w:sz w:val="21"/>
        </w:rPr>
        <w:t>图</w:t>
      </w:r>
      <w:r>
        <w:rPr>
          <w:sz w:val="21"/>
        </w:rPr>
        <w:t xml:space="preserve"> 1  </w:t>
      </w:r>
      <w:r>
        <w:rPr>
          <w:sz w:val="21"/>
        </w:rPr>
        <w:t>从交易级一对一输出到流级软对应的问题重构：左为交易级一对一输出（该输出语义无法表达分流</w:t>
      </w:r>
      <w:r>
        <w:rPr>
          <w:sz w:val="21"/>
        </w:rPr>
        <w:t>/</w:t>
      </w:r>
      <w:r>
        <w:rPr>
          <w:sz w:val="21"/>
        </w:rPr>
        <w:t>合流结构），右为流级软对应</w:t>
      </w:r>
      <w:r>
        <w:rPr>
          <w:sz w:val="21"/>
        </w:rPr>
        <w:t>——</w:t>
      </w:r>
      <w:r>
        <w:rPr>
          <w:sz w:val="21"/>
        </w:rPr>
        <w:t>交易、事件日志、地址交互、金额与时间关系被组织为可回溯的资金流单元，软对应统一表达</w:t>
      </w:r>
      <w:r>
        <w:rPr>
          <w:sz w:val="21"/>
        </w:rPr>
        <w:t xml:space="preserve"> 1→1</w:t>
      </w:r>
      <w:r>
        <w:rPr>
          <w:sz w:val="21"/>
        </w:rPr>
        <w:t>、</w:t>
      </w:r>
      <w:r>
        <w:rPr>
          <w:sz w:val="21"/>
        </w:rPr>
        <w:t>1→N</w:t>
      </w:r>
      <w:r>
        <w:rPr>
          <w:sz w:val="21"/>
        </w:rPr>
        <w:t>、</w:t>
      </w:r>
      <w:r>
        <w:rPr>
          <w:sz w:val="21"/>
        </w:rPr>
        <w:t xml:space="preserve">N→1 </w:t>
      </w:r>
      <w:r>
        <w:rPr>
          <w:sz w:val="21"/>
        </w:rPr>
        <w:t>与未匹配质量。</w:t>
      </w:r>
    </w:p>
    <w:p w14:paraId="6A21C5AB" w14:textId="77777777" w:rsidR="00110BDA" w:rsidRDefault="00000000">
      <w:pPr>
        <w:spacing w:after="120" w:line="360" w:lineRule="auto"/>
        <w:ind w:firstLine="480"/>
      </w:pPr>
      <w:r>
        <w:t>本文把分析单元从交易对提升为资金流：按主地址、链、资产上下文与滚动时间窗口聚合的、可回溯到交易、事件日志与桥事件的观测单元。在这一单元上，本文把跨链可疑资金流对应（CSFFC）形式化为流级软对应问题，并引入非平衡最优传输（UOT；实现标识 RC-UOT，“R”指风险加权而非硬约束）作为其表示与求解基础：以非负运输计划统一表达一对一、分流、合流与未匹配质量，并把金额一致性、时间因果、路径一致性、风险一致性与证据质量编码为带取证语义的复合代价 [9,10,11]。传输计划因此成为承载对应质量分配与对应假设的统一表示。</w:t>
      </w:r>
      <w:r/>
      <w:r/>
      <w:r/>
      <w:r/>
      <w:r/>
      <w:r/>
      <w:r/>
    </w:p>
    <w:p w14:paraId="2CA9197F" w14:textId="77777777" w:rsidR="00110BDA" w:rsidRDefault="00000000">
      <w:pPr>
        <w:spacing w:after="120" w:line="360" w:lineRule="auto"/>
        <w:ind w:firstLine="480"/>
      </w:pPr>
      <w:r>
        <w:t>然而，能表示并不等于能直接排序。熵最优传输的求解器把边际约束吸收进两侧的对偶缩放，使计划具有分解结构</w:t>
      </w:r>
      <w:r>
        <w:t xml:space="preserve"> P = diag(u) K diag(v)</w:t>
      </w:r>
      <w:r>
        <w:t>：每一行的排序都受到目标侧对偶缩放</w:t>
      </w:r>
      <w:r>
        <w:t xml:space="preserve"> v </w:t>
      </w:r>
      <w:r>
        <w:t>的乘性污染，并受到边际满足压力的影响。结果是，在核评分下相对有利的候选边，可能因为求解器只分配给它很小的实现质量而排不进前</w:t>
      </w:r>
      <w:r>
        <w:t xml:space="preserve"> k</w:t>
      </w:r>
      <w:r>
        <w:t>；按原始计划排序会把对偶缩放与核评分混为一谈。本文关注现有跨链对应流程中未被显式处理的运输计划排序问题：它恰恰决定了</w:t>
      </w:r>
      <w:r>
        <w:t>"</w:t>
      </w:r>
      <w:r>
        <w:t>有表示</w:t>
      </w:r>
      <w:r>
        <w:t>"</w:t>
      </w:r>
      <w:r>
        <w:t>能否转化为</w:t>
      </w:r>
      <w:r>
        <w:t>"</w:t>
      </w:r>
      <w:r>
        <w:t>有正确的输出</w:t>
      </w:r>
      <w:r>
        <w:t>"</w:t>
      </w:r>
      <w:r>
        <w:t>。</w:t>
      </w:r>
    </w:p>
    <w:p w14:paraId="6E43F7F3" w14:textId="77777777" w:rsidR="00110BDA" w:rsidRDefault="00000000">
      <w:pPr>
        <w:spacing w:after="120" w:line="360" w:lineRule="auto"/>
        <w:ind w:firstLine="480"/>
      </w:pPr>
      <w:r>
        <w:t>针对这一失真，本文提出方向条件化解码：行向分数按列质量归一（</w:t>
      </w:r>
      <w:r>
        <w:t>P_ij / c_j</w:t>
      </w:r>
      <w:r>
        <w:t>），列向分数按行质量归一（</w:t>
      </w:r>
      <w:r>
        <w:t>P_ij / r_i</w:t>
      </w:r>
      <w:r>
        <w:t>），两侧互选前</w:t>
      </w:r>
      <w:r>
        <w:t xml:space="preserve"> k </w:t>
      </w:r>
      <w:r>
        <w:t>输出对应边。在分解结构</w:t>
      </w:r>
      <w:r>
        <w:t xml:space="preserve"> P = diag(u) K diag(v) </w:t>
      </w:r>
      <w:r>
        <w:t>下，行向条件分数精确消去目标侧公共缩放</w:t>
      </w:r>
      <w:r>
        <w:t xml:space="preserve"> v</w:t>
      </w:r>
      <w:r>
        <w:t>，列向精确消去源侧公共缩放</w:t>
      </w:r>
      <w:r>
        <w:t xml:space="preserve"> u</w:t>
      </w:r>
      <w:r>
        <w:t>；这一双重消除性质作为标准</w:t>
      </w:r>
      <w:r>
        <w:t xml:space="preserve"> Sinkhorn </w:t>
      </w:r>
      <w:r>
        <w:t>结构的直接推论成立。条件解码并不构成一种新的归一化</w:t>
      </w:r>
      <w:r>
        <w:t>——</w:t>
      </w:r>
      <w:r>
        <w:t>它与双向归一化和互选匹配在结构上相关</w:t>
      </w:r>
      <w:r>
        <w:t xml:space="preserve"> [12,13]——</w:t>
      </w:r>
      <w:r>
        <w:t>本文的增量在于失真诊断、取证形式化、代数解释与确认性证据。</w:t>
      </w:r>
    </w:p>
    <w:p w14:paraId="408C04D0" w14:textId="77777777" w:rsidR="00110BDA" w:rsidRDefault="00000000">
      <w:pPr>
        <w:spacing w:after="120" w:line="360" w:lineRule="auto"/>
        <w:ind w:firstLine="480"/>
      </w:pPr>
      <w:r>
        <w:t>本文以三层证据支撑上述论证。其一，受控结构压力测试表明，运输表示能够表达一对一解码器结构上无法输出的</w:t>
      </w:r>
      <w:r>
        <w:t xml:space="preserve"> 1→N </w:t>
      </w:r>
      <w:r>
        <w:t>边集（边包含召回</w:t>
      </w:r>
      <w:r>
        <w:t xml:space="preserve"> 0.946/0.967</w:t>
      </w:r>
      <w:r>
        <w:t>，非精确拓扑恢复口径）。其二，在跨</w:t>
      </w:r>
      <w:r>
        <w:t xml:space="preserve"> Celer</w:t>
      </w:r>
      <w:r>
        <w:t>、</w:t>
      </w:r>
      <w:r>
        <w:t>Multichain</w:t>
      </w:r>
      <w:r>
        <w:t>、</w:t>
      </w:r>
      <w:r>
        <w:t xml:space="preserve">PolyNetwork </w:t>
      </w:r>
      <w:r>
        <w:t>三桥的预先固定的确认性保留集上，条件解码把宏平均边</w:t>
      </w:r>
      <w:r>
        <w:t xml:space="preserve"> F1 </w:t>
      </w:r>
      <w:r>
        <w:t>从原始计划解码的</w:t>
      </w:r>
      <w:r>
        <w:t xml:space="preserve"> 0.2350 </w:t>
      </w:r>
      <w:r>
        <w:t>提升到</w:t>
      </w:r>
      <w:r>
        <w:t xml:space="preserve"> 0.3104</w:t>
      </w:r>
      <w:r>
        <w:t>（</w:t>
      </w:r>
      <w:r>
        <w:t>Δ = +0.075413</w:t>
      </w:r>
      <w:r>
        <w:t>，配对</w:t>
      </w:r>
      <w:r>
        <w:t xml:space="preserve"> 95% </w:t>
      </w:r>
      <w:r>
        <w:t>置信区间</w:t>
      </w:r>
      <w:r>
        <w:t xml:space="preserve"> [0.070557, 0.080312]</w:t>
      </w:r>
      <w:r>
        <w:t>），三桥全部为正，五项预先固定的机制方向指标全部符合修复方向。其三，对开发语料之外、时间上独立的真实数据的分析（仅数据、未运行方法）确认了</w:t>
      </w:r>
      <w:r>
        <w:t xml:space="preserve"> 2,451 </w:t>
      </w:r>
      <w:r>
        <w:t>个</w:t>
      </w:r>
      <w:r>
        <w:t xml:space="preserve"> Tier-A </w:t>
      </w:r>
      <w:r>
        <w:t>源级扇出单元的存在，即问题在开发语料之外真实存在。方法在充分多样独立语料上的性能尚未建立，这一评估口径在第</w:t>
      </w:r>
      <w:r>
        <w:t xml:space="preserve"> 5 </w:t>
      </w:r>
      <w:r>
        <w:t>节与第</w:t>
      </w:r>
      <w:r>
        <w:t xml:space="preserve"> 6 </w:t>
      </w:r>
      <w:r>
        <w:t>节中给出。</w:t>
      </w:r>
    </w:p>
    <w:p w14:paraId="56A169D1" w14:textId="77777777" w:rsidR="00110BDA" w:rsidRDefault="00000000">
      <w:pPr>
        <w:spacing w:after="120" w:line="360" w:lineRule="auto"/>
        <w:ind w:firstLine="480"/>
      </w:pPr>
      <w:r>
        <w:t>本文的贡献有三项。第一，任务与表示：形式化</w:t>
      </w:r>
      <w:r>
        <w:t xml:space="preserve"> CSFFC</w:t>
      </w:r>
      <w:r>
        <w:t>，把跨链取证对应从交易对提升为带质量的资金流软对应，并以运输表示统一表达</w:t>
      </w:r>
      <w:r>
        <w:t xml:space="preserve"> 1→1</w:t>
      </w:r>
      <w:r>
        <w:t>、</w:t>
      </w:r>
      <w:r>
        <w:t>1→N</w:t>
      </w:r>
      <w:r>
        <w:t>、</w:t>
      </w:r>
      <w:r>
        <w:t xml:space="preserve">N→1 </w:t>
      </w:r>
      <w:r>
        <w:t>与未匹配质量。第二，排序失真的诊断、方向条件解码及其形式化解释：显式刻画并诊断原始运输计划中的排序失真，提出方向条件化解码，并给出双重消除性质作为标准</w:t>
      </w:r>
      <w:r>
        <w:t xml:space="preserve"> Sinkhorn </w:t>
      </w:r>
      <w:r>
        <w:t>结构的直接推论；贡献在于诊断、取证适配、形式化解释与确认性证据，而非新归一化。第三，分层实证验证：以结构压力测试确立表示能力，以三桥确认性保</w:t>
      </w:r>
      <w:r>
        <w:lastRenderedPageBreak/>
        <w:t>留集确立解码修复，以独立真实数据分析确立问题存在性。第</w:t>
      </w:r>
      <w:r>
        <w:t xml:space="preserve"> 2 </w:t>
      </w:r>
      <w:r>
        <w:t>节综述相关工作，第</w:t>
      </w:r>
      <w:r>
        <w:t xml:space="preserve"> 3 </w:t>
      </w:r>
      <w:r>
        <w:t>节给出问题定义与方法总览，第</w:t>
      </w:r>
      <w:r>
        <w:t xml:space="preserve"> 4 </w:t>
      </w:r>
      <w:r>
        <w:t>节展开方法，第</w:t>
      </w:r>
      <w:r>
        <w:t xml:space="preserve"> 5 </w:t>
      </w:r>
      <w:r>
        <w:t>节报告实验，第</w:t>
      </w:r>
      <w:r>
        <w:t xml:space="preserve"> 6 </w:t>
      </w:r>
      <w:r>
        <w:t>节讨论取证含义与局限，第</w:t>
      </w:r>
      <w:r>
        <w:t xml:space="preserve"> 7 </w:t>
      </w:r>
      <w:r>
        <w:t>节总结。</w:t>
      </w:r>
    </w:p>
    <w:p w14:paraId="096550FE" w14:textId="77777777" w:rsidR="00110BDA" w:rsidRDefault="00000000">
      <w:pPr>
        <w:pStyle w:val="1"/>
        <w:spacing w:before="280" w:after="160"/>
      </w:pPr>
      <w:r>
        <w:t xml:space="preserve">2 </w:t>
      </w:r>
      <w:r>
        <w:t>相关工作</w:t>
      </w:r>
    </w:p>
    <w:p w14:paraId="0EE0E07E" w14:textId="77777777" w:rsidR="00110BDA" w:rsidRDefault="00000000">
      <w:pPr>
        <w:pStyle w:val="21"/>
        <w:spacing w:after="120"/>
      </w:pPr>
      <w:r>
        <w:t xml:space="preserve">2.1 </w:t>
      </w:r>
      <w:r>
        <w:t>区块链交易追踪与跨链关联</w:t>
      </w:r>
    </w:p>
    <w:p w14:paraId="6410E86F" w14:textId="77777777" w:rsidR="00110BDA" w:rsidRDefault="00000000">
      <w:pPr>
        <w:spacing w:after="120" w:line="360" w:lineRule="auto"/>
        <w:ind w:firstLine="480"/>
      </w:pPr>
      <w:r>
        <w:t>单链方向的取证分析把</w:t>
      </w:r>
      <w:r>
        <w:t>"</w:t>
      </w:r>
      <w:r>
        <w:t>资产属于谁、与谁相关</w:t>
      </w:r>
      <w:r>
        <w:t>"</w:t>
      </w:r>
      <w:r>
        <w:t>作为核心问题，手段以地址聚类与启发式规则为主</w:t>
      </w:r>
      <w:r>
        <w:t xml:space="preserve"> [6,14,15]</w:t>
      </w:r>
      <w:r>
        <w:t>。计量研究量化了加密货币非法使用的整体规模</w:t>
      </w:r>
      <w:r>
        <w:t xml:space="preserve"> [16,17]</w:t>
      </w:r>
      <w:r>
        <w:t>，相关综述整理了欺诈类型与检测手段的演进</w:t>
      </w:r>
      <w:r>
        <w:t xml:space="preserve"> [18,19]</w:t>
      </w:r>
      <w:r>
        <w:t>。这些工作的输出单元是单链内的地址、账户或实体集群：它们回答</w:t>
      </w:r>
      <w:r>
        <w:t>"</w:t>
      </w:r>
      <w:r>
        <w:t>资产在一条链内属于谁</w:t>
      </w:r>
      <w:r>
        <w:t>"</w:t>
      </w:r>
      <w:r>
        <w:t>，不回答</w:t>
      </w:r>
      <w:r>
        <w:t>"</w:t>
      </w:r>
      <w:r>
        <w:t>两条链之间哪组活动构成同一次资金运动</w:t>
      </w:r>
      <w:r>
        <w:t>"</w:t>
      </w:r>
      <w:r>
        <w:t>。更近的工作把单元推进到资金流级：</w:t>
      </w:r>
      <w:r>
        <w:t xml:space="preserve">ETTracker [20] </w:t>
      </w:r>
      <w:r>
        <w:t>在以太坊上以资金流为单元做</w:t>
      </w:r>
      <w:r>
        <w:t xml:space="preserve"> AML </w:t>
      </w:r>
      <w:r>
        <w:t>追踪，但其对应问题仍是单链内的流向识别。</w:t>
      </w:r>
    </w:p>
    <w:p w14:paraId="77B1E009" w14:textId="77777777" w:rsidR="00110BDA" w:rsidRDefault="00000000">
      <w:pPr>
        <w:spacing w:after="120" w:line="360" w:lineRule="auto"/>
        <w:ind w:firstLine="480"/>
      </w:pPr>
      <w:r>
        <w:t>图学习方法把这一方向推进到账户图上的分类与追踪：</w:t>
      </w:r>
      <w:r>
        <w:t xml:space="preserve">Elliptic </w:t>
      </w:r>
      <w:r>
        <w:t>系列与动态图、归纳表示管线</w:t>
      </w:r>
      <w:r>
        <w:t xml:space="preserve"> [7,8,21,22]</w:t>
      </w:r>
      <w:r>
        <w:t>，账户级追踪</w:t>
      </w:r>
      <w:r>
        <w:t xml:space="preserve"> [23] </w:t>
      </w:r>
      <w:r>
        <w:t>与钓鱼账户分类器</w:t>
      </w:r>
      <w:r>
        <w:t xml:space="preserve"> [24]</w:t>
      </w:r>
      <w:r>
        <w:t>。</w:t>
      </w:r>
      <w:r>
        <w:t xml:space="preserve">2025–2026 </w:t>
      </w:r>
      <w:r>
        <w:t>年的进展延续该路线：比特币非法交易的图变换检测</w:t>
      </w:r>
      <w:r>
        <w:t xml:space="preserve"> [25]</w:t>
      </w:r>
      <w:r>
        <w:t>、洗钱子图识别</w:t>
      </w:r>
      <w:r>
        <w:t xml:space="preserve"> [26] </w:t>
      </w:r>
      <w:r>
        <w:t>与非法账户的联邦图监测</w:t>
      </w:r>
      <w:r>
        <w:t xml:space="preserve"> [27]</w:t>
      </w:r>
      <w:r>
        <w:t>。它们同样以单链单元为主，其对应关系通常是</w:t>
      </w:r>
      <w:r>
        <w:t>"</w:t>
      </w:r>
      <w:r>
        <w:t>地址</w:t>
      </w:r>
      <w:r>
        <w:t>—</w:t>
      </w:r>
      <w:r>
        <w:t>标签</w:t>
      </w:r>
      <w:r>
        <w:t>"</w:t>
      </w:r>
      <w:r>
        <w:t>或</w:t>
      </w:r>
      <w:r>
        <w:t>"</w:t>
      </w:r>
      <w:r>
        <w:t>账户</w:t>
      </w:r>
      <w:r>
        <w:t>—</w:t>
      </w:r>
      <w:r>
        <w:t>账户</w:t>
      </w:r>
      <w:r>
        <w:t>"</w:t>
      </w:r>
      <w:r>
        <w:t>，而不是资金流之间的质量分配。</w:t>
      </w:r>
    </w:p>
    <w:p w14:paraId="7DECA0D1" w14:textId="77777777" w:rsidR="00110BDA" w:rsidRDefault="00000000">
      <w:pPr>
        <w:spacing w:after="120" w:line="360" w:lineRule="auto"/>
        <w:ind w:firstLine="480"/>
      </w:pPr>
      <w:r>
        <w:t>跨链维度上，桥协议制造了跨账本的可观测性断层：系统化研究刻画了桥的攻击面与安全风险</w:t>
      </w:r>
      <w:r>
        <w:t xml:space="preserve"> [28,29,30,31]</w:t>
      </w:r>
      <w:r>
        <w:t>，早期跨链分析多依赖中心化接口</w:t>
      </w:r>
      <w:r>
        <w:t xml:space="preserve"> [32]</w:t>
      </w:r>
      <w:r>
        <w:t>，行业报告量化了跨链洗钱规模但未提供开放的流级对应标签</w:t>
      </w:r>
      <w:r>
        <w:t xml:space="preserve"> [1,2]</w:t>
      </w:r>
      <w:r>
        <w:t>，对</w:t>
      </w:r>
      <w:r>
        <w:t xml:space="preserve"> Web3 </w:t>
      </w:r>
      <w:r>
        <w:t>洗钱方案的近期分类研究</w:t>
      </w:r>
      <w:r>
        <w:t xml:space="preserve"> [33] </w:t>
      </w:r>
      <w:r>
        <w:t>进一步整理了跨链渠道被滥用的模式。这些工作建立了</w:t>
      </w:r>
      <w:r>
        <w:t>"</w:t>
      </w:r>
      <w:r>
        <w:t>跨链资金运动值得追踪</w:t>
      </w:r>
      <w:r>
        <w:t>"</w:t>
      </w:r>
      <w:r>
        <w:t>的问题背景，但没有给出流级对应的表示与评估方法。</w:t>
      </w:r>
    </w:p>
    <w:p w14:paraId="79E27353" w14:textId="77777777" w:rsidR="00110BDA" w:rsidRDefault="00000000">
      <w:pPr>
        <w:spacing w:after="120" w:line="360" w:lineRule="auto"/>
        <w:ind w:firstLine="480"/>
      </w:pPr>
      <w:r>
        <w:t>与本文最接近的是交易级跨链关联工具。</w:t>
      </w:r>
      <w:r>
        <w:t xml:space="preserve">CONNECTOR [4] </w:t>
      </w:r>
      <w:r>
        <w:t>从桥合约轨迹关联存取款交易对，</w:t>
      </w:r>
      <w:r>
        <w:t xml:space="preserve">ABCTracer [5] </w:t>
      </w:r>
      <w:r>
        <w:t>增加双向追踪与桥无关线索；本文的基准之一锚定在</w:t>
      </w:r>
      <w:r>
        <w:t xml:space="preserve"> Celer/cBridge </w:t>
      </w:r>
      <w:r>
        <w:t>类桥流量</w:t>
      </w:r>
      <w:r>
        <w:t xml:space="preserve"> [34]</w:t>
      </w:r>
      <w:r>
        <w:t>。两者的输出都是一对一交易关联：它们解决的对应单元是</w:t>
      </w:r>
      <w:r>
        <w:t>"</w:t>
      </w:r>
      <w:r>
        <w:t>交易对</w:t>
      </w:r>
      <w:r>
        <w:t>"</w:t>
      </w:r>
      <w:r>
        <w:t>，而本文针对的调查对象是允许分流与合流的资金流软对应</w:t>
      </w:r>
      <w:r>
        <w:t>——</w:t>
      </w:r>
      <w:r>
        <w:t>单元不同，因此二者与本文互补而非替代。</w:t>
      </w:r>
    </w:p>
    <w:p w14:paraId="7F6F2BAA" w14:textId="77777777" w:rsidR="00110BDA" w:rsidRDefault="00000000">
      <w:pPr>
        <w:pStyle w:val="21"/>
        <w:spacing w:after="120"/>
      </w:pPr>
      <w:r>
        <w:lastRenderedPageBreak/>
        <w:t xml:space="preserve">2.2 </w:t>
      </w:r>
      <w:r>
        <w:t>结构化与部分对应</w:t>
      </w:r>
    </w:p>
    <w:p w14:paraId="66EB03FA" w14:textId="77777777" w:rsidR="00110BDA" w:rsidRDefault="00000000">
      <w:pPr>
        <w:spacing w:after="120" w:line="360" w:lineRule="auto"/>
        <w:ind w:firstLine="480"/>
      </w:pPr>
      <w:r>
        <w:t>从匹配理论看，一对一指派与软分配代表两种不同的输出语义。经典最优传输把指派从</w:t>
      </w:r>
      <w:r>
        <w:t>"</w:t>
      </w:r>
      <w:r>
        <w:t>每个源至多一个目标</w:t>
      </w:r>
      <w:r>
        <w:t>"</w:t>
      </w:r>
      <w:r>
        <w:t>推广为保持质量的软分配</w:t>
      </w:r>
      <w:r>
        <w:t xml:space="preserve"> [11,35]</w:t>
      </w:r>
      <w:r>
        <w:t>；非平衡最优传输进一步把部分质量与未匹配质量形式化为目标函数中的边际松弛</w:t>
      </w:r>
      <w:r>
        <w:t xml:space="preserve"> [10]</w:t>
      </w:r>
      <w:r>
        <w:t>。在稠密匹配中，部分指派与遮挡处理同样表明：当证据不完整时，硬性一对一的输出语义会迫使系统在</w:t>
      </w:r>
      <w:r>
        <w:t>"</w:t>
      </w:r>
      <w:r>
        <w:t>丢弃</w:t>
      </w:r>
      <w:r>
        <w:t>"</w:t>
      </w:r>
      <w:r>
        <w:t>与</w:t>
      </w:r>
      <w:r>
        <w:t>"</w:t>
      </w:r>
      <w:r>
        <w:t>错误归因</w:t>
      </w:r>
      <w:r>
        <w:t>"</w:t>
      </w:r>
      <w:r>
        <w:t>之间二选一</w:t>
      </w:r>
      <w:r>
        <w:t xml:space="preserve"> [13]</w:t>
      </w:r>
      <w:r>
        <w:t>。需要区分的是，成对评分本身可以产生多条候选边，真正的表示限制来自一对一的输出语义或一对一指派约束；本文的运输表示把</w:t>
      </w:r>
      <w:r>
        <w:t xml:space="preserve"> 1→N</w:t>
      </w:r>
      <w:r>
        <w:t>、</w:t>
      </w:r>
      <w:r>
        <w:t xml:space="preserve">N→1 </w:t>
      </w:r>
      <w:r>
        <w:t>与未匹配质量纳入同一形式化，正是针对这一限制。</w:t>
      </w:r>
    </w:p>
    <w:p w14:paraId="61048B53" w14:textId="77777777" w:rsidR="00110BDA" w:rsidRDefault="00000000">
      <w:pPr>
        <w:pStyle w:val="21"/>
        <w:spacing w:after="120"/>
      </w:pPr>
      <w:r>
        <w:t xml:space="preserve">2.3 </w:t>
      </w:r>
      <w:r>
        <w:t>最优传输与双向匹配</w:t>
      </w:r>
    </w:p>
    <w:p w14:paraId="0661D283" w14:textId="77777777" w:rsidR="00110BDA" w:rsidRDefault="00000000">
      <w:pPr>
        <w:spacing w:after="120" w:line="360" w:lineRule="auto"/>
        <w:ind w:firstLine="480"/>
      </w:pPr>
      <w:r>
        <w:t>计算层面，熵正则化的</w:t>
      </w:r>
      <w:r>
        <w:t xml:space="preserve"> Sinkhorn </w:t>
      </w:r>
      <w:r>
        <w:t>算法与迭代缩放为最优传输提供了可扩展求解</w:t>
      </w:r>
      <w:r>
        <w:t xml:space="preserve"> [9,36,37]</w:t>
      </w:r>
      <w:r>
        <w:t>，最优传输损失也被用于机器学习中的分布匹配</w:t>
      </w:r>
      <w:r>
        <w:t xml:space="preserve"> [38,39]</w:t>
      </w:r>
      <w:r>
        <w:t>。在这些工作中，计划通常被用作损失或分布，而不是被排序解码为对应边。</w:t>
      </w:r>
    </w:p>
    <w:p w14:paraId="71D59985" w14:textId="77777777" w:rsidR="00110BDA" w:rsidRDefault="00000000">
      <w:pPr>
        <w:spacing w:after="120" w:line="360" w:lineRule="auto"/>
        <w:ind w:firstLine="480"/>
      </w:pPr>
      <w:r>
        <w:t>与本文的解码层最相关的是双向归一化与互选匹配家族：互近邻与</w:t>
      </w:r>
      <w:r>
        <w:t xml:space="preserve"> dual-softmax </w:t>
      </w:r>
      <w:r>
        <w:t>类方法</w:t>
      </w:r>
      <w:r>
        <w:t xml:space="preserve"> [12,40] </w:t>
      </w:r>
      <w:r>
        <w:t>用两侧一致性约束匹配输出，</w:t>
      </w:r>
      <w:r>
        <w:t xml:space="preserve">Sinkhorn </w:t>
      </w:r>
      <w:r>
        <w:t>求解加互选装配的典型是</w:t>
      </w:r>
      <w:r>
        <w:t xml:space="preserve"> SuperGlue [13]</w:t>
      </w:r>
      <w:r>
        <w:t>；熵计划的分解结构</w:t>
      </w:r>
      <w:r>
        <w:t xml:space="preserve"> P = diag(u)K diag(v) </w:t>
      </w:r>
      <w:r>
        <w:t>是标准教科书结果</w:t>
      </w:r>
      <w:r>
        <w:t xml:space="preserve"> [35]</w:t>
      </w:r>
      <w:r>
        <w:t>。本文与这些工作结构相关而非相同：本文把计划排序中的对偶缩放污染显式化为一个诊断问题，在取证代价与输出语义上做适配，给出双重消除的形式化解释，并以预先固定的确认性保留集验证修复</w:t>
      </w:r>
      <w:r>
        <w:t>——</w:t>
      </w:r>
      <w:r>
        <w:t>贡献在诊断、适配、解释与确认，不在归一化本身的新颖性。</w:t>
      </w:r>
      <w:r>
        <w:t xml:space="preserve">2025 </w:t>
      </w:r>
      <w:r>
        <w:t>年的工作继续以最优传输改进稠密对应（</w:t>
      </w:r>
      <w:r>
        <w:t xml:space="preserve">Gromov–Wasserstein </w:t>
      </w:r>
      <w:r>
        <w:t>空间正则</w:t>
      </w:r>
      <w:r>
        <w:t xml:space="preserve"> [41]</w:t>
      </w:r>
      <w:r>
        <w:t>），表明该谱系仍在活跃演进。</w:t>
      </w:r>
    </w:p>
    <w:p w14:paraId="2A6F6A6B" w14:textId="77777777" w:rsidR="00110BDA" w:rsidRDefault="00000000">
      <w:pPr>
        <w:pStyle w:val="1"/>
        <w:spacing w:before="280" w:after="160"/>
      </w:pPr>
      <w:r>
        <w:t xml:space="preserve">3 </w:t>
      </w:r>
      <w:r>
        <w:t>问题定义与方法总览</w:t>
      </w:r>
    </w:p>
    <w:p w14:paraId="0F526251" w14:textId="77777777" w:rsidR="00110BDA" w:rsidRDefault="00000000">
      <w:pPr>
        <w:pStyle w:val="21"/>
        <w:spacing w:after="120"/>
      </w:pPr>
      <w:r>
        <w:t xml:space="preserve">3.1 CSFFC </w:t>
      </w:r>
      <w:r>
        <w:t>任务</w:t>
      </w:r>
    </w:p>
    <w:p w14:paraId="66926FED" w14:textId="77777777" w:rsidR="00110BDA" w:rsidRDefault="00000000">
      <w:pPr>
        <w:spacing w:after="120" w:line="360" w:lineRule="auto"/>
        <w:ind w:firstLine="480"/>
      </w:pPr>
      <w:r>
        <w:t>给定源链资金流集合与目标链资金流集合，跨链可疑资金流对应（</w:t>
      </w:r>
      <w:r>
        <w:t>CSFFC</w:t>
      </w:r>
      <w:r>
        <w:t>）任务寻求非负对应计划</w:t>
      </w:r>
      <w:r>
        <w:t xml:space="preserve"> P</w:t>
      </w:r>
      <w:r>
        <w:t>，其中</w:t>
      </w:r>
      <w:r>
        <w:t xml:space="preserve"> P_ij </w:t>
      </w:r>
      <w:r>
        <w:t>表示源流</w:t>
      </w:r>
      <w:r>
        <w:t xml:space="preserve"> s_i </w:t>
      </w:r>
      <w:r>
        <w:t>与目标流</w:t>
      </w:r>
      <w:r>
        <w:t xml:space="preserve"> t_j </w:t>
      </w:r>
      <w:r>
        <w:t>之间的对应质量。与交易级一对一关联不同，</w:t>
      </w:r>
      <w:r>
        <w:t xml:space="preserve">CSFFC </w:t>
      </w:r>
      <w:r>
        <w:t>允许同一源流把质量分配给多个目标流（</w:t>
      </w:r>
      <w:r>
        <w:t>1→N</w:t>
      </w:r>
      <w:r>
        <w:t>，分流）、多个源流向同一目标流贡献质量（</w:t>
      </w:r>
      <w:r>
        <w:t>N→1</w:t>
      </w:r>
      <w:r>
        <w:t>，合流），并允许部分质量进入未匹配状态</w:t>
      </w:r>
      <w:r>
        <w:lastRenderedPageBreak/>
        <w:t>（源侧</w:t>
      </w:r>
      <w:r>
        <w:t xml:space="preserve"> δ^S</w:t>
      </w:r>
      <w:r>
        <w:t>、目标侧</w:t>
      </w:r>
      <w:r>
        <w:t xml:space="preserve"> δ^T</w:t>
      </w:r>
      <w:r>
        <w:t>）。对应质量不是概率：它是待解释的分配权重，其解释由代价构造（第</w:t>
      </w:r>
      <w:r>
        <w:t xml:space="preserve"> 4.2 </w:t>
      </w:r>
      <w:r>
        <w:t>节）与解码规则（第</w:t>
      </w:r>
      <w:r>
        <w:t xml:space="preserve"> 4.4 </w:t>
      </w:r>
      <w:r>
        <w:t>节）共同决定。这一形式化把跨链对应从</w:t>
      </w:r>
      <w:r>
        <w:t>"</w:t>
      </w:r>
      <w:r>
        <w:t>哪一笔对哪一笔</w:t>
      </w:r>
      <w:r>
        <w:t>"</w:t>
      </w:r>
      <w:r>
        <w:t>的检索问题扩展为</w:t>
      </w:r>
      <w:r>
        <w:t>"</w:t>
      </w:r>
      <w:r>
        <w:t>质量如何分配</w:t>
      </w:r>
      <w:r>
        <w:t>"</w:t>
      </w:r>
      <w:r>
        <w:t>的分配问题。</w:t>
      </w:r>
    </w:p>
    <w:p w14:paraId="1ADCC146" w14:textId="77777777" w:rsidR="00110BDA" w:rsidRDefault="00000000">
      <w:pPr>
        <w:pStyle w:val="21"/>
        <w:spacing w:after="120"/>
      </w:pPr>
      <w:r>
        <w:t xml:space="preserve">3.2 </w:t>
      </w:r>
      <w:r>
        <w:t>方法总览</w:t>
      </w:r>
    </w:p>
    <w:p w14:paraId="21EF5CAB" w14:textId="77777777" w:rsidR="00110BDA" w:rsidRDefault="00000000">
      <w:pPr>
        <w:spacing w:after="120" w:line="360" w:lineRule="auto"/>
        <w:ind w:firstLine="480"/>
      </w:pPr>
      <w:r>
        <w:t>UOT 以三个模块完成该任务：其一，把源/目标链证据组织为资金流并构造带取证语义的复合代价（第 4.1–4.2 节）；其二，求解熵正则非平衡最优传输得到软传输计划（第 4.2 节）；其三，对计划执行方向条件化解码，并按覆盖分层输出或弃权（第 4.3–4.5 节）。整体管线见图 2。本文的论证主线是：计划本身能表达非一对一结构，但计划数值不能直接作为对应排序——第 4.3 节给出这一失真的刻画，第 4.4 节给出解码修复，第 5.3 节在预先固定的确认性保留集上给出经验确认。</w:t>
      </w:r>
      <w:r/>
      <w:r/>
      <w:r/>
      <w:r/>
      <w:r/>
      <w:r/>
      <w:r/>
      <w:r/>
      <w:r/>
      <w:r/>
      <w:r/>
      <w:r/>
      <w:r/>
      <w:r/>
      <w:r/>
      <w:r/>
      <w:r/>
      <w:r/>
      <w:r/>
    </w:p>
    <w:p w14:paraId="76C2D579" w14:textId="77777777" w:rsidR="00110BDA" w:rsidRDefault="00000000">
      <w:pPr>
        <w:jc w:val="center"/>
      </w:pPr>
      <w:r>
        <w:rPr>
          <w:noProof/>
        </w:rPr>
        <w:drawing>
          <wp:inline distT="0" distB="0" distL="0" distR="0" wp14:anchorId="17EEBFF5" wp14:editId="3D46CC6E">
            <wp:extent cx="5580000" cy="2224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_overview.png"/>
                    <pic:cNvPicPr/>
                  </pic:nvPicPr>
                  <pic:blipFill>
                    <a:blip r:embed="rId7"/>
                    <a:stretch>
                      <a:fillRect/>
                    </a:stretch>
                  </pic:blipFill>
                  <pic:spPr>
                    <a:xfrm>
                      <a:off x="0" y="0"/>
                      <a:ext cx="5580000" cy="2224459"/>
                    </a:xfrm>
                    <a:prstGeom prst="rect">
                      <a:avLst/>
                    </a:prstGeom>
                  </pic:spPr>
                </pic:pic>
              </a:graphicData>
            </a:graphic>
          </wp:inline>
        </w:drawing>
      </w:r>
    </w:p>
    <w:p w14:paraId="2B847C7E" w14:textId="77777777" w:rsidR="00110BDA" w:rsidRDefault="00000000">
      <w:pPr>
        <w:spacing w:after="160"/>
        <w:jc w:val="center"/>
      </w:pPr>
      <w:r>
        <w:rPr>
          <w:sz w:val="21"/>
        </w:rPr>
        <w:t>图 2  UOT 六阶段框架：跨链证据 → 资金流构建 → 代价与边际构造 → UOT 软计划 P（P = diag(u)K diag(v)）→ 方向条件化解码（S_row = P_ij/c_j、S_col = P_ij/r_i、互选前 k）→ 带覆盖分层的限定输出（1→1/1→N/N→1/未匹配·弃权）；阶段 4→5 之间的橙色标注为原始计划排序失真（对偶缩放/边际压力，第 4.3 节）。</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14A8B93B" w14:textId="77777777" w:rsidR="00110BDA" w:rsidRDefault="00000000">
      <w:pPr>
        <w:pStyle w:val="1"/>
        <w:spacing w:before="280" w:after="160"/>
      </w:pPr>
      <w:r>
        <w:t xml:space="preserve">4 </w:t>
      </w:r>
      <w:r>
        <w:t>方法</w:t>
      </w:r>
    </w:p>
    <w:p w14:paraId="27D6BC8A" w14:textId="77777777" w:rsidR="00110BDA" w:rsidRDefault="00000000">
      <w:pPr>
        <w:pStyle w:val="21"/>
        <w:spacing w:after="120"/>
      </w:pPr>
      <w:r>
        <w:t xml:space="preserve">4.1 </w:t>
      </w:r>
      <w:r>
        <w:t>问题设定与资金流证据表示</w:t>
      </w:r>
    </w:p>
    <w:p w14:paraId="740BC522" w14:textId="77777777" w:rsidR="00110BDA" w:rsidRDefault="00000000">
      <w:pPr>
        <w:spacing w:after="120" w:line="360" w:lineRule="auto"/>
        <w:ind w:firstLine="480"/>
      </w:pPr>
      <w:r>
        <w:t>记源流集合</w:t>
      </w:r>
      <w:r>
        <w:t xml:space="preserve"> S = {s_1,…,s_n}</w:t>
      </w:r>
      <w:r>
        <w:t>、目标流集合</w:t>
      </w:r>
      <w:r>
        <w:t xml:space="preserve"> T = {t_1,…,t_m}</w:t>
      </w:r>
      <w:r>
        <w:t>。资金流是按主地址、链、资产上下文与滚动时间窗口（</w:t>
      </w:r>
      <w:r>
        <w:t xml:space="preserve">1800 </w:t>
      </w:r>
      <w:r>
        <w:t>秒）聚合的</w:t>
      </w:r>
      <w:r>
        <w:t xml:space="preserve"> AML </w:t>
      </w:r>
      <w:r>
        <w:t>观测单元；它不是链上原生原子，而是为取证可回溯性设计的聚合单元</w:t>
      </w:r>
      <w:r>
        <w:t xml:space="preserve"> [7]</w:t>
      </w:r>
      <w:r>
        <w:t>。流元组为</w:t>
      </w:r>
    </w:p>
    <w:p w14:paraId="0296A2BD" w14:textId="77777777" w:rsidR="00110BDA" w:rsidRDefault="00000000">
      <w:pPr>
        <w:spacing w:before="80" w:after="80"/>
        <w:jc w:val="center"/>
      </w:pPr>
      <m:oMathPara>
        <m:oMath>
          <m:r>
            <w:rPr>
              <w:rFonts w:ascii="Cambria Math" w:hAnsi="Cambria Math"/>
            </w:rPr>
            <m:t>si</m:t>
          </m:r>
          <m:sSub>
            <m:sSubPr>
              <m:ctrlPr>
                <w:rPr>
                  <w:rFonts w:ascii="Cambria Math" w:hAnsi="Cambria Math"/>
                </w:rPr>
              </m:ctrlPr>
            </m:sSubPr>
            <m:e/>
            <m:sub/>
          </m:sSub>
          <m:r>
            <w:rPr>
              <w:rFonts w:ascii="Cambria Math" w:hAnsi="Cambria Math"/>
            </w:rPr>
            <m:t xml:space="preserve"> = </m:t>
          </m:r>
          <m:d>
            <m:dPr>
              <m:ctrlPr>
                <w:rPr>
                  <w:rFonts w:ascii="Cambria Math" w:hAnsi="Cambria Math"/>
                </w:rPr>
              </m:ctrlPr>
            </m:dPr>
            <m:e>
              <m:r>
                <w:rPr>
                  <w:rFonts w:ascii="Cambria Math" w:hAnsi="Cambria Math"/>
                </w:rPr>
                <m:t>Ai</m:t>
              </m:r>
              <m:sSub>
                <m:sSubPr>
                  <m:ctrlPr>
                    <w:rPr>
                      <w:rFonts w:ascii="Cambria Math" w:hAnsi="Cambria Math"/>
                    </w:rPr>
                  </m:ctrlPr>
                </m:sSubPr>
                <m:e/>
                <m:sub/>
              </m:sSub>
              <m:r>
                <w:rPr>
                  <w:rFonts w:ascii="Cambria Math" w:hAnsi="Cambria Math"/>
                </w:rPr>
                <m:t>, ci</m:t>
              </m:r>
              <m:sSub>
                <m:sSubPr>
                  <m:ctrlPr>
                    <w:rPr>
                      <w:rFonts w:ascii="Cambria Math" w:hAnsi="Cambria Math"/>
                    </w:rPr>
                  </m:ctrlPr>
                </m:sSubPr>
                <m:e/>
                <m:sub/>
              </m:sSub>
              <m:r>
                <w:rPr>
                  <w:rFonts w:ascii="Cambria Math" w:hAnsi="Cambria Math"/>
                </w:rPr>
                <m:t>, gi</m:t>
              </m:r>
              <m:sSub>
                <m:sSubPr>
                  <m:ctrlPr>
                    <w:rPr>
                      <w:rFonts w:ascii="Cambria Math" w:hAnsi="Cambria Math"/>
                    </w:rPr>
                  </m:ctrlPr>
                </m:sSubPr>
                <m:e/>
                <m:sub/>
              </m:sSub>
              <m:r>
                <w:rPr>
                  <w:rFonts w:ascii="Cambria Math" w:hAnsi="Cambria Math"/>
                </w:rPr>
                <m:t>, τi</m:t>
              </m:r>
              <m:sSub>
                <m:sSubPr>
                  <m:ctrlPr>
                    <w:rPr>
                      <w:rFonts w:ascii="Cambria Math" w:hAnsi="Cambria Math"/>
                    </w:rPr>
                  </m:ctrlPr>
                </m:sSubPr>
                <m:e/>
                <m:sub/>
              </m:sSub>
              <m:r>
                <w:rPr>
                  <w:rFonts w:ascii="Cambria Math" w:hAnsi="Cambria Math"/>
                </w:rPr>
                <m:t>, xi</m:t>
              </m:r>
              <m:sSub>
                <m:sSubPr>
                  <m:ctrlPr>
                    <w:rPr>
                      <w:rFonts w:ascii="Cambria Math" w:hAnsi="Cambria Math"/>
                    </w:rPr>
                  </m:ctrlPr>
                </m:sSubPr>
                <m:e/>
                <m:sub/>
              </m:sSub>
              <m:r>
                <w:rPr>
                  <w:rFonts w:ascii="Cambria Math" w:hAnsi="Cambria Math"/>
                </w:rPr>
                <m:t>, Ei</m:t>
              </m:r>
              <m:sSub>
                <m:sSubPr>
                  <m:ctrlPr>
                    <w:rPr>
                      <w:rFonts w:ascii="Cambria Math" w:hAnsi="Cambria Math"/>
                    </w:rPr>
                  </m:ctrlPr>
                </m:sSubPr>
                <m:e/>
                <m:sub/>
              </m:sSub>
            </m:e>
          </m:d>
        </m:oMath>
      </m:oMathPara>
    </w:p>
    <w:p w14:paraId="67EDEA06" w14:textId="77777777" w:rsidR="00110BDA" w:rsidRDefault="00000000">
      <w:pPr>
        <w:spacing w:after="120" w:line="360" w:lineRule="auto"/>
        <w:ind w:firstLine="480"/>
      </w:pPr>
      <w:r>
        <w:lastRenderedPageBreak/>
        <w:t>其中</w:t>
      </w:r>
      <w:r>
        <w:t xml:space="preserve"> A_i </w:t>
      </w:r>
      <w:r>
        <w:t>为主地址、</w:t>
      </w:r>
      <w:r>
        <w:t xml:space="preserve">c_i </w:t>
      </w:r>
      <w:r>
        <w:t>为资产上下文、</w:t>
      </w:r>
      <w:r>
        <w:t xml:space="preserve">g_i </w:t>
      </w:r>
      <w:r>
        <w:t>为金额组、</w:t>
      </w:r>
      <w:r>
        <w:t xml:space="preserve">τ_i </w:t>
      </w:r>
      <w:r>
        <w:t>为时间区间、</w:t>
      </w:r>
      <w:r>
        <w:t xml:space="preserve">x_i </w:t>
      </w:r>
      <w:r>
        <w:t>为辅助特征、</w:t>
      </w:r>
      <w:r>
        <w:t xml:space="preserve">E_i </w:t>
      </w:r>
      <w:r>
        <w:t>为证据引用（交易、事件日志与桥事件）；</w:t>
      </w:r>
      <w:r>
        <w:t xml:space="preserve">E_i </w:t>
      </w:r>
      <w:r>
        <w:t>保证任何流级输出都能下钻回证据级。证据可观测范围决定候选空间：候选不完备是常态而非例外，因此未匹配质量与弃权是一等设计要素，而不是补救手段。</w:t>
      </w:r>
    </w:p>
    <w:p w14:paraId="2D37DF52" w14:textId="77777777" w:rsidR="00110BDA" w:rsidRDefault="00000000">
      <w:pPr>
        <w:spacing w:after="120" w:line="360" w:lineRule="auto"/>
        <w:ind w:firstLine="480"/>
      </w:pPr>
      <w:r>
        <w:t>符号约定：</w:t>
      </w:r>
      <w:r>
        <w:t>u</w:t>
      </w:r>
      <w:r>
        <w:t>、</w:t>
      </w:r>
      <w:r>
        <w:t xml:space="preserve">v </w:t>
      </w:r>
      <w:r>
        <w:t>为求解器对偶缩放（第</w:t>
      </w:r>
      <w:r>
        <w:t xml:space="preserve"> 4.3 </w:t>
      </w:r>
      <w:r>
        <w:t>节）；</w:t>
      </w:r>
      <w:r>
        <w:t xml:space="preserve">c_j = Σ_i P_ij </w:t>
      </w:r>
      <w:r>
        <w:t>为列实现质量，</w:t>
      </w:r>
      <w:r>
        <w:t xml:space="preserve">r_i = Σ_j P_ij </w:t>
      </w:r>
      <w:r>
        <w:t>为行实现质量；</w:t>
      </w:r>
      <w:r>
        <w:t>δ^S</w:t>
      </w:r>
      <w:r>
        <w:t>、</w:t>
      </w:r>
      <w:r>
        <w:t xml:space="preserve">δ^T </w:t>
      </w:r>
      <w:r>
        <w:t>分别为源侧与目标侧的未匹配质量；代价子项权重记为</w:t>
      </w:r>
      <w:r>
        <w:t xml:space="preserve"> w_amt</w:t>
      </w:r>
      <w:r>
        <w:t>、</w:t>
      </w:r>
      <w:r>
        <w:t>w_time</w:t>
      </w:r>
      <w:r>
        <w:t>、</w:t>
      </w:r>
      <w:r>
        <w:t>w_route</w:t>
      </w:r>
      <w:r>
        <w:t>、</w:t>
      </w:r>
      <w:r>
        <w:t>w_risk</w:t>
      </w:r>
      <w:r>
        <w:t>、</w:t>
      </w:r>
      <w:r>
        <w:t>w_evid</w:t>
      </w:r>
      <w:r>
        <w:t>。</w:t>
      </w:r>
    </w:p>
    <w:p w14:paraId="537F0FED" w14:textId="77777777" w:rsidR="00110BDA" w:rsidRDefault="00000000">
      <w:pPr>
        <w:pStyle w:val="21"/>
        <w:spacing w:after="120"/>
      </w:pPr>
      <w:r>
        <w:t xml:space="preserve">4.2 </w:t>
      </w:r>
      <w:r>
        <w:t>运输形式化、代价与边际</w:t>
      </w:r>
    </w:p>
    <w:p w14:paraId="4C92C758" w14:textId="77777777" w:rsidR="00110BDA" w:rsidRDefault="00000000">
      <w:pPr>
        <w:spacing w:after="120" w:line="360" w:lineRule="auto"/>
        <w:ind w:firstLine="480"/>
      </w:pPr>
      <w:r>
        <w:t>UOT 求解熵正则非平衡最优传输</w:t>
      </w:r>
      <w:r/>
    </w:p>
    <w:p w14:paraId="35F6696A" w14:textId="77777777" w:rsidR="00110BDA" w:rsidRDefault="00000000">
      <w:pPr>
        <w:spacing w:before="80" w:after="80"/>
        <w:jc w:val="center"/>
      </w:pPr>
      <m:oMathPara>
        <m:oMath>
          <m:r>
            <w:rPr>
              <w:rFonts w:ascii="Cambria Math" w:hAnsi="Cambria Math"/>
            </w:rPr>
            <m:t>minP ≥ 0</m:t>
          </m:r>
          <m:sSub>
            <m:sSubPr>
              <m:ctrlPr>
                <w:rPr>
                  <w:rFonts w:ascii="Cambria Math" w:hAnsi="Cambria Math"/>
                </w:rPr>
              </m:ctrlPr>
            </m:sSubPr>
            <m:e/>
            <m:sub/>
          </m:sSub>
          <m:r>
            <w:rPr>
              <w:rFonts w:ascii="Cambria Math" w:hAnsi="Cambria Math"/>
            </w:rPr>
            <m:t xml:space="preserve"> </m:t>
          </m:r>
          <m:d>
            <m:dPr>
              <m:begChr m:val="⟨"/>
              <m:endChr m:val="⟩"/>
              <m:ctrlPr>
                <w:rPr>
                  <w:rFonts w:ascii="Cambria Math" w:hAnsi="Cambria Math"/>
                </w:rPr>
              </m:ctrlPr>
            </m:dPr>
            <m:e>
              <m:r>
                <w:rPr>
                  <w:rFonts w:ascii="Cambria Math" w:hAnsi="Cambria Math"/>
                </w:rPr>
                <m:t>C, P</m:t>
              </m:r>
            </m:e>
          </m:d>
          <m:r>
            <w:rPr>
              <w:rFonts w:ascii="Cambria Math" w:hAnsi="Cambria Math"/>
            </w:rPr>
            <m:t xml:space="preserve"> + ε Ω(P) + λs</m:t>
          </m:r>
          <m:sSub>
            <m:sSubPr>
              <m:ctrlPr>
                <w:rPr>
                  <w:rFonts w:ascii="Cambria Math" w:hAnsi="Cambria Math"/>
                </w:rPr>
              </m:ctrlPr>
            </m:sSubPr>
            <m:e/>
            <m:sub/>
          </m:sSub>
          <m:r>
            <w:rPr>
              <w:rFonts w:ascii="Cambria Math" w:hAnsi="Cambria Math"/>
            </w:rPr>
            <m:t xml:space="preserve"> KL</m:t>
          </m:r>
          <m:d>
            <m:dPr>
              <m:ctrlPr>
                <w:rPr>
                  <w:rFonts w:ascii="Cambria Math" w:hAnsi="Cambria Math"/>
                </w:rPr>
              </m:ctrlPr>
            </m:dPr>
            <m:e>
              <m:r>
                <w:rPr>
                  <w:rFonts w:ascii="Cambria Math" w:hAnsi="Cambria Math"/>
                </w:rPr>
                <m:t>P1m</m:t>
              </m:r>
              <m:sSub>
                <m:sSubPr>
                  <m:ctrlPr>
                    <w:rPr>
                      <w:rFonts w:ascii="Cambria Math" w:hAnsi="Cambria Math"/>
                    </w:rPr>
                  </m:ctrlPr>
                </m:sSubPr>
                <m:e/>
                <m:sub/>
              </m:sSub>
              <m:r>
                <w:rPr>
                  <w:rFonts w:ascii="Cambria Math" w:hAnsi="Cambria Math"/>
                </w:rPr>
                <m:t xml:space="preserve"> ‖ μ</m:t>
              </m:r>
            </m:e>
          </m:d>
          <m:r>
            <w:rPr>
              <w:rFonts w:ascii="Cambria Math" w:hAnsi="Cambria Math"/>
            </w:rPr>
            <m:t xml:space="preserve"> + λt</m:t>
          </m:r>
          <m:sSub>
            <m:sSubPr>
              <m:ctrlPr>
                <w:rPr>
                  <w:rFonts w:ascii="Cambria Math" w:hAnsi="Cambria Math"/>
                </w:rPr>
              </m:ctrlPr>
            </m:sSubPr>
            <m:e/>
            <m:sub/>
          </m:sSub>
          <m:r>
            <w:rPr>
              <w:rFonts w:ascii="Cambria Math" w:hAnsi="Cambria Math"/>
            </w:rPr>
            <m:t xml:space="preserve"> KL</m:t>
          </m:r>
          <m:d>
            <m:dPr>
              <m:ctrlPr>
                <w:rPr>
                  <w:rFonts w:ascii="Cambria Math" w:hAnsi="Cambria Math"/>
                </w:rPr>
              </m:ctrlPr>
            </m:dPr>
            <m:e>
              <m:r>
                <w:rPr>
                  <w:rFonts w:ascii="Cambria Math" w:hAnsi="Cambria Math"/>
                </w:rPr>
                <m:t>PT</m:t>
              </m:r>
              <m:sSup>
                <m:sSupPr>
                  <m:ctrlPr>
                    <w:rPr>
                      <w:rFonts w:ascii="Cambria Math" w:hAnsi="Cambria Math"/>
                    </w:rPr>
                  </m:ctrlPr>
                </m:sSupPr>
                <m:e/>
                <m:sup/>
              </m:sSup>
              <m:r>
                <w:rPr>
                  <w:rFonts w:ascii="Cambria Math" w:hAnsi="Cambria Math"/>
                </w:rPr>
                <m:t>1n</m:t>
              </m:r>
              <m:sSub>
                <m:sSubPr>
                  <m:ctrlPr>
                    <w:rPr>
                      <w:rFonts w:ascii="Cambria Math" w:hAnsi="Cambria Math"/>
                    </w:rPr>
                  </m:ctrlPr>
                </m:sSubPr>
                <m:e/>
                <m:sub/>
              </m:sSub>
              <m:r>
                <w:rPr>
                  <w:rFonts w:ascii="Cambria Math" w:hAnsi="Cambria Math"/>
                </w:rPr>
                <m:t xml:space="preserve"> ‖ ν</m:t>
              </m:r>
            </m:e>
          </m:d>
        </m:oMath>
      </m:oMathPara>
    </w:p>
    <w:p w14:paraId="4936D74E" w14:textId="77777777" w:rsidR="00110BDA" w:rsidRDefault="00000000">
      <w:pPr>
        <w:spacing w:after="120" w:line="360" w:lineRule="auto"/>
        <w:ind w:firstLine="480"/>
      </w:pPr>
      <w:r>
        <w:t>其中第一项为总传输代价，</w:t>
      </w:r>
      <w:r>
        <w:t xml:space="preserve">Ω(P) </w:t>
      </w:r>
      <w:r>
        <w:t>为熵正则</w:t>
      </w:r>
      <w:r>
        <w:t xml:space="preserve"> [9]</w:t>
      </w:r>
      <w:r>
        <w:t>，后两项为</w:t>
      </w:r>
      <w:r>
        <w:t xml:space="preserve"> KL </w:t>
      </w:r>
      <w:r>
        <w:t>边际罚：源侧与目标侧的边际匹配被放松，允许出现未匹配质量</w:t>
      </w:r>
      <w:r>
        <w:t xml:space="preserve"> [10,36]</w:t>
      </w:r>
      <w:r>
        <w:t>。采用非平衡形式的动机是候选不完备与证据缺失：边际本身不可靠时，硬性满足边际会把误差强制分配给错误候选；未匹配质量把</w:t>
      </w:r>
      <w:r>
        <w:t>"</w:t>
      </w:r>
      <w:r>
        <w:t>这笔钱可能没有出现在目标链</w:t>
      </w:r>
      <w:r>
        <w:t>"</w:t>
      </w:r>
      <w:r>
        <w:t>与</w:t>
      </w:r>
      <w:r>
        <w:t>"</w:t>
      </w:r>
      <w:r>
        <w:t>证据缺失</w:t>
      </w:r>
      <w:r>
        <w:t>"</w:t>
      </w:r>
      <w:r>
        <w:t>两种情况显式纳入模型。非平衡形式的排序价值是一个经验问题：第</w:t>
      </w:r>
      <w:r>
        <w:t xml:space="preserve"> 5.3 </w:t>
      </w:r>
      <w:r>
        <w:t>节显示，平衡与非平衡条件解码的差异置信区间包含零。</w:t>
      </w:r>
    </w:p>
    <w:p w14:paraId="57EEB655" w14:textId="77777777" w:rsidR="00110BDA" w:rsidRDefault="00000000">
      <w:pPr>
        <w:spacing w:after="120" w:line="360" w:lineRule="auto"/>
        <w:ind w:firstLine="480"/>
      </w:pPr>
      <w:r>
        <w:t>代价分解为</w:t>
      </w:r>
    </w:p>
    <w:p w14:paraId="7BD5C367" w14:textId="77777777" w:rsidR="00110BDA" w:rsidRDefault="00000000">
      <w:pPr>
        <w:spacing w:before="80" w:after="80"/>
        <w:jc w:val="center"/>
      </w:pPr>
      <m:oMathPara>
        <m:oMath>
          <m:r>
            <w:rPr>
              <w:rFonts w:ascii="Cambria Math" w:hAnsi="Cambria Math"/>
            </w:rPr>
            <m:t>Cij</m:t>
          </m:r>
          <m:sSub>
            <m:sSubPr>
              <m:ctrlPr>
                <w:rPr>
                  <w:rFonts w:ascii="Cambria Math" w:hAnsi="Cambria Math"/>
                </w:rPr>
              </m:ctrlPr>
            </m:sSubPr>
            <m:e/>
            <m:sub/>
          </m:sSub>
          <m:r>
            <w:rPr>
              <w:rFonts w:ascii="Cambria Math" w:hAnsi="Cambria Math"/>
            </w:rPr>
            <m:t xml:space="preserve"> = wamt</m:t>
          </m:r>
          <m:sSub>
            <m:sSubPr>
              <m:ctrlPr>
                <w:rPr>
                  <w:rFonts w:ascii="Cambria Math" w:hAnsi="Cambria Math"/>
                </w:rPr>
              </m:ctrlPr>
            </m:sSubPr>
            <m:e/>
            <m:sub/>
          </m:sSub>
          <m:r>
            <w:rPr>
              <w:rFonts w:ascii="Cambria Math" w:hAnsi="Cambria Math"/>
            </w:rPr>
            <m:t xml:space="preserve"> camt</m:t>
          </m:r>
          <m:sSub>
            <m:sSubPr>
              <m:ctrlPr>
                <w:rPr>
                  <w:rFonts w:ascii="Cambria Math" w:hAnsi="Cambria Math"/>
                </w:rPr>
              </m:ctrlPr>
            </m:sSubPr>
            <m:e/>
            <m:sub/>
          </m:sSub>
          <m:r>
            <w:rPr>
              <w:rFonts w:ascii="Cambria Math" w:hAnsi="Cambria Math"/>
            </w:rPr>
            <m:t>(i, j) + wtime</m:t>
          </m:r>
          <m:sSub>
            <m:sSubPr>
              <m:ctrlPr>
                <w:rPr>
                  <w:rFonts w:ascii="Cambria Math" w:hAnsi="Cambria Math"/>
                </w:rPr>
              </m:ctrlPr>
            </m:sSubPr>
            <m:e/>
            <m:sub/>
          </m:sSub>
          <m:r>
            <w:rPr>
              <w:rFonts w:ascii="Cambria Math" w:hAnsi="Cambria Math"/>
            </w:rPr>
            <m:t xml:space="preserve"> ctime</m:t>
          </m:r>
          <m:sSub>
            <m:sSubPr>
              <m:ctrlPr>
                <w:rPr>
                  <w:rFonts w:ascii="Cambria Math" w:hAnsi="Cambria Math"/>
                </w:rPr>
              </m:ctrlPr>
            </m:sSubPr>
            <m:e/>
            <m:sub/>
          </m:sSub>
          <m:r>
            <w:rPr>
              <w:rFonts w:ascii="Cambria Math" w:hAnsi="Cambria Math"/>
            </w:rPr>
            <m:t>(i, j) + wroute</m:t>
          </m:r>
          <m:sSub>
            <m:sSubPr>
              <m:ctrlPr>
                <w:rPr>
                  <w:rFonts w:ascii="Cambria Math" w:hAnsi="Cambria Math"/>
                </w:rPr>
              </m:ctrlPr>
            </m:sSubPr>
            <m:e/>
            <m:sub/>
          </m:sSub>
          <m:r>
            <w:rPr>
              <w:rFonts w:ascii="Cambria Math" w:hAnsi="Cambria Math"/>
            </w:rPr>
            <m:t xml:space="preserve"> croute</m:t>
          </m:r>
          <m:sSub>
            <m:sSubPr>
              <m:ctrlPr>
                <w:rPr>
                  <w:rFonts w:ascii="Cambria Math" w:hAnsi="Cambria Math"/>
                </w:rPr>
              </m:ctrlPr>
            </m:sSubPr>
            <m:e/>
            <m:sub/>
          </m:sSub>
          <m:r>
            <w:rPr>
              <w:rFonts w:ascii="Cambria Math" w:hAnsi="Cambria Math"/>
            </w:rPr>
            <m:t>(i, j) + wrisk</m:t>
          </m:r>
          <m:sSub>
            <m:sSubPr>
              <m:ctrlPr>
                <w:rPr>
                  <w:rFonts w:ascii="Cambria Math" w:hAnsi="Cambria Math"/>
                </w:rPr>
              </m:ctrlPr>
            </m:sSubPr>
            <m:e/>
            <m:sub/>
          </m:sSub>
          <m:r>
            <w:rPr>
              <w:rFonts w:ascii="Cambria Math" w:hAnsi="Cambria Math"/>
            </w:rPr>
            <m:t xml:space="preserve"> crisk</m:t>
          </m:r>
          <m:sSub>
            <m:sSubPr>
              <m:ctrlPr>
                <w:rPr>
                  <w:rFonts w:ascii="Cambria Math" w:hAnsi="Cambria Math"/>
                </w:rPr>
              </m:ctrlPr>
            </m:sSubPr>
            <m:e/>
            <m:sub/>
          </m:sSub>
          <m:r>
            <w:rPr>
              <w:rFonts w:ascii="Cambria Math" w:hAnsi="Cambria Math"/>
            </w:rPr>
            <m:t>(i, j) + wevid</m:t>
          </m:r>
          <m:sSub>
            <m:sSubPr>
              <m:ctrlPr>
                <w:rPr>
                  <w:rFonts w:ascii="Cambria Math" w:hAnsi="Cambria Math"/>
                </w:rPr>
              </m:ctrlPr>
            </m:sSubPr>
            <m:e/>
            <m:sub/>
          </m:sSub>
          <m:r>
            <w:rPr>
              <w:rFonts w:ascii="Cambria Math" w:hAnsi="Cambria Math"/>
            </w:rPr>
            <m:t xml:space="preserve"> cevid</m:t>
          </m:r>
          <m:sSub>
            <m:sSubPr>
              <m:ctrlPr>
                <w:rPr>
                  <w:rFonts w:ascii="Cambria Math" w:hAnsi="Cambria Math"/>
                </w:rPr>
              </m:ctrlPr>
            </m:sSubPr>
            <m:e/>
            <m:sub/>
          </m:sSub>
          <m:r>
            <w:rPr>
              <w:rFonts w:ascii="Cambria Math" w:hAnsi="Cambria Math"/>
            </w:rPr>
            <m:t>(i, j)</m:t>
          </m:r>
        </m:oMath>
      </m:oMathPara>
    </w:p>
    <w:p w14:paraId="52B62F2B" w14:textId="77777777" w:rsidR="00110BDA" w:rsidRDefault="00000000">
      <w:pPr>
        <w:spacing w:after="120" w:line="360" w:lineRule="auto"/>
        <w:ind w:firstLine="480"/>
      </w:pPr>
      <w:r>
        <w:t>五个子项分别编码：金额失配，容忍手续费与汇率的合法漂移而非硬等值；时间因果与延迟可行性，目标流必须落在源流之后且满足跨链延迟可行窗；路径一致性，源—目标是否经同一桥协议或合理路由拓扑；风险对齐，AML 风险画像的一致性，作为上游风险输入的接口项保留；证据质量，证据薄弱的候选对被惩罚，使输出质量可排序。风险与证据项仅作为接口/约束特征纳入代价与边际，其独立贡献均未单独量化，本文不作逐项贡献主张。</w:t>
      </w:r>
      <w:r/>
      <w:r/>
      <w:r/>
      <w:r/>
    </w:p>
    <w:p w14:paraId="323C5C10" w14:textId="77777777" w:rsidR="00110BDA" w:rsidRDefault="00000000">
      <w:pPr>
        <w:spacing w:after="120" w:line="360" w:lineRule="auto"/>
        <w:ind w:firstLine="480"/>
      </w:pPr>
      <w:r>
        <w:t>边际设计上，在部分观测下，源</w:t>
      </w:r>
      <w:r>
        <w:t>/</w:t>
      </w:r>
      <w:r>
        <w:t>目标边际由可观测质量构造，并预留未匹配质量（</w:t>
      </w:r>
      <w:r>
        <w:t>δ^S</w:t>
      </w:r>
      <w:r>
        <w:t>、</w:t>
      </w:r>
      <w:r>
        <w:t>δ^T</w:t>
      </w:r>
      <w:r>
        <w:t>）；风险信息除代价子项外也体现在边际构造中。这一设计的完整常数（正则系数、边际罚系数与窗口）在补充材料的确认性协议中给出。</w:t>
      </w:r>
    </w:p>
    <w:p w14:paraId="50A4AAAD" w14:textId="77777777" w:rsidR="00110BDA" w:rsidRDefault="00000000">
      <w:pPr>
        <w:pStyle w:val="21"/>
        <w:spacing w:after="120"/>
      </w:pPr>
      <w:r>
        <w:lastRenderedPageBreak/>
        <w:t xml:space="preserve">4.3 </w:t>
      </w:r>
      <w:r>
        <w:t>原始传输计划的排序失真</w:t>
      </w:r>
    </w:p>
    <w:p w14:paraId="58349905" w14:textId="77777777" w:rsidR="00110BDA" w:rsidRDefault="00000000">
      <w:pPr>
        <w:spacing w:after="120" w:line="360" w:lineRule="auto"/>
        <w:ind w:firstLine="480"/>
      </w:pPr>
      <w:r>
        <w:t>熵正则计划的求解具有分解结构</w:t>
      </w:r>
    </w:p>
    <w:p w14:paraId="74DF3D6A" w14:textId="77777777" w:rsidR="00110BDA" w:rsidRDefault="00000000">
      <w:pPr>
        <w:spacing w:before="80" w:after="80"/>
        <w:jc w:val="center"/>
      </w:pPr>
      <m:oMathPara>
        <m:oMath>
          <m:r>
            <w:rPr>
              <w:rFonts w:ascii="Cambria Math" w:hAnsi="Cambria Math"/>
            </w:rPr>
            <m:t>P = diag(u) K diag(v),   Kij</m:t>
          </m:r>
          <m:sSub>
            <m:sSubPr>
              <m:ctrlPr>
                <w:rPr>
                  <w:rFonts w:ascii="Cambria Math" w:hAnsi="Cambria Math"/>
                </w:rPr>
              </m:ctrlPr>
            </m:sSubPr>
            <m:e/>
            <m:sub/>
          </m:sSub>
          <m:r>
            <w:rPr>
              <w:rFonts w:ascii="Cambria Math" w:hAnsi="Cambria Math"/>
            </w:rPr>
            <m:t xml:space="preserve"> = exp(-Cij</m:t>
          </m:r>
          <m:sSub>
            <m:sSubPr>
              <m:ctrlPr>
                <w:rPr>
                  <w:rFonts w:ascii="Cambria Math" w:hAnsi="Cambria Math"/>
                </w:rPr>
              </m:ctrlPr>
            </m:sSubPr>
            <m:e/>
            <m:sub/>
          </m:sSub>
          <m:r>
            <w:rPr>
              <w:rFonts w:ascii="Cambria Math" w:hAnsi="Cambria Math"/>
            </w:rPr>
            <m:t>/ε).</m:t>
          </m:r>
        </m:oMath>
      </m:oMathPara>
    </w:p>
    <w:p w14:paraId="3343FB3A" w14:textId="77777777" w:rsidR="00110BDA" w:rsidRDefault="00000000">
      <w:pPr>
        <w:spacing w:after="120" w:line="360" w:lineRule="auto"/>
        <w:ind w:firstLine="480"/>
      </w:pPr>
      <w:r>
        <w:t>其中</w:t>
      </w:r>
      <w:r>
        <w:t xml:space="preserve"> u</w:t>
      </w:r>
      <w:r>
        <w:t>、</w:t>
      </w:r>
      <w:r>
        <w:t xml:space="preserve">v </w:t>
      </w:r>
      <w:r>
        <w:t>分别为行</w:t>
      </w:r>
      <w:r>
        <w:t>/</w:t>
      </w:r>
      <w:r>
        <w:t>列对偶缩放。这一结构意味着计划数值是三项的乘积：核评分</w:t>
      </w:r>
      <w:r>
        <w:t xml:space="preserve"> K_ij </w:t>
      </w:r>
      <w:r>
        <w:t>与两侧缩放</w:t>
      </w:r>
      <w:r>
        <w:t xml:space="preserve"> u_i</w:t>
      </w:r>
      <w:r>
        <w:t>、</w:t>
      </w:r>
      <w:r>
        <w:t>v_j</w:t>
      </w:r>
      <w:r>
        <w:t>。按</w:t>
      </w:r>
      <w:r>
        <w:t xml:space="preserve"> P </w:t>
      </w:r>
      <w:r>
        <w:t>直接对行</w:t>
      </w:r>
      <w:r>
        <w:t xml:space="preserve"> i </w:t>
      </w:r>
      <w:r>
        <w:t>排序时，目标侧公共缩放</w:t>
      </w:r>
      <w:r>
        <w:t xml:space="preserve"> v_j </w:t>
      </w:r>
      <w:r>
        <w:t>乘性地进入每个候选，而</w:t>
      </w:r>
      <w:r>
        <w:t xml:space="preserve"> v </w:t>
      </w:r>
      <w:r>
        <w:t>来自边际约束的对偶，与候选本身是否成立无关；同时边际压力通过求解过程间接塑造</w:t>
      </w:r>
      <w:r>
        <w:t xml:space="preserve"> u</w:t>
      </w:r>
      <w:r>
        <w:t>、</w:t>
      </w:r>
      <w:r>
        <w:t xml:space="preserve">v </w:t>
      </w:r>
      <w:r>
        <w:t>的取值。因此，计划数值不是对应分数，而是核评分与对偶缩放的混合体：一个在核评分下相对有利的候选边，可能因为求解器只分配给它很小的实现质量而排不进前</w:t>
      </w:r>
      <w:r>
        <w:t xml:space="preserve"> k</w:t>
      </w:r>
      <w:r>
        <w:t>。</w:t>
      </w:r>
    </w:p>
    <w:p w14:paraId="5209B351" w14:textId="77777777" w:rsidR="00110BDA" w:rsidRDefault="00000000">
      <w:pPr>
        <w:spacing w:after="120" w:line="360" w:lineRule="auto"/>
        <w:ind w:firstLine="480"/>
      </w:pPr>
      <w:r>
        <w:t>以</w:t>
      </w:r>
      <w:r>
        <w:t xml:space="preserve"> 2×2 </w:t>
      </w:r>
      <w:r>
        <w:t>情形说明该机制。设示意核评分</w:t>
      </w:r>
      <w:r>
        <w:t xml:space="preserve"> K = [[0.6, 0.8], [0.9, 0.1]]</w:t>
      </w:r>
      <w:r>
        <w:t>，对偶缩放</w:t>
      </w:r>
      <w:r>
        <w:t xml:space="preserve"> u = (1, 1)</w:t>
      </w:r>
      <w:r>
        <w:t>、</w:t>
      </w:r>
      <w:r>
        <w:t>v = (4, 1)</w:t>
      </w:r>
      <w:r>
        <w:t>，则计划</w:t>
      </w:r>
      <w:r>
        <w:t xml:space="preserve"> P = diag(u) K diag(v) = [[2.4, 0.8], [3.6, 0.1]]</w:t>
      </w:r>
      <w:r>
        <w:t>。设示意真对应为</w:t>
      </w:r>
      <w:r>
        <w:t xml:space="preserve"> s1→t2</w:t>
      </w:r>
      <w:r>
        <w:t>、</w:t>
      </w:r>
      <w:r>
        <w:t>s2→t1</w:t>
      </w:r>
      <w:r>
        <w:t>。核评分本身偏向该真对应（</w:t>
      </w:r>
      <w:r>
        <w:t xml:space="preserve">K_12 &gt; K_11 </w:t>
      </w:r>
      <w:r>
        <w:t>且</w:t>
      </w:r>
      <w:r>
        <w:t xml:space="preserve"> K_21 &gt; K_22</w:t>
      </w:r>
      <w:r>
        <w:t>），但按计划行排序时，</w:t>
      </w:r>
      <w:r>
        <w:t xml:space="preserve">s1 </w:t>
      </w:r>
      <w:r>
        <w:t>行因</w:t>
      </w:r>
      <w:r>
        <w:t xml:space="preserve"> P_11 = 2.4 &gt; P_12 = 0.8 </w:t>
      </w:r>
      <w:r>
        <w:t>而翻转。列质量</w:t>
      </w:r>
      <w:r>
        <w:t xml:space="preserve"> c_1 = 6.0</w:t>
      </w:r>
      <w:r>
        <w:t>、</w:t>
      </w:r>
      <w:r>
        <w:t>c_2 = 0.9</w:t>
      </w:r>
      <w:r>
        <w:t>；行向条件分数</w:t>
      </w:r>
      <w:r>
        <w:t xml:space="preserve"> S^row_11 = 2.4/6.0 = 0.40</w:t>
      </w:r>
      <w:r>
        <w:t>、</w:t>
      </w:r>
      <w:r>
        <w:t>S^row_12 = 0.8/0.9 ≈ 0.89</w:t>
      </w:r>
      <w:r>
        <w:t>，</w:t>
      </w:r>
      <w:r>
        <w:t xml:space="preserve">s1 </w:t>
      </w:r>
      <w:r>
        <w:t>的排序恢复为</w:t>
      </w:r>
      <w:r>
        <w:t xml:space="preserve"> t2</w:t>
      </w:r>
      <w:r>
        <w:t>。列向互选一致：</w:t>
      </w:r>
      <w:r>
        <w:t>r_1 = 3.2</w:t>
      </w:r>
      <w:r>
        <w:t>、</w:t>
      </w:r>
      <w:r>
        <w:t>r_2 = 3.7</w:t>
      </w:r>
      <w:r>
        <w:t>，对</w:t>
      </w:r>
      <w:r>
        <w:t xml:space="preserve"> t1 </w:t>
      </w:r>
      <w:r>
        <w:t>有</w:t>
      </w:r>
      <w:r>
        <w:t xml:space="preserve"> S^col_21 &gt; S^col_11</w:t>
      </w:r>
      <w:r>
        <w:t>，对</w:t>
      </w:r>
      <w:r>
        <w:t xml:space="preserve"> t2 </w:t>
      </w:r>
      <w:r>
        <w:t>有</w:t>
      </w:r>
      <w:r>
        <w:t xml:space="preserve"> S^col_12 &gt; S^col_22</w:t>
      </w:r>
      <w:r>
        <w:t>，双方互选得到示意真对应。本例仅用于解释缩放因子如何改变排序，数值为教学性示意，不来自任何实验或数据集。</w:t>
      </w:r>
    </w:p>
    <w:p w14:paraId="5930FCB2" w14:textId="77777777" w:rsidR="00110BDA" w:rsidRDefault="00000000">
      <w:pPr>
        <w:jc w:val="center"/>
      </w:pPr>
      <w:r>
        <w:rPr>
          <w:noProof/>
        </w:rPr>
        <w:drawing>
          <wp:inline distT="0" distB="0" distL="0" distR="0" wp14:anchorId="601D7B2A" wp14:editId="660AE6FA">
            <wp:extent cx="5580000" cy="2856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stortion_mechanism.png"/>
                    <pic:cNvPicPr/>
                  </pic:nvPicPr>
                  <pic:blipFill>
                    <a:blip r:embed="rId8"/>
                    <a:stretch>
                      <a:fillRect/>
                    </a:stretch>
                  </pic:blipFill>
                  <pic:spPr>
                    <a:xfrm>
                      <a:off x="0" y="0"/>
                      <a:ext cx="5580000" cy="2856093"/>
                    </a:xfrm>
                    <a:prstGeom prst="rect">
                      <a:avLst/>
                    </a:prstGeom>
                  </pic:spPr>
                </pic:pic>
              </a:graphicData>
            </a:graphic>
          </wp:inline>
        </w:drawing>
      </w:r>
    </w:p>
    <w:p w14:paraId="475B2370" w14:textId="77777777" w:rsidR="00110BDA" w:rsidRDefault="00000000">
      <w:pPr>
        <w:spacing w:after="160"/>
        <w:jc w:val="center"/>
      </w:pPr>
      <w:r>
        <w:rPr>
          <w:sz w:val="21"/>
        </w:rPr>
        <w:lastRenderedPageBreak/>
        <w:t>图</w:t>
      </w:r>
      <w:r>
        <w:rPr>
          <w:sz w:val="21"/>
        </w:rPr>
        <w:t xml:space="preserve"> 3  </w:t>
      </w:r>
      <w:r>
        <w:rPr>
          <w:sz w:val="21"/>
        </w:rPr>
        <w:t>排序失真机制（</w:t>
      </w:r>
      <w:r>
        <w:rPr>
          <w:sz w:val="21"/>
        </w:rPr>
        <w:t xml:space="preserve">2×2 </w:t>
      </w:r>
      <w:r>
        <w:rPr>
          <w:sz w:val="21"/>
        </w:rPr>
        <w:t>示意）：</w:t>
      </w:r>
      <w:r>
        <w:rPr>
          <w:sz w:val="21"/>
        </w:rPr>
        <w:t xml:space="preserve">(a) </w:t>
      </w:r>
      <w:r>
        <w:rPr>
          <w:sz w:val="21"/>
        </w:rPr>
        <w:t>核评分偏向示意真对应（</w:t>
      </w:r>
      <w:r>
        <w:rPr>
          <w:sz w:val="21"/>
        </w:rPr>
        <w:t>s1→t2</w:t>
      </w:r>
      <w:r>
        <w:rPr>
          <w:sz w:val="21"/>
        </w:rPr>
        <w:t>、</w:t>
      </w:r>
      <w:r>
        <w:rPr>
          <w:sz w:val="21"/>
        </w:rPr>
        <w:t>s2→t1</w:t>
      </w:r>
      <w:r>
        <w:rPr>
          <w:sz w:val="21"/>
        </w:rPr>
        <w:t>）；</w:t>
      </w:r>
      <w:r>
        <w:rPr>
          <w:sz w:val="21"/>
        </w:rPr>
        <w:t xml:space="preserve">(b) </w:t>
      </w:r>
      <w:r>
        <w:rPr>
          <w:sz w:val="21"/>
        </w:rPr>
        <w:t>经目标侧缩放</w:t>
      </w:r>
      <w:r>
        <w:rPr>
          <w:sz w:val="21"/>
        </w:rPr>
        <w:t xml:space="preserve"> v = (4, 1) </w:t>
      </w:r>
      <w:r>
        <w:rPr>
          <w:sz w:val="21"/>
        </w:rPr>
        <w:t>后计划排序翻转；</w:t>
      </w:r>
      <w:r>
        <w:rPr>
          <w:sz w:val="21"/>
        </w:rPr>
        <w:t xml:space="preserve">(c) </w:t>
      </w:r>
      <w:r>
        <w:rPr>
          <w:sz w:val="21"/>
        </w:rPr>
        <w:t>行向条件分数恢复排序、列向互选一致。本例仅用于解释缩放因子如何改变排序，数值为教学性示意，不来自任何实验或数据集。</w:t>
      </w:r>
    </w:p>
    <w:p w14:paraId="0E6B5350" w14:textId="77777777" w:rsidR="00110BDA" w:rsidRDefault="00000000">
      <w:pPr>
        <w:pStyle w:val="21"/>
        <w:spacing w:after="120"/>
      </w:pPr>
      <w:r>
        <w:t xml:space="preserve">4.4 </w:t>
      </w:r>
      <w:r>
        <w:t>方向条件化解码</w:t>
      </w:r>
    </w:p>
    <w:p w14:paraId="4667CC73" w14:textId="77777777" w:rsidR="00110BDA" w:rsidRDefault="00000000">
      <w:pPr>
        <w:spacing w:after="120" w:line="360" w:lineRule="auto"/>
        <w:ind w:firstLine="480"/>
      </w:pPr>
      <w:r>
        <w:t>解码把计划映射为报告边。定义行向条件分数</w:t>
      </w:r>
      <w:r>
        <w:t xml:space="preserve"> S^row_ij = P_ij / c_j </w:t>
      </w:r>
      <w:r>
        <w:t>与列向条件分数</w:t>
      </w:r>
      <w:r>
        <w:t xml:space="preserve"> S^col_ij = P_ij / r_i</w:t>
      </w:r>
      <w:r>
        <w:t>，并按互选前</w:t>
      </w:r>
      <w:r>
        <w:t xml:space="preserve"> k </w:t>
      </w:r>
      <w:r>
        <w:t>规则输出：仅当候选在两侧条件分数中均进入前</w:t>
      </w:r>
      <w:r>
        <w:t xml:space="preserve"> k</w:t>
      </w:r>
      <w:r>
        <w:t>（</w:t>
      </w:r>
      <w:r>
        <w:t>k = 5</w:t>
      </w:r>
      <w:r>
        <w:t>）时才输出为对应边。</w:t>
      </w:r>
    </w:p>
    <w:p w14:paraId="171B2DF3" w14:textId="77777777" w:rsidR="00110BDA" w:rsidRDefault="00000000">
      <w:pPr>
        <w:spacing w:after="120" w:line="360" w:lineRule="auto"/>
        <w:ind w:firstLine="480"/>
      </w:pPr>
      <w:r>
        <w:rPr>
          <w:b/>
        </w:rPr>
        <w:t>命题</w:t>
      </w:r>
      <w:r>
        <w:rPr>
          <w:b/>
        </w:rPr>
        <w:t xml:space="preserve"> 1</w:t>
      </w:r>
      <w:r>
        <w:rPr>
          <w:b/>
        </w:rPr>
        <w:t>（双重消除）。</w:t>
      </w:r>
      <w:r>
        <w:t>设</w:t>
      </w:r>
      <w:r>
        <w:t xml:space="preserve"> P = diag(u)K diag(v) </w:t>
      </w:r>
      <w:r>
        <w:t>且</w:t>
      </w:r>
      <w:r>
        <w:t xml:space="preserve"> u_i, v_j, K_ij &gt; 0</w:t>
      </w:r>
      <w:r>
        <w:t>，则</w:t>
      </w:r>
    </w:p>
    <w:p w14:paraId="08BE7269" w14:textId="77777777" w:rsidR="00110BDA" w:rsidRDefault="00000000">
      <w:pPr>
        <w:spacing w:before="80" w:after="80"/>
        <w:jc w:val="center"/>
      </w:pPr>
      <m:oMathPara>
        <m:oMath>
          <m:r>
            <w:rPr>
              <w:rFonts w:ascii="Cambria Math" w:hAnsi="Cambria Math"/>
            </w:rPr>
            <m:t>Sijrow</m:t>
          </m:r>
          <m:sSubSup>
            <m:sSubSupPr>
              <m:ctrlPr>
                <w:rPr>
                  <w:rFonts w:ascii="Cambria Math" w:hAnsi="Cambria Math"/>
                </w:rPr>
              </m:ctrlPr>
            </m:sSubSupPr>
            <m:e/>
            <m:sub/>
            <m:sup/>
          </m:sSubSup>
          <m:r>
            <w:rPr>
              <w:rFonts w:ascii="Cambria Math" w:hAnsi="Cambria Math"/>
            </w:rPr>
            <m:t xml:space="preserve"> = </m:t>
          </m:r>
          <m:f>
            <m:fPr>
              <m:ctrlPr>
                <w:rPr>
                  <w:rFonts w:ascii="Cambria Math" w:hAnsi="Cambria Math"/>
                </w:rPr>
              </m:ctrlPr>
            </m:fPr>
            <m:num>
              <m:r>
                <w:rPr>
                  <w:rFonts w:ascii="Cambria Math" w:hAnsi="Cambria Math"/>
                </w:rPr>
                <m:t>ui</m:t>
              </m:r>
              <m:sSub>
                <m:sSubPr>
                  <m:ctrlPr>
                    <w:rPr>
                      <w:rFonts w:ascii="Cambria Math" w:hAnsi="Cambria Math"/>
                    </w:rPr>
                  </m:ctrlPr>
                </m:sSubPr>
                <m:e/>
                <m:sub/>
              </m:sSub>
              <m:r>
                <w:rPr>
                  <w:rFonts w:ascii="Cambria Math" w:hAnsi="Cambria Math"/>
                </w:rPr>
                <m:t xml:space="preserve"> Kij</m:t>
              </m:r>
              <m:sSub>
                <m:sSubPr>
                  <m:ctrlPr>
                    <w:rPr>
                      <w:rFonts w:ascii="Cambria Math" w:hAnsi="Cambria Math"/>
                    </w:rPr>
                  </m:ctrlPr>
                </m:sSubPr>
                <m:e/>
                <m:sub/>
              </m:sSub>
            </m:num>
            <m:den>
              <m:nary>
                <m:naryPr>
                  <m:chr m:val="∑"/>
                  <m:limLoc m:val="undOvr"/>
                  <m:ctrlPr>
                    <w:rPr>
                      <w:rFonts w:ascii="Cambria Math" w:hAnsi="Cambria Math"/>
                    </w:rPr>
                  </m:ctrlPr>
                </m:naryPr>
                <m:sub>
                  <m:r>
                    <w:rPr>
                      <w:rFonts w:ascii="Cambria Math" w:hAnsi="Cambria Math"/>
                    </w:rPr>
                    <m:t>l</m:t>
                  </m:r>
                </m:sub>
                <m:sup/>
                <m:e>
                  <m:r>
                    <w:rPr>
                      <w:rFonts w:ascii="Cambria Math" w:hAnsi="Cambria Math"/>
                    </w:rPr>
                    <m:t>ul</m:t>
                  </m:r>
                  <m:sSub>
                    <m:sSubPr>
                      <m:ctrlPr>
                        <w:rPr>
                          <w:rFonts w:ascii="Cambria Math" w:hAnsi="Cambria Math"/>
                        </w:rPr>
                      </m:ctrlPr>
                    </m:sSubPr>
                    <m:e/>
                    <m:sub/>
                  </m:sSub>
                  <m:r>
                    <w:rPr>
                      <w:rFonts w:ascii="Cambria Math" w:hAnsi="Cambria Math"/>
                    </w:rPr>
                    <m:t xml:space="preserve"> Klj</m:t>
                  </m:r>
                  <m:sSub>
                    <m:sSubPr>
                      <m:ctrlPr>
                        <w:rPr>
                          <w:rFonts w:ascii="Cambria Math" w:hAnsi="Cambria Math"/>
                        </w:rPr>
                      </m:ctrlPr>
                    </m:sSubPr>
                    <m:e/>
                    <m:sub/>
                  </m:sSub>
                </m:e>
              </m:nary>
            </m:den>
          </m:f>
        </m:oMath>
      </m:oMathPara>
    </w:p>
    <w:p w14:paraId="0D37E34A" w14:textId="77777777" w:rsidR="00110BDA" w:rsidRDefault="00000000">
      <w:pPr>
        <w:spacing w:before="80" w:after="80"/>
        <w:jc w:val="center"/>
      </w:pPr>
      <m:oMathPara>
        <m:oMath>
          <m:r>
            <w:rPr>
              <w:rFonts w:ascii="Cambria Math" w:hAnsi="Cambria Math"/>
            </w:rPr>
            <m:t>Sijcol</m:t>
          </m:r>
          <m:sSubSup>
            <m:sSubSupPr>
              <m:ctrlPr>
                <w:rPr>
                  <w:rFonts w:ascii="Cambria Math" w:hAnsi="Cambria Math"/>
                </w:rPr>
              </m:ctrlPr>
            </m:sSubSupPr>
            <m:e/>
            <m:sub/>
            <m:sup/>
          </m:sSubSup>
          <m:r>
            <w:rPr>
              <w:rFonts w:ascii="Cambria Math" w:hAnsi="Cambria Math"/>
            </w:rPr>
            <m:t xml:space="preserve"> = </m:t>
          </m:r>
          <m:f>
            <m:fPr>
              <m:ctrlPr>
                <w:rPr>
                  <w:rFonts w:ascii="Cambria Math" w:hAnsi="Cambria Math"/>
                </w:rPr>
              </m:ctrlPr>
            </m:fPr>
            <m:num>
              <m:r>
                <w:rPr>
                  <w:rFonts w:ascii="Cambria Math" w:hAnsi="Cambria Math"/>
                </w:rPr>
                <m:t>Kij</m:t>
              </m:r>
              <m:sSub>
                <m:sSubPr>
                  <m:ctrlPr>
                    <w:rPr>
                      <w:rFonts w:ascii="Cambria Math" w:hAnsi="Cambria Math"/>
                    </w:rPr>
                  </m:ctrlPr>
                </m:sSubPr>
                <m:e/>
                <m:sub/>
              </m:sSub>
              <m:r>
                <w:rPr>
                  <w:rFonts w:ascii="Cambria Math" w:hAnsi="Cambria Math"/>
                </w:rPr>
                <m:t xml:space="preserve"> vj</m:t>
              </m:r>
              <m:sSub>
                <m:sSubPr>
                  <m:ctrlPr>
                    <w:rPr>
                      <w:rFonts w:ascii="Cambria Math" w:hAnsi="Cambria Math"/>
                    </w:rPr>
                  </m:ctrlPr>
                </m:sSubPr>
                <m:e/>
                <m:sub/>
              </m:sSub>
            </m:num>
            <m:den>
              <m:nary>
                <m:naryPr>
                  <m:chr m:val="∑"/>
                  <m:limLoc m:val="undOvr"/>
                  <m:ctrlPr>
                    <w:rPr>
                      <w:rFonts w:ascii="Cambria Math" w:hAnsi="Cambria Math"/>
                    </w:rPr>
                  </m:ctrlPr>
                </m:naryPr>
                <m:sub>
                  <m:r>
                    <w:rPr>
                      <w:rFonts w:ascii="Cambria Math" w:hAnsi="Cambria Math"/>
                    </w:rPr>
                    <m:t>l</m:t>
                  </m:r>
                </m:sub>
                <m:sup/>
                <m:e>
                  <m:r>
                    <w:rPr>
                      <w:rFonts w:ascii="Cambria Math" w:hAnsi="Cambria Math"/>
                    </w:rPr>
                    <m:t>Kil</m:t>
                  </m:r>
                  <m:sSub>
                    <m:sSubPr>
                      <m:ctrlPr>
                        <w:rPr>
                          <w:rFonts w:ascii="Cambria Math" w:hAnsi="Cambria Math"/>
                        </w:rPr>
                      </m:ctrlPr>
                    </m:sSubPr>
                    <m:e/>
                    <m:sub/>
                  </m:sSub>
                  <m:r>
                    <w:rPr>
                      <w:rFonts w:ascii="Cambria Math" w:hAnsi="Cambria Math"/>
                    </w:rPr>
                    <m:t xml:space="preserve"> vl</m:t>
                  </m:r>
                  <m:sSub>
                    <m:sSubPr>
                      <m:ctrlPr>
                        <w:rPr>
                          <w:rFonts w:ascii="Cambria Math" w:hAnsi="Cambria Math"/>
                        </w:rPr>
                      </m:ctrlPr>
                    </m:sSubPr>
                    <m:e/>
                    <m:sub/>
                  </m:sSub>
                </m:e>
              </m:nary>
            </m:den>
          </m:f>
        </m:oMath>
      </m:oMathPara>
    </w:p>
    <w:p w14:paraId="341749C0" w14:textId="77777777" w:rsidR="00110BDA" w:rsidRDefault="00000000">
      <w:pPr>
        <w:spacing w:after="120" w:line="360" w:lineRule="auto"/>
        <w:ind w:firstLine="480"/>
      </w:pPr>
      <w:r>
        <w:t>证明：</w:t>
      </w:r>
      <w:r>
        <w:t>c_j = Σ_l u_l K_lj v_j = v_j Σ_l u_l K_lj</w:t>
      </w:r>
      <w:r>
        <w:t>，代入即得；列向对称。</w:t>
      </w:r>
    </w:p>
    <w:p w14:paraId="7C75299B" w14:textId="77777777" w:rsidR="00110BDA" w:rsidRDefault="00000000">
      <w:pPr>
        <w:spacing w:after="120" w:line="360" w:lineRule="auto"/>
        <w:ind w:firstLine="480"/>
      </w:pPr>
      <w:r>
        <w:t>命题的含义有三层。其一，行向条件分数精确消去目标侧公共缩放</w:t>
      </w:r>
      <w:r>
        <w:t xml:space="preserve"> v</w:t>
      </w:r>
      <w:r>
        <w:t>，列向条件分数精确消去源侧公共缩放</w:t>
      </w:r>
      <w:r>
        <w:t xml:space="preserve"> u——</w:t>
      </w:r>
      <w:r>
        <w:t>这是双重消除。其二，双重消除不等于核恢复：分母中保留了对侧竞争项（</w:t>
      </w:r>
      <w:r>
        <w:t xml:space="preserve">Σ_l u_l K_lj </w:t>
      </w:r>
      <w:r>
        <w:t>与</w:t>
      </w:r>
      <w:r>
        <w:t xml:space="preserve"> Σ_l K_il v_l</w:t>
      </w:r>
      <w:r>
        <w:t>），条件解码并不精确恢复</w:t>
      </w:r>
      <w:r>
        <w:t xml:space="preserve"> K</w:t>
      </w:r>
      <w:r>
        <w:t>，而是保留对侧竞争。其三，该恒等式对平衡与非平衡熵</w:t>
      </w:r>
      <w:r>
        <w:t xml:space="preserve"> OT </w:t>
      </w:r>
      <w:r>
        <w:t>同形式成立，是标准</w:t>
      </w:r>
      <w:r>
        <w:t xml:space="preserve"> Sinkhorn </w:t>
      </w:r>
      <w:r>
        <w:t>结构的直接推论；本文不把条件归一化表述为新的归一化。条件解码与双向归一化、互选匹配在结构上相关</w:t>
      </w:r>
      <w:r>
        <w:t xml:space="preserve"> [12,13,40]</w:t>
      </w:r>
      <w:r>
        <w:t>，本文的增量在于对计划排序失真的诊断、取证语境下的适配与上述形式化解释。该恒等式确立修复的代数通道；修复是否在经验上改善排序，由第</w:t>
      </w:r>
      <w:r>
        <w:t xml:space="preserve"> 5.3 </w:t>
      </w:r>
      <w:r>
        <w:t>节的预先固定的确认性保留集回答。</w:t>
      </w:r>
    </w:p>
    <w:p w14:paraId="35CA1DDD" w14:textId="77777777" w:rsidR="00110BDA" w:rsidRDefault="00000000">
      <w:pPr>
        <w:pStyle w:val="21"/>
        <w:spacing w:after="120"/>
      </w:pPr>
      <w:r>
        <w:t xml:space="preserve">4.5 </w:t>
      </w:r>
      <w:r>
        <w:t>输出语义、覆盖分层与弃权</w:t>
      </w:r>
    </w:p>
    <w:p w14:paraId="25E8792F" w14:textId="77777777" w:rsidR="00110BDA" w:rsidRDefault="00000000">
      <w:pPr>
        <w:spacing w:after="120" w:line="360" w:lineRule="auto"/>
        <w:ind w:firstLine="480"/>
      </w:pPr>
      <w:r>
        <w:t>当逐对归属被证据欠定时，解码器把共享同一事件键的候选归并为商空间分组</w:t>
      </w:r>
    </w:p>
    <w:p w14:paraId="627DC801" w14:textId="77777777" w:rsidR="00110BDA" w:rsidRDefault="00000000">
      <w:pPr>
        <w:spacing w:before="80" w:after="80"/>
        <w:jc w:val="center"/>
      </w:pPr>
      <m:oMathPara>
        <m:oMath>
          <m:r>
            <w:rPr>
              <w:rFonts w:ascii="Cambria Math" w:hAnsi="Cambria Math"/>
            </w:rPr>
            <m:t xml:space="preserve">q = </m:t>
          </m:r>
          <m:d>
            <m:dPr>
              <m:ctrlPr>
                <w:rPr>
                  <w:rFonts w:ascii="Cambria Math" w:hAnsi="Cambria Math"/>
                </w:rPr>
              </m:ctrlPr>
            </m:dPr>
            <m:e>
              <m:d>
                <m:dPr>
                  <m:begChr m:val="["/>
                  <m:endChr m:val="]"/>
                  <m:ctrlPr>
                    <w:rPr>
                      <w:rFonts w:ascii="Cambria Math" w:hAnsi="Cambria Math"/>
                    </w:rPr>
                  </m:ctrlPr>
                </m:dPr>
                <m:e>
                  <m:r>
                    <w:rPr>
                      <w:rFonts w:ascii="Cambria Math" w:hAnsi="Cambria Math"/>
                    </w:rPr>
                    <m:t>Sq</m:t>
                  </m:r>
                  <m:sSub>
                    <m:sSubPr>
                      <m:ctrlPr>
                        <w:rPr>
                          <w:rFonts w:ascii="Cambria Math" w:hAnsi="Cambria Math"/>
                        </w:rPr>
                      </m:ctrlPr>
                    </m:sSubPr>
                    <m:e/>
                    <m:sub/>
                  </m:sSub>
                </m:e>
              </m:d>
              <m:r>
                <w:rPr>
                  <w:rFonts w:ascii="Cambria Math" w:hAnsi="Cambria Math"/>
                </w:rPr>
                <m:t xml:space="preserve">, </m:t>
              </m:r>
              <m:d>
                <m:dPr>
                  <m:begChr m:val="["/>
                  <m:endChr m:val="]"/>
                  <m:ctrlPr>
                    <w:rPr>
                      <w:rFonts w:ascii="Cambria Math" w:hAnsi="Cambria Math"/>
                    </w:rPr>
                  </m:ctrlPr>
                </m:dPr>
                <m:e>
                  <m:r>
                    <w:rPr>
                      <w:rFonts w:ascii="Cambria Math" w:hAnsi="Cambria Math"/>
                    </w:rPr>
                    <m:t>Tq</m:t>
                  </m:r>
                  <m:sSub>
                    <m:sSubPr>
                      <m:ctrlPr>
                        <w:rPr>
                          <w:rFonts w:ascii="Cambria Math" w:hAnsi="Cambria Math"/>
                        </w:rPr>
                      </m:ctrlPr>
                    </m:sSubPr>
                    <m:e/>
                    <m:sub/>
                  </m:sSub>
                </m:e>
              </m:d>
              <m:r>
                <w:rPr>
                  <w:rFonts w:ascii="Cambria Math" w:hAnsi="Cambria Math"/>
                </w:rPr>
                <m:t>, Eq</m:t>
              </m:r>
              <m:sSub>
                <m:sSubPr>
                  <m:ctrlPr>
                    <w:rPr>
                      <w:rFonts w:ascii="Cambria Math" w:hAnsi="Cambria Math"/>
                    </w:rPr>
                  </m:ctrlPr>
                </m:sSubPr>
                <m:e/>
                <m:sub/>
              </m:sSub>
            </m:e>
          </m:d>
        </m:oMath>
      </m:oMathPara>
    </w:p>
    <w:p w14:paraId="0E6EB698" w14:textId="77777777" w:rsidR="00110BDA" w:rsidRDefault="00000000">
      <w:pPr>
        <w:spacing w:after="120" w:line="360" w:lineRule="auto"/>
        <w:ind w:firstLine="480"/>
      </w:pPr>
      <w:r>
        <w:t>并按下述覆盖层级限定输出：A/B 层证据足以支撑高置信输出，C 层仅作诊断输出，未覆盖候选弃权。为避免证据不足时的强制归因，输出层允许选择性弃权：在证据不足时保留匹配假设、拒绝给出单一归属，优于虚增召回。该设计面向风险为本的 AML 调查语境 [3,42]：监管框架要求高风险场景下的输出可解释、可审计 [43,44,45]，弃权与覆盖层级是本文在输出语义层面对该要求的落实；商空间分组规则与桥事件 transferId 键的一致性已在覆盖子集上核对（该核对为定义一致性检查，非独立预测验证；见补充）。区块链审计机制的最新研究同样把可审计性作为链上系统的一等设计目标（如隐私保护的账本审计 [46]）。本文称带覆盖分层与弃权的完整管线为 UOT-Q：它是 UOT 的输出安全层（商空间分组、覆盖分层与弃权），不是第二个独立方法。报告输出包括对应假设、层级化置信、所用与缺失证据及弃权原因，供调查者复核。</w:t>
      </w:r>
      <w:r/>
      <w:r/>
      <w:r/>
      <w:r/>
      <w:r/>
      <w:r/>
      <w:r/>
      <w:r/>
      <w:r/>
      <w:r/>
      <w:r/>
      <w:r/>
      <w:r/>
      <w:r/>
      <w:r/>
      <w:r/>
      <w:r/>
    </w:p>
    <w:p w14:paraId="485F8BBB" w14:textId="77777777" w:rsidR="00110BDA" w:rsidRDefault="00000000">
      <w:pPr>
        <w:pStyle w:val="21"/>
        <w:spacing w:after="120"/>
      </w:pPr>
      <w:r>
        <w:t xml:space="preserve">4.6 </w:t>
      </w:r>
      <w:r>
        <w:t>复杂度与实现</w:t>
      </w:r>
    </w:p>
    <w:p w14:paraId="14806CB6" w14:textId="77777777" w:rsidR="00110BDA" w:rsidRDefault="00000000">
      <w:pPr>
        <w:spacing w:after="120" w:line="360" w:lineRule="auto"/>
        <w:ind w:firstLine="480"/>
      </w:pPr>
      <w:r>
        <w:t>求解采用对数域稳定的 Sinkhorn 迭代。复杂度：稠密代价/核存储为 O(nm)；单轮 Sinkhorn 缩放迭代为 O(nm)，T 轮合计 O(Tnm)；解码器的行/列排序遍历同为 O(nm)。在 ≤288×288 候选规模的有界计算微基准上（冻结基准单元，完整表见补充 S.4），UOT 管线求解加解码耗时约 3 s；该实验是所测规模的有界运行/内存刻画，不外推到语料级候选空间。实现常数（k = 5、正则与边际罚系数、时间窗口）在补充材料的确认性协议与可复现性说明中给出；代码与可复现性材料将在接收后随公开版本发布 [47,48]。</w:t>
      </w:r>
      <w:r/>
      <w:r/>
      <w:r/>
      <w:r/>
      <w:r/>
      <w:r/>
      <w:r/>
      <w:r/>
      <w:r/>
      <w:r/>
    </w:p>
    <w:p w14:paraId="1DD74B8D" w14:textId="77777777" w:rsidR="00110BDA" w:rsidRDefault="00000000">
      <w:pPr>
        <w:pStyle w:val="1"/>
        <w:spacing w:before="280" w:after="160"/>
      </w:pPr>
      <w:r>
        <w:t xml:space="preserve">5 </w:t>
      </w:r>
      <w:r>
        <w:t>实验</w:t>
      </w:r>
    </w:p>
    <w:p w14:paraId="677A13FF" w14:textId="77777777" w:rsidR="00110BDA" w:rsidRDefault="00000000">
      <w:pPr>
        <w:pStyle w:val="21"/>
        <w:spacing w:after="120"/>
      </w:pPr>
      <w:r>
        <w:t xml:space="preserve">5.1 </w:t>
      </w:r>
      <w:r>
        <w:t>实验设置</w:t>
      </w:r>
    </w:p>
    <w:p w14:paraId="515E0B2E" w14:textId="77777777" w:rsidR="00110BDA" w:rsidRDefault="00000000">
      <w:pPr>
        <w:spacing w:after="120" w:line="360" w:lineRule="auto"/>
        <w:ind w:firstLine="480"/>
      </w:pPr>
      <w:r>
        <w:rPr>
          <w:b/>
        </w:rPr>
        <w:t>数据集。</w:t>
      </w:r>
      <w:r>
        <w:t xml:space="preserve">Celer </w:t>
      </w:r>
      <w:r>
        <w:t>监督基准包含</w:t>
      </w:r>
      <w:r>
        <w:t xml:space="preserve"> 7,296 </w:t>
      </w:r>
      <w:r>
        <w:t>个锚定交易对，聚合为</w:t>
      </w:r>
      <w:r>
        <w:t xml:space="preserve"> 5,735 </w:t>
      </w:r>
      <w:r>
        <w:t>条</w:t>
      </w:r>
      <w:r>
        <w:t xml:space="preserve"> ETH </w:t>
      </w:r>
      <w:r>
        <w:t>源流与</w:t>
      </w:r>
      <w:r>
        <w:t xml:space="preserve"> 7,122 </w:t>
      </w:r>
      <w:r>
        <w:t>条</w:t>
      </w:r>
      <w:r>
        <w:t xml:space="preserve"> BNB </w:t>
      </w:r>
      <w:r>
        <w:t>目标流，以及</w:t>
      </w:r>
      <w:r>
        <w:t xml:space="preserve"> 7,128 </w:t>
      </w:r>
      <w:r>
        <w:t>条监督流边（一对一</w:t>
      </w:r>
      <w:r>
        <w:t xml:space="preserve"> 72.32%</w:t>
      </w:r>
      <w:r>
        <w:t>、分流</w:t>
      </w:r>
      <w:r>
        <w:t xml:space="preserve"> 27.51%</w:t>
      </w:r>
      <w:r>
        <w:t>、合流</w:t>
      </w:r>
      <w:r>
        <w:t xml:space="preserve"> 0.17%</w:t>
      </w:r>
      <w:r>
        <w:t>）；替代时间窗口（</w:t>
      </w:r>
      <w:r>
        <w:t xml:space="preserve">600/3600 </w:t>
      </w:r>
      <w:r>
        <w:t>秒）下流标签数的扰动不超过</w:t>
      </w:r>
      <w:r>
        <w:t xml:space="preserve"> ±1.1%</w:t>
      </w:r>
      <w:r>
        <w:t>。桥流量锚定于</w:t>
      </w:r>
      <w:r>
        <w:t xml:space="preserve"> Celer/cBridge </w:t>
      </w:r>
      <w:r>
        <w:t>类桥</w:t>
      </w:r>
      <w:r>
        <w:t xml:space="preserve"> [34]</w:t>
      </w:r>
      <w:r>
        <w:t>。</w:t>
      </w:r>
    </w:p>
    <w:p w14:paraId="1FDFD2FB" w14:textId="77777777" w:rsidR="00110BDA" w:rsidRDefault="00000000">
      <w:pPr>
        <w:spacing w:after="120" w:line="360" w:lineRule="auto"/>
        <w:ind w:firstLine="480"/>
      </w:pPr>
      <w:r>
        <w:rPr>
          <w:b/>
        </w:rPr>
        <w:t>结构压力测试。</w:t>
      </w:r>
      <w:r>
        <w:t xml:space="preserve">48 </w:t>
      </w:r>
      <w:r>
        <w:t>个结构模板，每个模板以</w:t>
      </w:r>
      <w:r>
        <w:t xml:space="preserve"> 5 </w:t>
      </w:r>
      <w:r>
        <w:t>组实例生成，在真实流特征上施加</w:t>
      </w:r>
      <w:r>
        <w:t xml:space="preserve"> 1→2</w:t>
      </w:r>
      <w:r>
        <w:t>、</w:t>
      </w:r>
      <w:r>
        <w:t>2→1</w:t>
      </w:r>
      <w:r>
        <w:t>、未匹配与诱饵结构。</w:t>
      </w:r>
    </w:p>
    <w:p w14:paraId="68ADB6E8" w14:textId="77777777" w:rsidR="00110BDA" w:rsidRDefault="00000000">
      <w:pPr>
        <w:spacing w:after="120" w:line="360" w:lineRule="auto"/>
        <w:ind w:firstLine="480"/>
      </w:pPr>
      <w:r>
        <w:rPr>
          <w:b/>
        </w:rPr>
        <w:t>方法对照。UOT 与条件解码构成的传输管线；两个一对一风格基线（Connector 风格、ABCTracer 风格）——二者为表示能力对照（representation-capability controls），不是对原始系统的可比复现，也不构成校准化优势证据；全局校准的阈值规则（Threshold-MM）；严格平衡 OT（Balanced-OT）。两个风格基线使用固定常量、无开发选择步骤；阈值规则的阈值按预先定义的校准协议确定；因此各方法的开发调参预算不同：历史校准预算不对称且有利于所提管线，比较按诊断对照解读；任何公平的 held-out 基线比较仅以未参与校准的 75% 单元为正式比较集（全单元读数仅作描述性报告）。</w:t>
      </w:r>
      <w:r/>
      <w:r/>
      <w:r/>
      <w:r/>
      <w:r/>
      <w:r/>
      <w:r/>
      <w:r/>
      <w:r/>
      <w:r/>
      <w:r/>
      <w:r/>
    </w:p>
    <w:p w14:paraId="6B4EC64F" w14:textId="77777777" w:rsidR="00110BDA" w:rsidRDefault="00000000">
      <w:pPr>
        <w:spacing w:after="120" w:line="360" w:lineRule="auto"/>
        <w:ind w:firstLine="480"/>
      </w:pPr>
      <w:r>
        <w:rPr>
          <w:b/>
        </w:rPr>
        <w:t>指标。宏平均边精度、边召回与边 F1（主指标）；边包含召回与 Recall@3（结构测试）；严格精确恢复（严格评估口径）；交易级时间因果违例率与覆盖/弃权指标。主对比报告配对 95% 置信区间（点估计按模板→种子→桥→宏平均分层聚合；bootstrap 重采样单位为桥内模板实例，B = 4,000）。指标定义见补充 A.1。</w:t>
      </w:r>
      <w:r/>
      <w:r/>
      <w:r/>
      <w:r/>
      <w:r/>
      <w:r/>
      <w:r/>
      <w:r/>
      <w:r/>
      <w:r/>
      <w:r/>
    </w:p>
    <w:p w14:paraId="481AB158" w14:textId="77777777" w:rsidR="00110BDA" w:rsidRDefault="00000000">
      <w:pPr>
        <w:spacing w:after="120" w:line="360" w:lineRule="auto"/>
        <w:ind w:firstLine="480"/>
      </w:pPr>
      <w:r>
        <w:rPr>
          <w:b/>
        </w:rPr>
        <w:lastRenderedPageBreak/>
        <w:t>评估协议。</w:t>
      </w:r>
      <w:r>
        <w:t>结构测试与主确认性实验在固定划分上报告；主对比在预先固定的确认性保留集上评估。完整协议（对比集构成、解码常数、统计口径与独立重算）见补充</w:t>
      </w:r>
      <w:r>
        <w:t xml:space="preserve"> B.3</w:t>
      </w:r>
      <w:r>
        <w:t>。</w:t>
      </w:r>
    </w:p>
    <w:p w14:paraId="4312657E" w14:textId="77777777" w:rsidR="00110BDA" w:rsidRDefault="00000000">
      <w:pPr>
        <w:spacing w:before="120" w:after="60"/>
        <w:jc w:val="center"/>
      </w:pPr>
      <w:r>
        <w:rPr>
          <w:b/>
          <w:sz w:val="21"/>
        </w:rPr>
        <w:t>表</w:t>
      </w:r>
      <w:r>
        <w:rPr>
          <w:b/>
          <w:sz w:val="21"/>
        </w:rPr>
        <w:t xml:space="preserve"> 1  </w:t>
      </w:r>
      <w:r>
        <w:rPr>
          <w:b/>
          <w:sz w:val="21"/>
        </w:rPr>
        <w:t>数据集与实验设置</w:t>
      </w:r>
    </w:p>
    <w:tbl>
      <w:tblPr>
        <w:tblStyle w:val="aff1"/>
        <w:tblW w:w="0" w:type="auto"/>
        <w:jc w:val="center"/>
        <w:tblLook w:val="04A0" w:firstRow="1" w:lastRow="0" w:firstColumn="1" w:lastColumn="0" w:noHBand="0" w:noVBand="1"/>
      </w:tblPr>
      <w:tblGrid>
        <w:gridCol w:w="4479"/>
        <w:gridCol w:w="4479"/>
      </w:tblGrid>
      <w:tr w:rsidR="00110BDA" w14:paraId="40650D63" w14:textId="77777777">
        <w:trPr>
          <w:jc w:val="center"/>
          <w:cantSplit/>
          <w:tblHeader/>
        </w:trPr>
        <w:tc>
          <w:tcPr>
            <w:tcW w:w="4479" w:type="dxa"/>
          </w:tcPr>
          <w:p w14:paraId="33CC7B86" w14:textId="77777777" w:rsidR="00110BDA" w:rsidRDefault="00000000">
            <w:r>
              <w:rPr>
                <w:b/>
                <w:sz w:val="21"/>
              </w:rPr>
              <w:t>项</w:t>
            </w:r>
          </w:p>
        </w:tc>
        <w:tc>
          <w:tcPr>
            <w:tcW w:w="4479" w:type="dxa"/>
          </w:tcPr>
          <w:p w14:paraId="46AB9AF9" w14:textId="77777777" w:rsidR="00110BDA" w:rsidRDefault="00000000">
            <w:r>
              <w:rPr>
                <w:b/>
                <w:sz w:val="21"/>
              </w:rPr>
              <w:t>内容</w:t>
            </w:r>
          </w:p>
        </w:tc>
      </w:tr>
      <w:tr w:rsidR="00110BDA" w14:paraId="6893D0E2" w14:textId="77777777">
        <w:trPr>
          <w:jc w:val="center"/>
          <w:cantSplit/>
        </w:trPr>
        <w:tc>
          <w:tcPr>
            <w:tcW w:w="4479" w:type="dxa"/>
          </w:tcPr>
          <w:p w14:paraId="7FBF5B03" w14:textId="77777777" w:rsidR="00110BDA" w:rsidRDefault="00000000">
            <w:r>
              <w:rPr>
                <w:sz w:val="21"/>
              </w:rPr>
              <w:t xml:space="preserve">Celer </w:t>
            </w:r>
            <w:r>
              <w:rPr>
                <w:sz w:val="21"/>
              </w:rPr>
              <w:t>监督基准</w:t>
            </w:r>
          </w:p>
        </w:tc>
        <w:tc>
          <w:tcPr>
            <w:tcW w:w="4479" w:type="dxa"/>
          </w:tcPr>
          <w:p w14:paraId="6B13904D" w14:textId="77777777" w:rsidR="00110BDA" w:rsidRDefault="00000000">
            <w:r>
              <w:rPr>
                <w:sz w:val="21"/>
              </w:rPr>
              <w:t xml:space="preserve">7,296 </w:t>
            </w:r>
            <w:r>
              <w:rPr>
                <w:sz w:val="21"/>
              </w:rPr>
              <w:t>个锚定交易对</w:t>
            </w:r>
            <w:r>
              <w:rPr>
                <w:sz w:val="21"/>
              </w:rPr>
              <w:t xml:space="preserve"> → 5,735 </w:t>
            </w:r>
            <w:r>
              <w:rPr>
                <w:sz w:val="21"/>
              </w:rPr>
              <w:t>条</w:t>
            </w:r>
            <w:r>
              <w:rPr>
                <w:sz w:val="21"/>
              </w:rPr>
              <w:t xml:space="preserve"> ETH </w:t>
            </w:r>
            <w:r>
              <w:rPr>
                <w:sz w:val="21"/>
              </w:rPr>
              <w:t>源流</w:t>
            </w:r>
            <w:r>
              <w:rPr>
                <w:sz w:val="21"/>
              </w:rPr>
              <w:t xml:space="preserve"> / 7,122 </w:t>
            </w:r>
            <w:r>
              <w:rPr>
                <w:sz w:val="21"/>
              </w:rPr>
              <w:t>条</w:t>
            </w:r>
            <w:r>
              <w:rPr>
                <w:sz w:val="21"/>
              </w:rPr>
              <w:t xml:space="preserve"> BNB </w:t>
            </w:r>
            <w:r>
              <w:rPr>
                <w:sz w:val="21"/>
              </w:rPr>
              <w:t>目标流；</w:t>
            </w:r>
            <w:r>
              <w:rPr>
                <w:sz w:val="21"/>
              </w:rPr>
              <w:t xml:space="preserve">7,128 </w:t>
            </w:r>
            <w:r>
              <w:rPr>
                <w:sz w:val="21"/>
              </w:rPr>
              <w:t>条监督流边（</w:t>
            </w:r>
            <w:r>
              <w:rPr>
                <w:sz w:val="21"/>
              </w:rPr>
              <w:t xml:space="preserve">1:1 72.32% / </w:t>
            </w:r>
            <w:r>
              <w:rPr>
                <w:sz w:val="21"/>
              </w:rPr>
              <w:t>分流</w:t>
            </w:r>
            <w:r>
              <w:rPr>
                <w:sz w:val="21"/>
              </w:rPr>
              <w:t xml:space="preserve"> 27.51% / </w:t>
            </w:r>
            <w:r>
              <w:rPr>
                <w:sz w:val="21"/>
              </w:rPr>
              <w:t>合流</w:t>
            </w:r>
            <w:r>
              <w:rPr>
                <w:sz w:val="21"/>
              </w:rPr>
              <w:t xml:space="preserve"> 0.17%</w:t>
            </w:r>
            <w:r>
              <w:rPr>
                <w:sz w:val="21"/>
              </w:rPr>
              <w:t>）；替代窗口扰动</w:t>
            </w:r>
            <w:r>
              <w:rPr>
                <w:sz w:val="21"/>
              </w:rPr>
              <w:t xml:space="preserve"> ≤ ±1.1%</w:t>
            </w:r>
          </w:p>
        </w:tc>
      </w:tr>
      <w:tr w:rsidR="00110BDA" w14:paraId="27EA373A" w14:textId="77777777">
        <w:trPr>
          <w:jc w:val="center"/>
          <w:cantSplit/>
        </w:trPr>
        <w:tc>
          <w:tcPr>
            <w:tcW w:w="4479" w:type="dxa"/>
          </w:tcPr>
          <w:p w14:paraId="09C15222" w14:textId="77777777" w:rsidR="00110BDA" w:rsidRDefault="00000000">
            <w:r>
              <w:rPr>
                <w:sz w:val="21"/>
              </w:rPr>
              <w:t>结构压力测试</w:t>
            </w:r>
          </w:p>
        </w:tc>
        <w:tc>
          <w:tcPr>
            <w:tcW w:w="4479" w:type="dxa"/>
          </w:tcPr>
          <w:p w14:paraId="5878A8A2" w14:textId="77777777" w:rsidR="00110BDA" w:rsidRDefault="00000000">
            <w:r>
              <w:rPr>
                <w:sz w:val="21"/>
              </w:rPr>
              <w:t xml:space="preserve">48 </w:t>
            </w:r>
            <w:r>
              <w:rPr>
                <w:sz w:val="21"/>
              </w:rPr>
              <w:t>模板</w:t>
            </w:r>
            <w:r>
              <w:rPr>
                <w:sz w:val="21"/>
              </w:rPr>
              <w:t xml:space="preserve"> × 5 </w:t>
            </w:r>
            <w:r>
              <w:rPr>
                <w:sz w:val="21"/>
              </w:rPr>
              <w:t>实例；</w:t>
            </w:r>
            <w:r>
              <w:rPr>
                <w:sz w:val="21"/>
              </w:rPr>
              <w:t xml:space="preserve">1→2 / 2→1 / </w:t>
            </w:r>
            <w:r>
              <w:rPr>
                <w:sz w:val="21"/>
              </w:rPr>
              <w:t>未匹配</w:t>
            </w:r>
            <w:r>
              <w:rPr>
                <w:sz w:val="21"/>
              </w:rPr>
              <w:t xml:space="preserve"> / </w:t>
            </w:r>
            <w:r>
              <w:rPr>
                <w:sz w:val="21"/>
              </w:rPr>
              <w:t>诱饵结构</w:t>
            </w:r>
          </w:p>
        </w:tc>
      </w:tr>
      <w:tr w:rsidR="00110BDA" w14:paraId="63421664" w14:textId="77777777">
        <w:trPr>
          <w:jc w:val="center"/>
          <w:cantSplit/>
        </w:trPr>
        <w:tc>
          <w:tcPr>
            <w:tcW w:w="4479" w:type="dxa"/>
          </w:tcPr>
          <w:p w14:paraId="5F5586E2" w14:textId="77777777" w:rsidR="00110BDA" w:rsidRDefault="00000000">
            <w:r>
              <w:rPr>
                <w:sz w:val="21"/>
              </w:rPr>
              <w:t>确认性保留集</w:t>
            </w:r>
          </w:p>
        </w:tc>
        <w:tc>
          <w:tcPr>
            <w:tcW w:w="4479" w:type="dxa"/>
          </w:tcPr>
          <w:p w14:paraId="6F246BA2" w14:textId="77777777" w:rsidR="00110BDA" w:rsidRDefault="00000000">
            <w:r>
              <w:rPr>
                <w:sz w:val="21"/>
              </w:rPr>
              <w:t>三桥（</w:t>
            </w:r>
            <w:r>
              <w:rPr>
                <w:sz w:val="21"/>
              </w:rPr>
              <w:t>Celer</w:t>
            </w:r>
            <w:r>
              <w:rPr>
                <w:sz w:val="21"/>
              </w:rPr>
              <w:t>、</w:t>
            </w:r>
            <w:r>
              <w:rPr>
                <w:sz w:val="21"/>
              </w:rPr>
              <w:t>Multichain</w:t>
            </w:r>
            <w:r>
              <w:rPr>
                <w:sz w:val="21"/>
              </w:rPr>
              <w:t>、</w:t>
            </w:r>
            <w:r>
              <w:rPr>
                <w:sz w:val="21"/>
              </w:rPr>
              <w:t>PolyNetwork</w:t>
            </w:r>
            <w:r>
              <w:rPr>
                <w:sz w:val="21"/>
              </w:rPr>
              <w:t>）；</w:t>
            </w:r>
            <w:r>
              <w:rPr>
                <w:sz w:val="21"/>
              </w:rPr>
              <w:t xml:space="preserve">720 </w:t>
            </w:r>
            <w:r>
              <w:rPr>
                <w:sz w:val="21"/>
              </w:rPr>
              <w:t>个配对模板实例；预先固定</w:t>
            </w:r>
          </w:p>
        </w:tc>
      </w:tr>
      <w:tr w:rsidR="00110BDA" w14:paraId="24FC436E" w14:textId="77777777">
        <w:trPr>
          <w:jc w:val="center"/>
          <w:cantSplit/>
        </w:trPr>
        <w:tc>
          <w:tcPr>
            <w:tcW w:w="4479" w:type="dxa"/>
          </w:tcPr>
          <w:p w14:paraId="7961F3EF" w14:textId="77777777" w:rsidR="00110BDA" w:rsidRDefault="00000000">
            <w:r>
              <w:rPr>
                <w:sz w:val="21"/>
              </w:rPr>
              <w:t>主指标</w:t>
            </w:r>
          </w:p>
        </w:tc>
        <w:tc>
          <w:tcPr>
            <w:tcW w:w="4479" w:type="dxa"/>
          </w:tcPr>
          <w:p w14:paraId="3DD81076" w14:textId="77777777" w:rsidR="00110BDA" w:rsidRDefault="00000000">
            <w:r>
              <w:rPr>
                <w:sz w:val="21"/>
              </w:rPr>
              <w:t>宏平均边精度</w:t>
            </w:r>
            <w:r>
              <w:rPr>
                <w:sz w:val="21"/>
              </w:rPr>
              <w:t xml:space="preserve"> / </w:t>
            </w:r>
            <w:r>
              <w:rPr>
                <w:sz w:val="21"/>
              </w:rPr>
              <w:t>边召回</w:t>
            </w:r>
            <w:r>
              <w:rPr>
                <w:sz w:val="21"/>
              </w:rPr>
              <w:t xml:space="preserve"> / </w:t>
            </w:r>
            <w:r>
              <w:rPr>
                <w:sz w:val="21"/>
              </w:rPr>
              <w:t>边</w:t>
            </w:r>
            <w:r>
              <w:rPr>
                <w:sz w:val="21"/>
              </w:rPr>
              <w:t xml:space="preserve"> F1</w:t>
            </w:r>
            <w:r>
              <w:rPr>
                <w:sz w:val="21"/>
              </w:rPr>
              <w:t>；配对分层</w:t>
            </w:r>
            <w:r>
              <w:rPr>
                <w:sz w:val="21"/>
              </w:rPr>
              <w:t xml:space="preserve"> 95% CI</w:t>
            </w:r>
          </w:p>
        </w:tc>
      </w:tr>
      <w:tr w:rsidR="00110BDA" w14:paraId="24EE65A0" w14:textId="77777777">
        <w:trPr>
          <w:jc w:val="center"/>
          <w:cantSplit/>
        </w:trPr>
        <w:tc>
          <w:tcPr>
            <w:tcW w:w="4479" w:type="dxa"/>
          </w:tcPr>
          <w:p w14:paraId="7CB38E27" w14:textId="77777777" w:rsidR="00110BDA" w:rsidRDefault="00000000">
            <w:r>
              <w:rPr>
                <w:sz w:val="21"/>
              </w:rPr>
              <w:t>方法对照</w:t>
            </w:r>
          </w:p>
        </w:tc>
        <w:tc>
          <w:tcPr>
            <w:tcW w:w="4479" w:type="dxa"/>
          </w:tcPr>
          <w:p w14:paraId="0F615B0B" w14:textId="77777777" w:rsidR="00110BDA" w:rsidRDefault="00000000">
            <w:r>
              <w:rPr>
                <w:sz w:val="21"/>
              </w:rPr>
              <w:t>UOT 传输管线；Connector 风格 / ABCTracer 风格（一对一，表示能力对照）（一对一）；Threshold-MM（校准阈值规则）；Balanced-OT</w:t>
            </w:r>
            <w:r>
              <w:rPr>
                <w:sz w:val="21"/>
              </w:rPr>
            </w:r>
            <w:r>
              <w:rPr>
                <w:sz w:val="21"/>
              </w:rPr>
            </w:r>
            <w:r>
              <w:rPr>
                <w:sz w:val="21"/>
              </w:rPr>
            </w:r>
            <w:r>
              <w:rPr>
                <w:sz w:val="21"/>
              </w:rPr>
            </w:r>
            <w:r>
              <w:rPr>
                <w:sz w:val="21"/>
              </w:rPr>
            </w:r>
            <w:r>
              <w:rPr>
                <w:sz w:val="21"/>
              </w:rPr>
            </w:r>
            <w:r>
              <w:rPr>
                <w:sz w:val="21"/>
              </w:rPr>
            </w:r>
            <w:r>
              <w:rPr>
                <w:sz w:val="21"/>
              </w:rPr>
            </w:r>
          </w:p>
        </w:tc>
      </w:tr>
    </w:tbl>
    <w:p w14:paraId="68BD808B" w14:textId="77777777" w:rsidR="00110BDA" w:rsidRDefault="00110BDA">
      <w:pPr>
        <w:spacing w:after="0"/>
      </w:pPr>
    </w:p>
    <w:p w14:paraId="48F93108" w14:textId="77777777" w:rsidR="00110BDA" w:rsidRDefault="00000000">
      <w:pPr>
        <w:pStyle w:val="21"/>
        <w:spacing w:after="120"/>
      </w:pPr>
      <w:r>
        <w:t xml:space="preserve">5.2 </w:t>
      </w:r>
      <w:r>
        <w:t>非一对一结构下的表示能力</w:t>
      </w:r>
    </w:p>
    <w:p w14:paraId="1ADAE643" w14:textId="77777777" w:rsidR="00110BDA" w:rsidRDefault="00000000">
      <w:pPr>
        <w:spacing w:after="120" w:line="360" w:lineRule="auto"/>
        <w:ind w:firstLine="480"/>
      </w:pPr>
      <w:r>
        <w:t>本节回答表示层面的问题：一对一输出语义之外的对应结构，运输表示能否表达。在结构压力测试上，UOT 的密集计划以边包含口径覆盖真值边——分流 0.946 [0.907, 0.985]、合流 0.967 [0.913, 1.000]（表 2；图 4）；三桥忠实运行 0.950–1.000，而两个一对一风格基线在该口径下均为 0。Recall@3 为 0.481 [0.418, 0.544]。边包含口径指解码计划对真值边赋予正质量（≥1e-9）即计为包含；该口径对应解码边精度约 0.02，属表示能力口径而非精确重建口径。</w:t>
      </w:r>
      <w:r/>
      <w:r/>
      <w:r/>
      <w:r/>
      <w:r/>
      <w:r/>
      <w:r/>
      <w:r/>
      <w:r/>
      <w:r/>
      <w:r/>
      <w:r/>
      <w:r/>
      <w:r/>
      <w:r/>
      <w:r/>
      <w:r/>
      <w:r/>
      <w:r/>
      <w:r/>
      <w:r/>
      <w:r/>
    </w:p>
    <w:p w14:paraId="5AC05076" w14:textId="77777777" w:rsidR="00110BDA" w:rsidRDefault="00000000">
      <w:pPr>
        <w:spacing w:before="120" w:after="60"/>
        <w:jc w:val="center"/>
      </w:pPr>
      <w:r>
        <w:rPr>
          <w:b/>
          <w:sz w:val="21"/>
        </w:rPr>
        <w:t>表</w:t>
      </w:r>
      <w:r>
        <w:rPr>
          <w:b/>
          <w:sz w:val="21"/>
        </w:rPr>
        <w:t xml:space="preserve"> 2  </w:t>
      </w:r>
      <w:r>
        <w:rPr>
          <w:b/>
          <w:sz w:val="21"/>
        </w:rPr>
        <w:t>结构表示摘要（</w:t>
      </w:r>
      <w:r>
        <w:rPr>
          <w:b/>
          <w:sz w:val="21"/>
        </w:rPr>
        <w:t xml:space="preserve">48 </w:t>
      </w:r>
      <w:r>
        <w:rPr>
          <w:b/>
          <w:sz w:val="21"/>
        </w:rPr>
        <w:t>模板</w:t>
      </w:r>
      <w:r>
        <w:rPr>
          <w:b/>
          <w:sz w:val="21"/>
        </w:rPr>
        <w:t xml:space="preserve"> × 5 </w:t>
      </w:r>
      <w:r>
        <w:rPr>
          <w:b/>
          <w:sz w:val="21"/>
        </w:rPr>
        <w:t>实例）</w:t>
      </w:r>
    </w:p>
    <w:tbl>
      <w:tblPr>
        <w:tblStyle w:val="aff1"/>
        <w:tblW w:w="0" w:type="auto"/>
        <w:jc w:val="center"/>
        <w:tblLook w:val="04A0" w:firstRow="1" w:lastRow="0" w:firstColumn="1" w:lastColumn="0" w:noHBand="0" w:noVBand="1"/>
      </w:tblPr>
      <w:tblGrid>
        <w:gridCol w:w="2986"/>
        <w:gridCol w:w="2986"/>
        <w:gridCol w:w="2986"/>
      </w:tblGrid>
      <w:tr w:rsidR="00110BDA" w14:paraId="2B677435" w14:textId="77777777">
        <w:trPr>
          <w:jc w:val="center"/>
        </w:trPr>
        <w:tc>
          <w:tcPr>
            <w:tcW w:w="2986" w:type="dxa"/>
          </w:tcPr>
          <w:p w14:paraId="1EDB9A95" w14:textId="77777777" w:rsidR="00110BDA" w:rsidRDefault="00000000">
            <w:r>
              <w:rPr>
                <w:b/>
                <w:sz w:val="21"/>
              </w:rPr>
              <w:t>指标</w:t>
            </w:r>
          </w:p>
        </w:tc>
        <w:tc>
          <w:tcPr>
            <w:tcW w:w="2986" w:type="dxa"/>
          </w:tcPr>
          <w:p w14:paraId="69C60631" w14:textId="77777777" w:rsidR="00110BDA" w:rsidRDefault="00000000">
            <w:r>
              <w:rPr>
                <w:b/>
                <w:sz w:val="21"/>
              </w:rPr>
              <w:t>均值</w:t>
            </w:r>
          </w:p>
        </w:tc>
        <w:tc>
          <w:tcPr>
            <w:tcW w:w="2986" w:type="dxa"/>
          </w:tcPr>
          <w:p w14:paraId="6CE86B40" w14:textId="77777777" w:rsidR="00110BDA" w:rsidRDefault="00000000">
            <w:r>
              <w:rPr>
                <w:b/>
                <w:sz w:val="21"/>
              </w:rPr>
              <w:t>95% CI</w:t>
            </w:r>
          </w:p>
        </w:tc>
      </w:tr>
      <w:tr w:rsidR="00110BDA" w14:paraId="5567C288" w14:textId="77777777">
        <w:trPr>
          <w:jc w:val="center"/>
        </w:trPr>
        <w:tc>
          <w:tcPr>
            <w:tcW w:w="2986" w:type="dxa"/>
          </w:tcPr>
          <w:p w14:paraId="3AE1D5C5" w14:textId="77777777" w:rsidR="00110BDA" w:rsidRDefault="00000000">
            <w:r>
              <w:rPr>
                <w:sz w:val="21"/>
              </w:rPr>
              <w:t>分流边包含召回</w:t>
            </w:r>
          </w:p>
        </w:tc>
        <w:tc>
          <w:tcPr>
            <w:tcW w:w="2986" w:type="dxa"/>
          </w:tcPr>
          <w:p w14:paraId="04D2A91B" w14:textId="77777777" w:rsidR="00110BDA" w:rsidRDefault="00000000">
            <w:r>
              <w:rPr>
                <w:sz w:val="21"/>
              </w:rPr>
              <w:t>0.946</w:t>
            </w:r>
          </w:p>
        </w:tc>
        <w:tc>
          <w:tcPr>
            <w:tcW w:w="2986" w:type="dxa"/>
          </w:tcPr>
          <w:p w14:paraId="20AE2FAD" w14:textId="77777777" w:rsidR="00110BDA" w:rsidRDefault="00000000">
            <w:r>
              <w:rPr>
                <w:sz w:val="21"/>
              </w:rPr>
              <w:t>[0.907, 0.985]</w:t>
            </w:r>
          </w:p>
        </w:tc>
      </w:tr>
      <w:tr w:rsidR="00110BDA" w14:paraId="308EE25E" w14:textId="77777777">
        <w:trPr>
          <w:jc w:val="center"/>
        </w:trPr>
        <w:tc>
          <w:tcPr>
            <w:tcW w:w="2986" w:type="dxa"/>
          </w:tcPr>
          <w:p w14:paraId="089ECE93" w14:textId="77777777" w:rsidR="00110BDA" w:rsidRDefault="00000000">
            <w:r>
              <w:rPr>
                <w:sz w:val="21"/>
              </w:rPr>
              <w:t>合流边包含召回</w:t>
            </w:r>
          </w:p>
        </w:tc>
        <w:tc>
          <w:tcPr>
            <w:tcW w:w="2986" w:type="dxa"/>
          </w:tcPr>
          <w:p w14:paraId="4F6797D9" w14:textId="77777777" w:rsidR="00110BDA" w:rsidRDefault="00000000">
            <w:r>
              <w:rPr>
                <w:sz w:val="21"/>
              </w:rPr>
              <w:t>0.967</w:t>
            </w:r>
          </w:p>
        </w:tc>
        <w:tc>
          <w:tcPr>
            <w:tcW w:w="2986" w:type="dxa"/>
          </w:tcPr>
          <w:p w14:paraId="54392D62" w14:textId="77777777" w:rsidR="00110BDA" w:rsidRDefault="00000000">
            <w:r>
              <w:rPr>
                <w:sz w:val="21"/>
              </w:rPr>
              <w:t>[0.913, 1.000]</w:t>
            </w:r>
          </w:p>
        </w:tc>
      </w:tr>
      <w:tr w:rsidR="00110BDA" w14:paraId="5A15CC95" w14:textId="77777777">
        <w:trPr>
          <w:jc w:val="center"/>
        </w:trPr>
        <w:tc>
          <w:tcPr>
            <w:tcW w:w="2986" w:type="dxa"/>
          </w:tcPr>
          <w:p w14:paraId="748EFAD9" w14:textId="77777777" w:rsidR="00110BDA" w:rsidRDefault="00000000">
            <w:r>
              <w:rPr>
                <w:sz w:val="21"/>
              </w:rPr>
              <w:t>Recall@3</w:t>
            </w:r>
            <w:r>
              <w:rPr>
                <w:sz w:val="21"/>
              </w:rPr>
              <w:t>（按源宏平均）</w:t>
            </w:r>
          </w:p>
        </w:tc>
        <w:tc>
          <w:tcPr>
            <w:tcW w:w="2986" w:type="dxa"/>
          </w:tcPr>
          <w:p w14:paraId="2C3A5AB5" w14:textId="77777777" w:rsidR="00110BDA" w:rsidRDefault="00000000">
            <w:r>
              <w:rPr>
                <w:sz w:val="21"/>
              </w:rPr>
              <w:t>0.481</w:t>
            </w:r>
          </w:p>
        </w:tc>
        <w:tc>
          <w:tcPr>
            <w:tcW w:w="2986" w:type="dxa"/>
          </w:tcPr>
          <w:p w14:paraId="55B69F9A" w14:textId="77777777" w:rsidR="00110BDA" w:rsidRDefault="00000000">
            <w:r>
              <w:rPr>
                <w:sz w:val="21"/>
              </w:rPr>
              <w:t>[0.418, 0.544]</w:t>
            </w:r>
          </w:p>
        </w:tc>
      </w:tr>
      <w:tr w:rsidR="00110BDA" w14:paraId="56E29FB1" w14:textId="77777777">
        <w:trPr>
          <w:jc w:val="center"/>
        </w:trPr>
        <w:tc>
          <w:tcPr>
            <w:tcW w:w="2986" w:type="dxa"/>
          </w:tcPr>
          <w:p w14:paraId="115650B7" w14:textId="77777777" w:rsidR="00110BDA" w:rsidRDefault="00000000">
            <w:r>
              <w:rPr>
                <w:sz w:val="21"/>
              </w:rPr>
              <w:t>一对一风格基线（边包含召回）</w:t>
            </w:r>
          </w:p>
        </w:tc>
        <w:tc>
          <w:tcPr>
            <w:tcW w:w="2986" w:type="dxa"/>
          </w:tcPr>
          <w:p w14:paraId="37633521" w14:textId="77777777" w:rsidR="00110BDA" w:rsidRDefault="00000000">
            <w:r>
              <w:rPr>
                <w:sz w:val="21"/>
              </w:rPr>
              <w:t>0</w:t>
            </w:r>
          </w:p>
        </w:tc>
        <w:tc>
          <w:tcPr>
            <w:tcW w:w="2986" w:type="dxa"/>
          </w:tcPr>
          <w:p w14:paraId="73F9F2C0" w14:textId="77777777" w:rsidR="00110BDA" w:rsidRDefault="00000000">
            <w:r>
              <w:rPr>
                <w:sz w:val="21"/>
              </w:rPr>
              <w:t>—</w:t>
            </w:r>
          </w:p>
        </w:tc>
      </w:tr>
    </w:tbl>
    <w:p w14:paraId="4F153187" w14:textId="77777777" w:rsidR="00110BDA" w:rsidRDefault="00110BDA">
      <w:pPr>
        <w:spacing w:after="0"/>
      </w:pPr>
    </w:p>
    <w:p w14:paraId="7B19D4EB" w14:textId="77777777" w:rsidR="00110BDA" w:rsidRDefault="00000000">
      <w:pPr>
        <w:jc w:val="center"/>
      </w:pPr>
      <w:r>
        <w:rPr>
          <w:noProof/>
        </w:rPr>
        <w:lastRenderedPageBreak/>
        <w:drawing>
          <wp:inline distT="0" distB="0" distL="0" distR="0" wp14:anchorId="4B4BF42A" wp14:editId="3BE2C5F3">
            <wp:extent cx="5580000" cy="2606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ructural_representation.png"/>
                    <pic:cNvPicPr/>
                  </pic:nvPicPr>
                  <pic:blipFill>
                    <a:blip r:embed="rId9"/>
                    <a:stretch>
                      <a:fillRect/>
                    </a:stretch>
                  </pic:blipFill>
                  <pic:spPr>
                    <a:xfrm>
                      <a:off x="0" y="0"/>
                      <a:ext cx="5580000" cy="2606574"/>
                    </a:xfrm>
                    <a:prstGeom prst="rect">
                      <a:avLst/>
                    </a:prstGeom>
                  </pic:spPr>
                </pic:pic>
              </a:graphicData>
            </a:graphic>
          </wp:inline>
        </w:drawing>
      </w:r>
    </w:p>
    <w:p w14:paraId="290A2326" w14:textId="77777777" w:rsidR="00110BDA" w:rsidRDefault="00000000">
      <w:pPr>
        <w:spacing w:after="160"/>
        <w:jc w:val="center"/>
      </w:pPr>
      <w:r>
        <w:rPr>
          <w:sz w:val="21"/>
        </w:rPr>
        <w:t>图</w:t>
      </w:r>
      <w:r>
        <w:rPr>
          <w:sz w:val="21"/>
        </w:rPr>
        <w:t xml:space="preserve"> 4  </w:t>
      </w:r>
      <w:r>
        <w:rPr>
          <w:sz w:val="21"/>
        </w:rPr>
        <w:t>结构表示证据：</w:t>
      </w:r>
      <w:r>
        <w:rPr>
          <w:sz w:val="21"/>
        </w:rPr>
        <w:t xml:space="preserve">(a) </w:t>
      </w:r>
      <w:r>
        <w:rPr>
          <w:sz w:val="21"/>
        </w:rPr>
        <w:t>结构压力模式（</w:t>
      </w:r>
      <w:r>
        <w:rPr>
          <w:sz w:val="21"/>
        </w:rPr>
        <w:t xml:space="preserve">1→N </w:t>
      </w:r>
      <w:r>
        <w:rPr>
          <w:sz w:val="21"/>
        </w:rPr>
        <w:t>分流</w:t>
      </w:r>
      <w:r>
        <w:rPr>
          <w:sz w:val="21"/>
        </w:rPr>
        <w:t xml:space="preserve"> / N→1 </w:t>
      </w:r>
      <w:r>
        <w:rPr>
          <w:sz w:val="21"/>
        </w:rPr>
        <w:t>合流）；</w:t>
      </w:r>
      <w:r>
        <w:rPr>
          <w:sz w:val="21"/>
        </w:rPr>
        <w:t xml:space="preserve">(b) </w:t>
      </w:r>
      <w:r>
        <w:rPr>
          <w:sz w:val="21"/>
        </w:rPr>
        <w:t>边包含召回与</w:t>
      </w:r>
      <w:r>
        <w:rPr>
          <w:sz w:val="21"/>
        </w:rPr>
        <w:t xml:space="preserve"> 95% CI</w:t>
      </w:r>
      <w:r>
        <w:rPr>
          <w:sz w:val="21"/>
        </w:rPr>
        <w:t>（分流</w:t>
      </w:r>
      <w:r>
        <w:rPr>
          <w:sz w:val="21"/>
        </w:rPr>
        <w:t xml:space="preserve"> 0.946 [0.907, 0.985]</w:t>
      </w:r>
      <w:r>
        <w:rPr>
          <w:sz w:val="21"/>
        </w:rPr>
        <w:t>、合流</w:t>
      </w:r>
      <w:r>
        <w:rPr>
          <w:sz w:val="21"/>
        </w:rPr>
        <w:t xml:space="preserve"> 0.967 [0.913, 1.000]</w:t>
      </w:r>
      <w:r>
        <w:rPr>
          <w:sz w:val="21"/>
        </w:rPr>
        <w:t>）；底部注明严格精确拓扑恢复为</w:t>
      </w:r>
      <w:r>
        <w:rPr>
          <w:sz w:val="21"/>
        </w:rPr>
        <w:t xml:space="preserve"> 0</w:t>
      </w:r>
      <w:r>
        <w:rPr>
          <w:sz w:val="21"/>
        </w:rPr>
        <w:t>（完整</w:t>
      </w:r>
      <w:r>
        <w:rPr>
          <w:sz w:val="21"/>
        </w:rPr>
        <w:t xml:space="preserve"> 15 </w:t>
      </w:r>
      <w:r>
        <w:rPr>
          <w:sz w:val="21"/>
        </w:rPr>
        <w:t>行见补充</w:t>
      </w:r>
      <w:r>
        <w:rPr>
          <w:sz w:val="21"/>
        </w:rPr>
        <w:t xml:space="preserve"> A.4</w:t>
      </w:r>
      <w:r>
        <w:rPr>
          <w:sz w:val="21"/>
        </w:rPr>
        <w:t>）。</w:t>
      </w:r>
    </w:p>
    <w:p w14:paraId="04F33250" w14:textId="77777777" w:rsidR="00110BDA" w:rsidRDefault="00000000">
      <w:pPr>
        <w:spacing w:after="120" w:line="360" w:lineRule="auto"/>
        <w:ind w:firstLine="480"/>
      </w:pPr>
      <w:r>
        <w:t>该指标是密集计划对真值边的包含，不是精确拓扑恢复。在严格口径（预测边集须与结构真值完全一致）下，五种方法在三桥的精确恢复均为</w:t>
      </w:r>
      <w:r>
        <w:t xml:space="preserve"> 0</w:t>
      </w:r>
      <w:r>
        <w:t>；边级指标上，全局校准的阈值规则（边</w:t>
      </w:r>
      <w:r>
        <w:t xml:space="preserve"> F1 0.120–0.168</w:t>
      </w:r>
      <w:r>
        <w:t>）高于两种传输解码（</w:t>
      </w:r>
      <w:r>
        <w:t>≤ 0.040</w:t>
      </w:r>
      <w:r>
        <w:t>）；覆盖分层传输解码在边精度上略高于严格平衡传输（</w:t>
      </w:r>
      <w:r>
        <w:t xml:space="preserve">0.015–0.022 </w:t>
      </w:r>
      <w:r>
        <w:t>对</w:t>
      </w:r>
      <w:r>
        <w:t xml:space="preserve"> 0.010–0.016</w:t>
      </w:r>
      <w:r>
        <w:t>）。完整</w:t>
      </w:r>
      <w:r>
        <w:t xml:space="preserve"> 15 </w:t>
      </w:r>
      <w:r>
        <w:t>行严格评估表见补充</w:t>
      </w:r>
      <w:r>
        <w:t xml:space="preserve"> A.4</w:t>
      </w:r>
      <w:r>
        <w:t>；一对一风格基线结构上无法输出</w:t>
      </w:r>
      <w:r>
        <w:t xml:space="preserve"> 1→2 </w:t>
      </w:r>
      <w:r>
        <w:t>边集的能力核对见补充</w:t>
      </w:r>
      <w:r>
        <w:t xml:space="preserve"> A.3</w:t>
      </w:r>
      <w:r>
        <w:t>。综合而言：表示失配真实存在，运输表示弥补了它；但精确拓扑重建对所有方法都不可达，本节确立的是表示能力，不是可操作的重建精度。</w:t>
      </w:r>
    </w:p>
    <w:p w14:paraId="00DDE1CF" w14:textId="77777777" w:rsidR="00110BDA" w:rsidRDefault="00000000">
      <w:pPr>
        <w:pStyle w:val="21"/>
        <w:spacing w:after="120"/>
      </w:pPr>
      <w:r>
        <w:t xml:space="preserve">5.3 </w:t>
      </w:r>
      <w:r>
        <w:t>条件解码的确认性评估</w:t>
      </w:r>
    </w:p>
    <w:p w14:paraId="5B2C8542" w14:textId="77777777" w:rsidR="00110BDA" w:rsidRDefault="00000000">
      <w:pPr>
        <w:spacing w:after="120" w:line="360" w:lineRule="auto"/>
        <w:ind w:firstLine="480"/>
      </w:pPr>
      <w:r>
        <w:t>开发期诊断先行观察到排序失真：无金额代价解码的宏边</w:t>
      </w:r>
      <w:r>
        <w:t xml:space="preserve"> F1 </w:t>
      </w:r>
      <w:r>
        <w:t>为</w:t>
      </w:r>
      <w:r>
        <w:t xml:space="preserve"> 0.3172</w:t>
      </w:r>
      <w:r>
        <w:t>，而原始计划互选前</w:t>
      </w:r>
      <w:r>
        <w:t xml:space="preserve"> 5 </w:t>
      </w:r>
      <w:r>
        <w:t>解码仅</w:t>
      </w:r>
      <w:r>
        <w:t xml:space="preserve"> 0.2374</w:t>
      </w:r>
      <w:r>
        <w:t>，退化源于边际竞争与目标侧对偶缩放。基于该诊断，条件解码器与五项机制方向在实验前预先固定，并在预先固定的确认性保留集（三桥，</w:t>
      </w:r>
      <w:r>
        <w:t xml:space="preserve">720 </w:t>
      </w:r>
      <w:r>
        <w:t>个配对模板实例）上评估。</w:t>
      </w:r>
    </w:p>
    <w:p w14:paraId="5601249F" w14:textId="77777777" w:rsidR="00110BDA" w:rsidRDefault="00000000">
      <w:pPr>
        <w:spacing w:after="120" w:line="360" w:lineRule="auto"/>
        <w:ind w:firstLine="480"/>
      </w:pPr>
      <w:r>
        <w:rPr>
          <w:b/>
        </w:rPr>
        <w:t>主结果。条件解码把宏平均边 F1 从 RAW_UOT_PLAN_D4 的 0.2350 提升到 CONDITIONAL_UOT_D4 的 0.3104；Δ_primary = +0.075413，配对 95% CI [0.070557, 0.080312]，完全位于零之上（表 3；图 5）。逐桥全部为正：Celer +0.0826 [0.0743, 0.0918]，Multichain +0.0820 [0.0709, 0.0933]，PolyNetwork +0.0616 [0.0587, 0.0649]。基于冻结逐实例结果（未重跑方法）的敏感性重算给出：种子→模板两阶段重采样 95% CI [0.0677, 0.0831]、金额×时延分层（Q|D）重采样 [0.0676, 0.0849]、真实依赖单元（基锚点）簇重采样 [0.0708, 0.0803]，均不含零，主结论稳健（完整细节见补充 B.3）。确认性保留集的 720 个模板实例共享同一注入结构构成（每模板一个分流对、一个合流对、一个未匹配源与两个噪声对），因此该结果刻画的是该生成器模板网格上的修复效应；其外部推广有待充分多样语料上的方法评估。</w:t>
      </w:r>
      <w:r/>
      <w:r/>
      <w:r/>
      <w:r/>
      <w:r/>
      <w:r/>
      <w:r/>
      <w:r/>
      <w:r/>
      <w:r/>
      <w:r/>
      <w:r/>
      <w:r/>
      <w:r/>
      <w:r/>
      <w:r/>
      <w:r/>
      <w:r/>
      <w:r/>
      <w:r/>
      <w:r/>
      <w:r/>
      <w:r/>
      <w:r/>
      <w:r/>
    </w:p>
    <w:p w14:paraId="04E6BF6F" w14:textId="77777777" w:rsidR="00110BDA" w:rsidRDefault="00000000">
      <w:pPr>
        <w:spacing w:before="120" w:after="60"/>
        <w:jc w:val="center"/>
      </w:pPr>
      <w:r>
        <w:rPr>
          <w:b/>
          <w:sz w:val="21"/>
        </w:rPr>
        <w:t>表</w:t>
      </w:r>
      <w:r>
        <w:rPr>
          <w:b/>
          <w:sz w:val="21"/>
        </w:rPr>
        <w:t xml:space="preserve"> 3  </w:t>
      </w:r>
      <w:r>
        <w:rPr>
          <w:b/>
          <w:sz w:val="21"/>
        </w:rPr>
        <w:t>预先固定的确认性保留集：五种解码方法（三桥，</w:t>
      </w:r>
      <w:r>
        <w:rPr>
          <w:b/>
          <w:sz w:val="21"/>
        </w:rPr>
        <w:t xml:space="preserve">720 </w:t>
      </w:r>
      <w:r>
        <w:rPr>
          <w:b/>
          <w:sz w:val="21"/>
        </w:rPr>
        <w:t>个配对模板实例）</w:t>
      </w:r>
    </w:p>
    <w:tbl>
      <w:tblPr>
        <w:tblStyle w:val="aff1"/>
        <w:tblW w:w="0" w:type="auto"/>
        <w:jc w:val="center"/>
        <w:tblLook w:val="04A0" w:firstRow="1" w:lastRow="0" w:firstColumn="1" w:lastColumn="0" w:noHBand="0" w:noVBand="1"/>
      </w:tblPr>
      <w:tblGrid>
        <w:gridCol w:w="2760"/>
        <w:gridCol w:w="2138"/>
        <w:gridCol w:w="2138"/>
        <w:gridCol w:w="2138"/>
      </w:tblGrid>
      <w:tr w:rsidR="00110BDA" w14:paraId="5A40CB4A" w14:textId="77777777">
        <w:trPr>
          <w:jc w:val="center"/>
        </w:trPr>
        <w:tc>
          <w:tcPr>
            <w:tcW w:w="2239" w:type="dxa"/>
          </w:tcPr>
          <w:p w14:paraId="234AA65F" w14:textId="77777777" w:rsidR="00110BDA" w:rsidRDefault="00000000">
            <w:r>
              <w:rPr>
                <w:b/>
                <w:sz w:val="21"/>
              </w:rPr>
              <w:lastRenderedPageBreak/>
              <w:t>解码方法</w:t>
            </w:r>
          </w:p>
        </w:tc>
        <w:tc>
          <w:tcPr>
            <w:tcW w:w="2239" w:type="dxa"/>
          </w:tcPr>
          <w:p w14:paraId="01DD41F6" w14:textId="77777777" w:rsidR="00110BDA" w:rsidRDefault="00000000">
            <w:r>
              <w:rPr>
                <w:b/>
                <w:sz w:val="21"/>
              </w:rPr>
              <w:t>边精度（宏）</w:t>
            </w:r>
          </w:p>
        </w:tc>
        <w:tc>
          <w:tcPr>
            <w:tcW w:w="2239" w:type="dxa"/>
          </w:tcPr>
          <w:p w14:paraId="20383DBB" w14:textId="77777777" w:rsidR="00110BDA" w:rsidRDefault="00000000">
            <w:r>
              <w:rPr>
                <w:b/>
                <w:sz w:val="21"/>
              </w:rPr>
              <w:t>边召回（宏）</w:t>
            </w:r>
          </w:p>
        </w:tc>
        <w:tc>
          <w:tcPr>
            <w:tcW w:w="2239" w:type="dxa"/>
          </w:tcPr>
          <w:p w14:paraId="28A4EDBA" w14:textId="77777777" w:rsidR="00110BDA" w:rsidRDefault="00000000">
            <w:r>
              <w:rPr>
                <w:b/>
                <w:sz w:val="21"/>
              </w:rPr>
              <w:t>边</w:t>
            </w:r>
            <w:r>
              <w:rPr>
                <w:b/>
                <w:sz w:val="21"/>
              </w:rPr>
              <w:t xml:space="preserve"> F1</w:t>
            </w:r>
            <w:r>
              <w:rPr>
                <w:b/>
                <w:sz w:val="21"/>
              </w:rPr>
              <w:t>（宏）</w:t>
            </w:r>
          </w:p>
        </w:tc>
      </w:tr>
      <w:tr w:rsidR="00110BDA" w14:paraId="57C18065" w14:textId="77777777">
        <w:trPr>
          <w:jc w:val="center"/>
        </w:trPr>
        <w:tc>
          <w:tcPr>
            <w:tcW w:w="2239" w:type="dxa"/>
          </w:tcPr>
          <w:p w14:paraId="02C3C41B" w14:textId="77777777" w:rsidR="00110BDA" w:rsidRDefault="00000000">
            <w:r>
              <w:rPr>
                <w:sz w:val="21"/>
              </w:rPr>
              <w:t>RAW_UOT_PLAN_D4</w:t>
            </w:r>
          </w:p>
        </w:tc>
        <w:tc>
          <w:tcPr>
            <w:tcW w:w="2239" w:type="dxa"/>
          </w:tcPr>
          <w:p w14:paraId="2B46FAB4" w14:textId="77777777" w:rsidR="00110BDA" w:rsidRDefault="00000000">
            <w:r>
              <w:rPr>
                <w:sz w:val="21"/>
              </w:rPr>
              <w:t>0.1476</w:t>
            </w:r>
          </w:p>
        </w:tc>
        <w:tc>
          <w:tcPr>
            <w:tcW w:w="2239" w:type="dxa"/>
          </w:tcPr>
          <w:p w14:paraId="5D0C9C64" w14:textId="77777777" w:rsidR="00110BDA" w:rsidRDefault="00000000">
            <w:r>
              <w:rPr>
                <w:sz w:val="21"/>
              </w:rPr>
              <w:t>0.5975</w:t>
            </w:r>
          </w:p>
        </w:tc>
        <w:tc>
          <w:tcPr>
            <w:tcW w:w="2239" w:type="dxa"/>
          </w:tcPr>
          <w:p w14:paraId="47D8805E" w14:textId="77777777" w:rsidR="00110BDA" w:rsidRDefault="00000000">
            <w:r>
              <w:rPr>
                <w:sz w:val="21"/>
              </w:rPr>
              <w:t>0.2350</w:t>
            </w:r>
          </w:p>
        </w:tc>
      </w:tr>
      <w:tr w:rsidR="00110BDA" w14:paraId="741FAABC" w14:textId="77777777">
        <w:trPr>
          <w:jc w:val="center"/>
        </w:trPr>
        <w:tc>
          <w:tcPr>
            <w:tcW w:w="2239" w:type="dxa"/>
          </w:tcPr>
          <w:p w14:paraId="35679243" w14:textId="77777777" w:rsidR="00110BDA" w:rsidRDefault="00000000">
            <w:r>
              <w:rPr>
                <w:b/>
                <w:sz w:val="21"/>
              </w:rPr>
              <w:t>CONDITIONAL_UOT_D4</w:t>
            </w:r>
          </w:p>
        </w:tc>
        <w:tc>
          <w:tcPr>
            <w:tcW w:w="2239" w:type="dxa"/>
          </w:tcPr>
          <w:p w14:paraId="6162D992" w14:textId="77777777" w:rsidR="00110BDA" w:rsidRDefault="00000000">
            <w:r>
              <w:rPr>
                <w:b/>
                <w:sz w:val="21"/>
              </w:rPr>
              <w:t>0.1926</w:t>
            </w:r>
          </w:p>
        </w:tc>
        <w:tc>
          <w:tcPr>
            <w:tcW w:w="2239" w:type="dxa"/>
          </w:tcPr>
          <w:p w14:paraId="2841AFF3" w14:textId="77777777" w:rsidR="00110BDA" w:rsidRDefault="00000000">
            <w:r>
              <w:rPr>
                <w:b/>
                <w:sz w:val="21"/>
              </w:rPr>
              <w:t>0.8009</w:t>
            </w:r>
          </w:p>
        </w:tc>
        <w:tc>
          <w:tcPr>
            <w:tcW w:w="2239" w:type="dxa"/>
          </w:tcPr>
          <w:p w14:paraId="7B07C50E" w14:textId="77777777" w:rsidR="00110BDA" w:rsidRDefault="00000000">
            <w:r>
              <w:rPr>
                <w:b/>
                <w:sz w:val="21"/>
              </w:rPr>
              <w:t>0.3104</w:t>
            </w:r>
          </w:p>
        </w:tc>
      </w:tr>
      <w:tr w:rsidR="00110BDA" w14:paraId="52A2F649" w14:textId="77777777">
        <w:trPr>
          <w:jc w:val="center"/>
        </w:trPr>
        <w:tc>
          <w:tcPr>
            <w:tcW w:w="2239" w:type="dxa"/>
          </w:tcPr>
          <w:p w14:paraId="7DE5E9DA" w14:textId="77777777" w:rsidR="00110BDA" w:rsidRDefault="00000000">
            <w:r>
              <w:rPr>
                <w:sz w:val="21"/>
              </w:rPr>
              <w:t>AMOUNT_FREE_COST_D4</w:t>
            </w:r>
          </w:p>
        </w:tc>
        <w:tc>
          <w:tcPr>
            <w:tcW w:w="2239" w:type="dxa"/>
          </w:tcPr>
          <w:p w14:paraId="78493E43" w14:textId="77777777" w:rsidR="00110BDA" w:rsidRDefault="00000000">
            <w:r>
              <w:rPr>
                <w:sz w:val="21"/>
              </w:rPr>
              <w:t>0.1896</w:t>
            </w:r>
          </w:p>
        </w:tc>
        <w:tc>
          <w:tcPr>
            <w:tcW w:w="2239" w:type="dxa"/>
          </w:tcPr>
          <w:p w14:paraId="2CE68A1A" w14:textId="77777777" w:rsidR="00110BDA" w:rsidRDefault="00000000">
            <w:r>
              <w:rPr>
                <w:sz w:val="21"/>
              </w:rPr>
              <w:t>0.7882</w:t>
            </w:r>
          </w:p>
        </w:tc>
        <w:tc>
          <w:tcPr>
            <w:tcW w:w="2239" w:type="dxa"/>
          </w:tcPr>
          <w:p w14:paraId="234CC15E" w14:textId="77777777" w:rsidR="00110BDA" w:rsidRDefault="00000000">
            <w:r>
              <w:rPr>
                <w:sz w:val="21"/>
              </w:rPr>
              <w:t>0.3055</w:t>
            </w:r>
          </w:p>
        </w:tc>
      </w:tr>
      <w:tr w:rsidR="00110BDA" w14:paraId="7BC59693" w14:textId="77777777">
        <w:trPr>
          <w:jc w:val="center"/>
        </w:trPr>
        <w:tc>
          <w:tcPr>
            <w:tcW w:w="2239" w:type="dxa"/>
          </w:tcPr>
          <w:p w14:paraId="50CF1EC4" w14:textId="77777777" w:rsidR="00110BDA" w:rsidRDefault="00000000">
            <w:r>
              <w:rPr>
                <w:sz w:val="21"/>
              </w:rPr>
              <w:t>CONDITIONAL_BOT_D4</w:t>
            </w:r>
          </w:p>
        </w:tc>
        <w:tc>
          <w:tcPr>
            <w:tcW w:w="2239" w:type="dxa"/>
          </w:tcPr>
          <w:p w14:paraId="34DC33A6" w14:textId="77777777" w:rsidR="00110BDA" w:rsidRDefault="00000000">
            <w:r>
              <w:rPr>
                <w:sz w:val="21"/>
              </w:rPr>
              <w:t>0.1927</w:t>
            </w:r>
          </w:p>
        </w:tc>
        <w:tc>
          <w:tcPr>
            <w:tcW w:w="2239" w:type="dxa"/>
          </w:tcPr>
          <w:p w14:paraId="7EB6371A" w14:textId="77777777" w:rsidR="00110BDA" w:rsidRDefault="00000000">
            <w:r>
              <w:rPr>
                <w:sz w:val="21"/>
              </w:rPr>
              <w:t>0.8016</w:t>
            </w:r>
          </w:p>
        </w:tc>
        <w:tc>
          <w:tcPr>
            <w:tcW w:w="2239" w:type="dxa"/>
          </w:tcPr>
          <w:p w14:paraId="2F6CCB72" w14:textId="77777777" w:rsidR="00110BDA" w:rsidRDefault="00000000">
            <w:r>
              <w:rPr>
                <w:sz w:val="21"/>
              </w:rPr>
              <w:t>0.3106</w:t>
            </w:r>
          </w:p>
        </w:tc>
      </w:tr>
      <w:tr w:rsidR="00110BDA" w14:paraId="38E20D27" w14:textId="77777777">
        <w:trPr>
          <w:jc w:val="center"/>
        </w:trPr>
        <w:tc>
          <w:tcPr>
            <w:tcW w:w="2239" w:type="dxa"/>
          </w:tcPr>
          <w:p w14:paraId="662E6E26" w14:textId="77777777" w:rsidR="00110BDA" w:rsidRDefault="00000000">
            <w:r>
              <w:rPr>
                <w:sz w:val="21"/>
              </w:rPr>
              <w:t>SUPPORT_PLUS_K_D4</w:t>
            </w:r>
          </w:p>
        </w:tc>
        <w:tc>
          <w:tcPr>
            <w:tcW w:w="2239" w:type="dxa"/>
          </w:tcPr>
          <w:p w14:paraId="1E44A59D" w14:textId="77777777" w:rsidR="00110BDA" w:rsidRDefault="00000000">
            <w:r>
              <w:rPr>
                <w:sz w:val="21"/>
              </w:rPr>
              <w:t>0.1862</w:t>
            </w:r>
          </w:p>
        </w:tc>
        <w:tc>
          <w:tcPr>
            <w:tcW w:w="2239" w:type="dxa"/>
          </w:tcPr>
          <w:p w14:paraId="4A922A89" w14:textId="77777777" w:rsidR="00110BDA" w:rsidRDefault="00000000">
            <w:r>
              <w:rPr>
                <w:sz w:val="21"/>
              </w:rPr>
              <w:t>0.7734</w:t>
            </w:r>
          </w:p>
        </w:tc>
        <w:tc>
          <w:tcPr>
            <w:tcW w:w="2239" w:type="dxa"/>
          </w:tcPr>
          <w:p w14:paraId="6476B3F1" w14:textId="77777777" w:rsidR="00110BDA" w:rsidRDefault="00000000">
            <w:r>
              <w:rPr>
                <w:sz w:val="21"/>
              </w:rPr>
              <w:t>0.2999</w:t>
            </w:r>
          </w:p>
        </w:tc>
      </w:tr>
    </w:tbl>
    <w:p w14:paraId="531F5A86" w14:textId="77777777" w:rsidR="00110BDA" w:rsidRDefault="00110BDA">
      <w:pPr>
        <w:spacing w:after="0"/>
      </w:pPr>
    </w:p>
    <w:p w14:paraId="74E099D9" w14:textId="77777777" w:rsidR="00110BDA" w:rsidRDefault="00000000">
      <w:pPr>
        <w:spacing w:after="120" w:line="360" w:lineRule="auto"/>
        <w:ind w:firstLine="480"/>
      </w:pPr>
      <w:r>
        <w:t>主对比为</w:t>
      </w:r>
      <w:r>
        <w:t xml:space="preserve"> CONDITIONAL_UOT_D4 </w:t>
      </w:r>
      <w:r>
        <w:t>减</w:t>
      </w:r>
      <w:r>
        <w:t xml:space="preserve"> RAW_UOT_PLAN_D4</w:t>
      </w:r>
      <w:r>
        <w:t>：</w:t>
      </w:r>
      <w:r>
        <w:t>Δ_primary = +0.075413</w:t>
      </w:r>
      <w:r>
        <w:t>，配对</w:t>
      </w:r>
      <w:r>
        <w:t xml:space="preserve"> 95% CI [0.070557, 0.080312]</w:t>
      </w:r>
      <w:r>
        <w:t>；逐桥</w:t>
      </w:r>
      <w:r>
        <w:t xml:space="preserve"> Δ </w:t>
      </w:r>
      <w:r>
        <w:t>与</w:t>
      </w:r>
      <w:r>
        <w:t xml:space="preserve"> CI </w:t>
      </w:r>
      <w:r>
        <w:t>见正文；</w:t>
      </w:r>
      <w:r>
        <w:t xml:space="preserve">CONDITIONAL_BOT_D4 </w:t>
      </w:r>
      <w:r>
        <w:t>与</w:t>
      </w:r>
      <w:r>
        <w:t xml:space="preserve"> CONDITIONAL_UOT_D4 </w:t>
      </w:r>
      <w:r>
        <w:t>相差</w:t>
      </w:r>
      <w:r>
        <w:t xml:space="preserve"> −0.0003</w:t>
      </w:r>
      <w:r>
        <w:t>（</w:t>
      </w:r>
      <w:r>
        <w:t xml:space="preserve">CI </w:t>
      </w:r>
      <w:r>
        <w:t>含零）。完整统计口径与独立重算见补充</w:t>
      </w:r>
      <w:r>
        <w:t xml:space="preserve"> B.3</w:t>
      </w:r>
      <w:r>
        <w:t>。</w:t>
      </w:r>
    </w:p>
    <w:p w14:paraId="677B0B7F" w14:textId="77777777" w:rsidR="00110BDA" w:rsidRDefault="00000000">
      <w:pPr>
        <w:jc w:val="center"/>
      </w:pPr>
      <w:r>
        <w:rPr>
          <w:noProof/>
        </w:rPr>
        <w:drawing>
          <wp:inline distT="0" distB="0" distL="0" distR="0" wp14:anchorId="05D0DB30" wp14:editId="38758718">
            <wp:extent cx="5580000" cy="2288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incipal_confirmatory.png"/>
                    <pic:cNvPicPr/>
                  </pic:nvPicPr>
                  <pic:blipFill>
                    <a:blip r:embed="rId10"/>
                    <a:stretch>
                      <a:fillRect/>
                    </a:stretch>
                  </pic:blipFill>
                  <pic:spPr>
                    <a:xfrm>
                      <a:off x="0" y="0"/>
                      <a:ext cx="5580000" cy="2288537"/>
                    </a:xfrm>
                    <a:prstGeom prst="rect">
                      <a:avLst/>
                    </a:prstGeom>
                  </pic:spPr>
                </pic:pic>
              </a:graphicData>
            </a:graphic>
          </wp:inline>
        </w:drawing>
      </w:r>
    </w:p>
    <w:p w14:paraId="7674F61A" w14:textId="77777777" w:rsidR="00110BDA" w:rsidRDefault="00000000">
      <w:pPr>
        <w:spacing w:after="160"/>
        <w:jc w:val="center"/>
      </w:pPr>
      <w:r>
        <w:rPr>
          <w:sz w:val="21"/>
        </w:rPr>
        <w:t>图</w:t>
      </w:r>
      <w:r>
        <w:rPr>
          <w:sz w:val="21"/>
        </w:rPr>
        <w:t xml:space="preserve"> 5  </w:t>
      </w:r>
      <w:r>
        <w:rPr>
          <w:sz w:val="21"/>
        </w:rPr>
        <w:t>确认性保留集主结果（全文核心图）：</w:t>
      </w:r>
      <w:r>
        <w:rPr>
          <w:sz w:val="21"/>
        </w:rPr>
        <w:t xml:space="preserve">(a) </w:t>
      </w:r>
      <w:r>
        <w:rPr>
          <w:sz w:val="21"/>
        </w:rPr>
        <w:t>五种解码方法的宏边</w:t>
      </w:r>
      <w:r>
        <w:rPr>
          <w:sz w:val="21"/>
        </w:rPr>
        <w:t xml:space="preserve"> F1</w:t>
      </w:r>
      <w:r>
        <w:rPr>
          <w:sz w:val="21"/>
        </w:rPr>
        <w:t>，主对比</w:t>
      </w:r>
      <w:r>
        <w:rPr>
          <w:sz w:val="21"/>
        </w:rPr>
        <w:t xml:space="preserve"> CONDITIONAL_UOT_D4 </w:t>
      </w:r>
      <w:r>
        <w:rPr>
          <w:sz w:val="21"/>
        </w:rPr>
        <w:t>对</w:t>
      </w:r>
      <w:r>
        <w:rPr>
          <w:sz w:val="21"/>
        </w:rPr>
        <w:t xml:space="preserve"> RAW_UOT_PLAN_D4</w:t>
      </w:r>
      <w:r>
        <w:rPr>
          <w:sz w:val="21"/>
        </w:rPr>
        <w:t>（</w:t>
      </w:r>
      <w:r>
        <w:rPr>
          <w:sz w:val="21"/>
        </w:rPr>
        <w:t>Δ = +0.075413</w:t>
      </w:r>
      <w:r>
        <w:rPr>
          <w:sz w:val="21"/>
        </w:rPr>
        <w:t>，配对</w:t>
      </w:r>
      <w:r>
        <w:rPr>
          <w:sz w:val="21"/>
        </w:rPr>
        <w:t xml:space="preserve"> 95% CI [0.070557, 0.080312]</w:t>
      </w:r>
      <w:r>
        <w:rPr>
          <w:sz w:val="21"/>
        </w:rPr>
        <w:t>）；</w:t>
      </w:r>
      <w:r>
        <w:rPr>
          <w:sz w:val="21"/>
        </w:rPr>
        <w:t xml:space="preserve">(b) </w:t>
      </w:r>
      <w:r>
        <w:rPr>
          <w:sz w:val="21"/>
        </w:rPr>
        <w:t>逐桥主效应与配对</w:t>
      </w:r>
      <w:r>
        <w:rPr>
          <w:sz w:val="21"/>
        </w:rPr>
        <w:t xml:space="preserve"> 95% CI</w:t>
      </w:r>
      <w:r>
        <w:rPr>
          <w:sz w:val="21"/>
        </w:rPr>
        <w:t>，三桥全部为正；</w:t>
      </w:r>
      <w:r>
        <w:rPr>
          <w:sz w:val="21"/>
        </w:rPr>
        <w:t xml:space="preserve">(c) </w:t>
      </w:r>
      <w:r>
        <w:rPr>
          <w:sz w:val="21"/>
        </w:rPr>
        <w:t>五项预先固定的机制方向变化。</w:t>
      </w:r>
      <w:r>
        <w:rPr>
          <w:sz w:val="21"/>
        </w:rPr>
        <w:t xml:space="preserve">CONDITIONAL_BOT_D4 </w:t>
      </w:r>
      <w:r>
        <w:rPr>
          <w:sz w:val="21"/>
        </w:rPr>
        <w:t>与</w:t>
      </w:r>
      <w:r>
        <w:rPr>
          <w:sz w:val="21"/>
        </w:rPr>
        <w:t xml:space="preserve"> CONDITIONAL_UOT_D4 </w:t>
      </w:r>
      <w:r>
        <w:rPr>
          <w:sz w:val="21"/>
        </w:rPr>
        <w:t>相差</w:t>
      </w:r>
      <w:r>
        <w:rPr>
          <w:sz w:val="21"/>
        </w:rPr>
        <w:t xml:space="preserve"> −0.0003</w:t>
      </w:r>
      <w:r>
        <w:rPr>
          <w:sz w:val="21"/>
        </w:rPr>
        <w:t>、</w:t>
      </w:r>
      <w:r>
        <w:rPr>
          <w:sz w:val="21"/>
        </w:rPr>
        <w:t xml:space="preserve">CI </w:t>
      </w:r>
      <w:r>
        <w:rPr>
          <w:sz w:val="21"/>
        </w:rPr>
        <w:t>含零，本图不比较</w:t>
      </w:r>
      <w:r>
        <w:rPr>
          <w:sz w:val="21"/>
        </w:rPr>
        <w:t xml:space="preserve"> UOT </w:t>
      </w:r>
      <w:r>
        <w:rPr>
          <w:sz w:val="21"/>
        </w:rPr>
        <w:t>与</w:t>
      </w:r>
      <w:r>
        <w:rPr>
          <w:sz w:val="21"/>
        </w:rPr>
        <w:t xml:space="preserve"> BOT </w:t>
      </w:r>
      <w:r>
        <w:rPr>
          <w:sz w:val="21"/>
        </w:rPr>
        <w:t>的优劣。</w:t>
      </w:r>
    </w:p>
    <w:p w14:paraId="00124407" w14:textId="77777777" w:rsidR="00110BDA" w:rsidRDefault="00000000">
      <w:pPr>
        <w:spacing w:after="120" w:line="360" w:lineRule="auto"/>
        <w:ind w:firstLine="480"/>
      </w:pPr>
      <w:r>
        <w:rPr>
          <w:b/>
        </w:rPr>
        <w:t>机制方向。</w:t>
      </w:r>
      <w:r>
        <w:t>五项预先固定的机制方向指标全部指向修复方向：有害翻转率下降</w:t>
      </w:r>
      <w:r>
        <w:t xml:space="preserve"> −0.2595</w:t>
      </w:r>
      <w:r>
        <w:t>（行向）、</w:t>
      </w:r>
      <w:r>
        <w:t>−0.2303</w:t>
      </w:r>
      <w:r>
        <w:t>（列向）、</w:t>
      </w:r>
      <w:r>
        <w:t>−0.5360</w:t>
      </w:r>
      <w:r>
        <w:t>（分流子集）、</w:t>
      </w:r>
      <w:r>
        <w:t>−0.5095</w:t>
      </w:r>
      <w:r>
        <w:t>（合流目标），真值互选前</w:t>
      </w:r>
      <w:r>
        <w:t xml:space="preserve"> 5 </w:t>
      </w:r>
      <w:r>
        <w:t>保留率上升</w:t>
      </w:r>
      <w:r>
        <w:t xml:space="preserve"> +0.2035</w:t>
      </w:r>
      <w:r>
        <w:t>。这些是观测性指标，用于刻画修复的作用方式，不构成完整因果分解。</w:t>
      </w:r>
    </w:p>
    <w:p w14:paraId="57C86854" w14:textId="77777777" w:rsidR="00110BDA" w:rsidRDefault="00000000">
      <w:pPr>
        <w:spacing w:after="120" w:line="360" w:lineRule="auto"/>
        <w:ind w:firstLine="480"/>
      </w:pPr>
      <w:r>
        <w:rPr>
          <w:b/>
        </w:rPr>
        <w:t>辅助对照。</w:t>
      </w:r>
      <w:r>
        <w:t>相对直接核</w:t>
      </w:r>
      <w:r>
        <w:t>/</w:t>
      </w:r>
      <w:r>
        <w:t>支撑解码，条件解码的传输计划级增量为正但小（</w:t>
      </w:r>
      <w:r>
        <w:t>Δ_cost = +0.0048 [0.0013, 0.0089]</w:t>
      </w:r>
      <w:r>
        <w:t>；</w:t>
      </w:r>
      <w:r>
        <w:t>Δ_support = +0.0104 [0.0062, 0.0152]</w:t>
      </w:r>
      <w:r>
        <w:t>）</w:t>
      </w:r>
      <w:r>
        <w:t>——</w:t>
      </w:r>
      <w:r>
        <w:t>传输求解是表示机制，而非相对自身核的大幅增益；主分类下三桥全部为正，</w:t>
      </w:r>
      <w:r>
        <w:t xml:space="preserve">PolyNetwork </w:t>
      </w:r>
      <w:r>
        <w:t>的二级对照为负（</w:t>
      </w:r>
      <w:r>
        <w:t>−0.0043 [−0.0065, −0.0024]</w:t>
      </w:r>
      <w:r>
        <w:t>）。平衡与非平衡条件解码的差异为</w:t>
      </w:r>
      <w:r>
        <w:t xml:space="preserve"> −0.0003</w:t>
      </w:r>
      <w:r>
        <w:t>，</w:t>
      </w:r>
      <w:r>
        <w:lastRenderedPageBreak/>
        <w:t xml:space="preserve">95% CI [−0.0018, +0.0012] </w:t>
      </w:r>
      <w:r>
        <w:t>包含零：非平衡松弛本身的排序收益未被观测到，其动机是未匹配质量建模（第</w:t>
      </w:r>
      <w:r>
        <w:t xml:space="preserve"> 4.2 </w:t>
      </w:r>
      <w:r>
        <w:t>节）。</w:t>
      </w:r>
    </w:p>
    <w:p w14:paraId="3E5749AA" w14:textId="77777777" w:rsidR="00110BDA" w:rsidRDefault="00000000">
      <w:pPr>
        <w:pStyle w:val="21"/>
        <w:spacing w:after="120"/>
      </w:pPr>
      <w:r>
        <w:t xml:space="preserve">5.4 </w:t>
      </w:r>
      <w:r>
        <w:t>机制与附加诊断</w:t>
      </w:r>
    </w:p>
    <w:p w14:paraId="35B1DC7E" w14:textId="77777777" w:rsidR="00110BDA" w:rsidRDefault="00000000">
      <w:pPr>
        <w:spacing w:after="120" w:line="360" w:lineRule="auto"/>
        <w:ind w:firstLine="480"/>
      </w:pPr>
      <w:r>
        <w:t>组件压力阶梯（在开发封存流上逐项隔离代价组件）表明，时间因果与未匹配质量是所隔离项中最敏感的两项：移除二者时性能下降最明显（完整阶梯数字见补充</w:t>
      </w:r>
      <w:r>
        <w:t xml:space="preserve"> B.4</w:t>
      </w:r>
      <w:r>
        <w:t>）。平衡与非平衡解码在不同压力级下表现为一致的水平差异而非斜率差异，与第</w:t>
      </w:r>
      <w:r>
        <w:t xml:space="preserve"> 5.3 </w:t>
      </w:r>
      <w:r>
        <w:t>节差异置信区间含零的观察一致。对称掩码诊断进一步说明证据缺失下的行为差异：移除接收方或金额字段会使一对一风格工具阻塞或零预测，而传输管线保持可评估，且交易级时间因果违例率恒为</w:t>
      </w:r>
      <w:r>
        <w:t xml:space="preserve"> 0</w:t>
      </w:r>
      <w:r>
        <w:t>（完整梯子见补充</w:t>
      </w:r>
      <w:r>
        <w:t xml:space="preserve"> C.3</w:t>
      </w:r>
      <w:r>
        <w:t>）。风险项的独立贡献未单独量化（第</w:t>
      </w:r>
      <w:r>
        <w:t xml:space="preserve"> 4.2 </w:t>
      </w:r>
      <w:r>
        <w:t>节）。</w:t>
      </w:r>
    </w:p>
    <w:p w14:paraId="0364B088" w14:textId="77777777" w:rsidR="00110BDA" w:rsidRDefault="00000000">
      <w:pPr>
        <w:pStyle w:val="21"/>
        <w:spacing w:after="120"/>
      </w:pPr>
      <w:r>
        <w:t xml:space="preserve">5.5 </w:t>
      </w:r>
      <w:r>
        <w:t>独立真实数据中的问题存在性</w:t>
      </w:r>
    </w:p>
    <w:p w14:paraId="48D51451" w14:textId="77777777" w:rsidR="00110BDA" w:rsidRDefault="00000000">
      <w:pPr>
        <w:spacing w:after="120" w:line="360" w:lineRule="auto"/>
        <w:ind w:firstLine="480"/>
      </w:pPr>
      <w:r>
        <w:t>本节回答：流级扇出在开发语料之外是否存在。数据取自独立的后开发期 Celer 语料（2024-05-20 至 2025-05-19），以协议原生关联规则（Send.transferId == Relay.srcTransferId）组装流级真值边；仅做数据组装，未运行任何方法。结果：32,905 个协议原生锚定、25,621 条去重后的流级真值边、2,451 个 Tier-A 源级扇出单元（度 ≤ 5：2,425；度 &gt; 5：26；度 &gt; 5 的单元对 k = 5 互选解码器在结构上不可精确恢复，属已知表示上限）、85 个合流单元、时间跨度 359.98 天（表 4；图 6）。</w:t>
      </w:r>
      <w:r/>
      <w:r/>
      <w:r/>
      <w:r/>
      <w:r/>
      <w:r/>
      <w:r/>
      <w:r/>
      <w:r/>
      <w:r/>
      <w:r/>
      <w:r/>
      <w:r/>
      <w:r/>
      <w:r/>
      <w:r/>
      <w:r/>
      <w:r/>
      <w:r/>
      <w:r/>
      <w:r/>
      <w:r/>
      <w:r/>
      <w:r/>
      <w:r/>
      <w:r/>
      <w:r/>
      <w:r/>
      <w:r/>
      <w:r/>
      <w:r/>
      <w:r/>
    </w:p>
    <w:p w14:paraId="31794922" w14:textId="77777777" w:rsidR="00110BDA" w:rsidRDefault="00000000">
      <w:pPr>
        <w:spacing w:before="120" w:after="60"/>
        <w:jc w:val="center"/>
      </w:pPr>
      <w:r>
        <w:rPr>
          <w:b/>
          <w:sz w:val="21"/>
        </w:rPr>
        <w:t>表 4  后开发期数据审计摘要（预测盲，仅数据组装，未运行任何方法）</w:t>
      </w:r>
      <w:r>
        <w:rPr>
          <w:b/>
          <w:sz w:val="21"/>
        </w:rPr>
      </w:r>
      <w:r>
        <w:rPr>
          <w:b/>
          <w:sz w:val="21"/>
        </w:rPr>
      </w:r>
    </w:p>
    <w:tbl>
      <w:tblPr>
        <w:tblStyle w:val="aff1"/>
        <w:tblW w:w="0" w:type="auto"/>
        <w:jc w:val="center"/>
        <w:tblLook w:val="04A0" w:firstRow="1" w:lastRow="0" w:firstColumn="1" w:lastColumn="0" w:noHBand="0" w:noVBand="1"/>
      </w:tblPr>
      <w:tblGrid>
        <w:gridCol w:w="4479"/>
        <w:gridCol w:w="4479"/>
      </w:tblGrid>
      <w:tr w:rsidR="00110BDA" w14:paraId="5DE18738" w14:textId="77777777">
        <w:trPr>
          <w:jc w:val="center"/>
        </w:trPr>
        <w:tc>
          <w:tcPr>
            <w:tcW w:w="4479" w:type="dxa"/>
          </w:tcPr>
          <w:p w14:paraId="14F771CC" w14:textId="77777777" w:rsidR="00110BDA" w:rsidRDefault="00000000">
            <w:r>
              <w:rPr>
                <w:b/>
                <w:sz w:val="21"/>
              </w:rPr>
              <w:t>量</w:t>
            </w:r>
          </w:p>
        </w:tc>
        <w:tc>
          <w:tcPr>
            <w:tcW w:w="4479" w:type="dxa"/>
          </w:tcPr>
          <w:p w14:paraId="73D56DC8" w14:textId="77777777" w:rsidR="00110BDA" w:rsidRDefault="00000000">
            <w:r>
              <w:rPr>
                <w:b/>
                <w:sz w:val="21"/>
              </w:rPr>
              <w:t>值</w:t>
            </w:r>
          </w:p>
        </w:tc>
      </w:tr>
      <w:tr w:rsidR="00110BDA" w14:paraId="07CEE200" w14:textId="77777777">
        <w:trPr>
          <w:jc w:val="center"/>
        </w:trPr>
        <w:tc>
          <w:tcPr>
            <w:tcW w:w="4479" w:type="dxa"/>
          </w:tcPr>
          <w:p w14:paraId="300D4909" w14:textId="77777777" w:rsidR="00110BDA" w:rsidRDefault="00000000">
            <w:r>
              <w:rPr>
                <w:sz w:val="21"/>
              </w:rPr>
              <w:t>窗口</w:t>
            </w:r>
          </w:p>
        </w:tc>
        <w:tc>
          <w:tcPr>
            <w:tcW w:w="4479" w:type="dxa"/>
          </w:tcPr>
          <w:p w14:paraId="08B7A202" w14:textId="77777777" w:rsidR="00110BDA" w:rsidRDefault="00000000">
            <w:r>
              <w:rPr>
                <w:sz w:val="21"/>
              </w:rPr>
              <w:t>v4：2024-05-20 → 2025-05-19（UTC）；v5：2025-05-14 → 2026-05-09（UTC）</w:t>
            </w:r>
          </w:p>
        </w:tc>
      </w:tr>
      <w:tr w:rsidR="00110BDA" w14:paraId="378CB3B4" w14:textId="77777777">
        <w:trPr>
          <w:jc w:val="center"/>
        </w:trPr>
        <w:tc>
          <w:tcPr>
            <w:tcW w:w="4479" w:type="dxa"/>
          </w:tcPr>
          <w:p w14:paraId="26C0C11D" w14:textId="77777777" w:rsidR="00110BDA" w:rsidRDefault="00000000">
            <w:r>
              <w:rPr>
                <w:sz w:val="21"/>
              </w:rPr>
              <w:t>协议原生锚定</w:t>
            </w:r>
          </w:p>
        </w:tc>
        <w:tc>
          <w:tcPr>
            <w:tcW w:w="4479" w:type="dxa"/>
          </w:tcPr>
          <w:p w14:paraId="4BBD4855" w14:textId="77777777" w:rsidR="00110BDA" w:rsidRDefault="00000000">
            <w:r>
              <w:rPr>
                <w:sz w:val="21"/>
              </w:rPr>
              <w:t>32,905 / 42,114</w:t>
            </w:r>
          </w:p>
        </w:tc>
      </w:tr>
      <w:tr w:rsidR="00110BDA" w14:paraId="4DC2A763" w14:textId="77777777">
        <w:trPr>
          <w:jc w:val="center"/>
        </w:trPr>
        <w:tc>
          <w:tcPr>
            <w:tcW w:w="4479" w:type="dxa"/>
          </w:tcPr>
          <w:p w14:paraId="2BD6DD87" w14:textId="77777777" w:rsidR="00110BDA" w:rsidRDefault="00000000">
            <w:r>
              <w:rPr>
                <w:sz w:val="21"/>
              </w:rPr>
              <w:t>流级真值边（去重）</w:t>
            </w:r>
            <w:r>
              <w:rPr>
                <w:sz w:val="21"/>
              </w:rPr>
            </w:r>
          </w:p>
        </w:tc>
        <w:tc>
          <w:tcPr>
            <w:tcW w:w="4479" w:type="dxa"/>
          </w:tcPr>
          <w:p w14:paraId="6CFD556A" w14:textId="77777777" w:rsidR="00110BDA" w:rsidRDefault="00000000">
            <w:r>
              <w:rPr>
                <w:sz w:val="21"/>
              </w:rPr>
              <w:t>25,621 / 39,595</w:t>
            </w:r>
            <w:r>
              <w:rPr>
                <w:sz w:val="21"/>
              </w:rPr>
            </w:r>
            <w:r>
              <w:rPr>
                <w:sz w:val="21"/>
              </w:rPr>
            </w:r>
            <w:r>
              <w:rPr>
                <w:sz w:val="21"/>
              </w:rPr>
            </w:r>
            <w:r>
              <w:rPr>
                <w:sz w:val="21"/>
              </w:rPr>
            </w:r>
            <w:r>
              <w:rPr>
                <w:sz w:val="21"/>
              </w:rPr>
            </w:r>
            <w:r>
              <w:rPr>
                <w:sz w:val="21"/>
              </w:rPr>
            </w:r>
            <w:r>
              <w:rPr>
                <w:sz w:val="21"/>
              </w:rPr>
            </w:r>
            <w:r>
              <w:rPr>
                <w:sz w:val="21"/>
              </w:rPr>
            </w:r>
            <w:r>
              <w:rPr>
                <w:sz w:val="21"/>
              </w:rPr>
            </w:r>
          </w:p>
        </w:tc>
      </w:tr>
      <w:tr w:rsidR="00110BDA" w14:paraId="6A7B3B66" w14:textId="77777777">
        <w:trPr>
          <w:jc w:val="center"/>
        </w:trPr>
        <w:tc>
          <w:tcPr>
            <w:tcW w:w="4479" w:type="dxa"/>
          </w:tcPr>
          <w:p w14:paraId="3F9C5FC0" w14:textId="77777777" w:rsidR="00110BDA" w:rsidRDefault="00000000">
            <w:r>
              <w:rPr>
                <w:sz w:val="21"/>
              </w:rPr>
              <w:t>Tier-A 源级扇出单元</w:t>
            </w:r>
          </w:p>
        </w:tc>
        <w:tc>
          <w:tcPr>
            <w:tcW w:w="4479" w:type="dxa"/>
          </w:tcPr>
          <w:p w14:paraId="6D1219F8" w14:textId="77777777" w:rsidR="00110BDA" w:rsidRDefault="00000000">
            <w:r>
              <w:rPr>
                <w:sz w:val="21"/>
              </w:rPr>
              <w:t>2,451 / 5,516</w:t>
            </w:r>
          </w:p>
        </w:tc>
      </w:tr>
      <w:tr w:rsidR="00110BDA" w14:paraId="3272F76F" w14:textId="77777777">
        <w:trPr>
          <w:jc w:val="center"/>
        </w:trPr>
        <w:tc>
          <w:tcPr>
            <w:tcW w:w="4479" w:type="dxa"/>
          </w:tcPr>
          <w:p w14:paraId="14A29F16" w14:textId="77777777" w:rsidR="00110BDA" w:rsidRDefault="00000000">
            <w:r>
              <w:rPr>
                <w:sz w:val="21"/>
              </w:rPr>
              <w:t>合流单元</w:t>
            </w:r>
          </w:p>
        </w:tc>
        <w:tc>
          <w:tcPr>
            <w:tcW w:w="4479" w:type="dxa"/>
          </w:tcPr>
          <w:p w14:paraId="3DBDB91A" w14:textId="77777777" w:rsidR="00110BDA" w:rsidRDefault="00000000">
            <w:r>
              <w:rPr>
                <w:sz w:val="21"/>
              </w:rPr>
              <w:t>85 / 76</w:t>
            </w:r>
            <w:r>
              <w:rPr>
                <w:sz w:val="21"/>
              </w:rPr>
            </w:r>
          </w:p>
        </w:tc>
      </w:tr>
      <w:tr w:rsidR="00110BDA" w14:paraId="6FF5319D" w14:textId="77777777">
        <w:trPr>
          <w:jc w:val="center"/>
        </w:trPr>
        <w:tc>
          <w:tcPr>
            <w:tcW w:w="4479" w:type="dxa"/>
          </w:tcPr>
          <w:p w14:paraId="7F8B20C2" w14:textId="77777777" w:rsidR="00110BDA" w:rsidRDefault="00000000">
            <w:r>
              <w:rPr>
                <w:sz w:val="21"/>
              </w:rPr>
              <w:t>时间跨度</w:t>
            </w:r>
            <w:r>
              <w:rPr>
                <w:sz w:val="21"/>
              </w:rPr>
            </w:r>
            <w:r>
              <w:rPr>
                <w:sz w:val="21"/>
              </w:rPr>
            </w:r>
          </w:p>
        </w:tc>
        <w:tc>
          <w:tcPr>
            <w:tcW w:w="4479" w:type="dxa"/>
          </w:tcPr>
          <w:p w14:paraId="17749E9A" w14:textId="77777777" w:rsidR="00110BDA" w:rsidRDefault="00000000">
            <w:r>
              <w:rPr>
                <w:sz w:val="21"/>
              </w:rPr>
              <w:t>359.98 天 / 359.97 天</w:t>
            </w:r>
            <w:r>
              <w:rPr>
                <w:sz w:val="21"/>
              </w:rPr>
            </w:r>
            <w:r>
              <w:rPr>
                <w:sz w:val="21"/>
              </w:rPr>
            </w:r>
            <w:r>
              <w:rPr>
                <w:sz w:val="21"/>
              </w:rPr>
            </w:r>
          </w:p>
        </w:tc>
      </w:tr>
      <w:tr w:rsidR="00110BDA" w14:paraId="4A2EC9CE" w14:textId="77777777">
        <w:trPr>
          <w:jc w:val="center"/>
        </w:trPr>
        <w:tc>
          <w:tcPr>
            <w:tcW w:w="4479" w:type="dxa"/>
          </w:tcPr>
          <w:p w14:paraId="2C7D52AA" w14:textId="77777777" w:rsidR="00110BDA" w:rsidRDefault="00000000">
            <w:r>
              <w:rPr>
                <w:sz w:val="21"/>
              </w:rPr>
              <w:t>G_full（独立主地址簇）</w:t>
            </w:r>
          </w:p>
        </w:tc>
        <w:tc>
          <w:tcPr>
            <w:tcW w:w="4479" w:type="dxa"/>
          </w:tcPr>
          <w:p w14:paraId="5ED91CB2" w14:textId="77777777" w:rsidR="00110BDA" w:rsidRDefault="00000000">
            <w:r>
              <w:rPr>
                <w:sz w:val="21"/>
              </w:rPr>
              <w:t>7 / 8</w:t>
            </w:r>
          </w:p>
        </w:tc>
      </w:tr>
      <w:tr w:rsidR="00110BDA" w14:paraId="7293EF2E" w14:textId="77777777">
        <w:trPr>
          <w:jc w:val="center"/>
        </w:trPr>
        <w:tc>
          <w:tcPr>
            <w:tcW w:w="4479" w:type="dxa"/>
          </w:tcPr>
          <w:p w14:paraId="0000C852" w14:textId="77777777" w:rsidR="00110BDA" w:rsidRDefault="00000000">
            <w:r>
              <w:rPr>
                <w:sz w:val="21"/>
              </w:rPr>
              <w:t>max-share_full（最大簇 / 全部扇出单元）</w:t>
            </w:r>
            <w:r>
              <w:rPr>
                <w:sz w:val="21"/>
              </w:rPr>
            </w:r>
            <w:r>
              <w:rPr>
                <w:sz w:val="21"/>
              </w:rPr>
            </w:r>
          </w:p>
        </w:tc>
        <w:tc>
          <w:tcPr>
            <w:tcW w:w="4479" w:type="dxa"/>
          </w:tcPr>
          <w:p w14:paraId="39119528" w14:textId="77777777" w:rsidR="00110BDA" w:rsidRDefault="00000000">
            <w:r>
              <w:rPr>
                <w:sz w:val="21"/>
              </w:rPr>
              <w:t>0.371277 / 0.6200</w:t>
            </w:r>
          </w:p>
        </w:tc>
      </w:tr>
      <w:tr>
        <w:tc>
          <w:tcPr>
            <w:tcW w:type="dxa" w:w="4479"/>
          </w:tcPr>
          <w:p>
            <w:r>
              <w:t>G_conservative（开发/历史语料未见地址簇）</w:t>
            </w:r>
          </w:p>
        </w:tc>
        <w:tc>
          <w:tcPr>
            <w:tcW w:type="dxa" w:w="4479"/>
          </w:tcPr>
          <w:p>
            <w:r>
              <w:t>2 / 2</w:t>
            </w:r>
          </w:p>
        </w:tc>
      </w:tr>
      <w:tr>
        <w:tc>
          <w:tcPr>
            <w:tcW w:type="dxa" w:w="4479"/>
          </w:tcPr>
          <w:p>
            <w:r>
              <w:t>充分性（预先注册联合标准）</w:t>
            </w:r>
          </w:p>
        </w:tc>
        <w:tc>
          <w:tcPr>
            <w:tcW w:type="dxa" w:w="4479"/>
          </w:tcPr>
          <w:p>
            <w:r>
              <w:t>FAIL / FAIL</w:t>
            </w:r>
          </w:p>
        </w:tc>
      </w:tr>
      <w:tr>
        <w:tc>
          <w:tcPr>
            <w:tcW w:type="dxa" w:w="4479"/>
          </w:tcPr>
          <w:p>
            <w:r>
              <w:t>方法执行？</w:t>
            </w:r>
          </w:p>
        </w:tc>
        <w:tc>
          <w:tcPr>
            <w:tcW w:type="dxa" w:w="4479"/>
          </w:tcPr>
          <w:p>
            <w:r>
              <w:t>否 / 否</w:t>
            </w:r>
          </w:p>
        </w:tc>
      </w:tr>
    </w:tbl>
    <w:p w14:paraId="304BA28F" w14:textId="77777777" w:rsidR="00110BDA" w:rsidRDefault="00110BDA">
      <w:pPr>
        <w:spacing w:after="0"/>
      </w:pPr>
    </w:p>
    <w:p w14:paraId="60A822B0" w14:textId="77777777" w:rsidR="00110BDA" w:rsidRDefault="00000000">
      <w:pPr>
        <w:jc w:val="center"/>
      </w:pPr>
      <w:r>
        <w:rPr>
          <w:noProof/>
        </w:rPr>
        <w:lastRenderedPageBreak/>
        <w:drawing>
          <wp:inline distT="0" distB="0" distL="0" distR="0" wp14:anchorId="0FCC8893" wp14:editId="34A0359C">
            <wp:extent cx="5580000" cy="18937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dependent_real_data.png"/>
                    <pic:cNvPicPr/>
                  </pic:nvPicPr>
                  <pic:blipFill>
                    <a:blip r:embed="rId11"/>
                    <a:stretch>
                      <a:fillRect/>
                    </a:stretch>
                  </pic:blipFill>
                  <pic:spPr>
                    <a:xfrm>
                      <a:off x="0" y="0"/>
                      <a:ext cx="5580000" cy="1893703"/>
                    </a:xfrm>
                    <a:prstGeom prst="rect">
                      <a:avLst/>
                    </a:prstGeom>
                  </pic:spPr>
                </pic:pic>
              </a:graphicData>
            </a:graphic>
          </wp:inline>
        </w:drawing>
      </w:r>
    </w:p>
    <w:p w14:paraId="2D479281" w14:textId="77777777" w:rsidR="00110BDA" w:rsidRDefault="00000000">
      <w:pPr>
        <w:spacing w:after="160"/>
        <w:jc w:val="center"/>
      </w:pPr>
      <w:r>
        <w:rPr>
          <w:sz w:val="21"/>
        </w:rPr>
        <w:t>图 6  后开发期数据审计（仅数据，未运行方法）：(a) 两个窗口的 Tier-A 源级扇出单元（2,451 与 5,516）；(b) 各窗口主地址簇规模；(c) 语料事实摘要。该图确立问题存在性，不承载方法性能。</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2DCC2D2A" w14:textId="77777777" w:rsidR="00110BDA" w:rsidRDefault="00000000">
      <w:pPr>
        <w:spacing w:after="120" w:line="360" w:lineRule="auto"/>
        <w:ind w:firstLine="480"/>
      </w:pPr>
      <w:r>
        <w:t>解读。其一，两个独立后开发窗口均含大量协议支撑的流级扇出——这支持问题存在性，不支持方法性能：任一语料均未运行方法。其二，v4 因行为来源多样性不足失败（G = 7 &lt; 8）。其三，v5 的 G_full 达到 8，但最大簇占比 0.6200 &gt; 0.5 使集中度标准失败；按冻结的 OVERLAP_FAMILIAR 保守规则，其未见地址簇数仅 2（长期活跃的聚合器/中继地址跨窗口重复出现并被标记为熟悉地址），多样性标准在保守口径下亦失败。保守 max-share 按冻结分母惯例报告——最大未见簇规模除以全部 Tier-A 扇出单元（v4：60/2,451 = 0.0245；v5：5/5,516 = 0.0009）；集内占比（v5：5/6 = 0.8333）不是门槛量，不予采用。保守 max-share 按冻结分母惯例报告——最大未见簇规模除以全部 Tier-A 扇出单元（v4：60/2,451 = 0.0245；v5：5/5,516 = 0.0009）；集内占比（v5：5/6 = 0.8333）不是门槛量，不予采用。其四，两个语料均按预先注册规则归档为问题有效性/溯源资产，不作评估总体。G 度量独立行为来源多样性而非流数量；充分性门槛 G ≥ 8 是预先注册的保守数据充分性标准，不是普适统计定律。完整论证见补充 D.2 与补充 S.3。</w:t>
      </w:r>
      <w:r/>
      <w:r/>
      <w:r/>
      <w:r/>
      <w:r/>
      <w:r/>
      <w:r/>
      <w:r/>
      <w:r/>
      <w:r/>
      <w:r/>
      <w:r/>
      <w:r/>
      <w:r/>
    </w:p>
    <w:p w14:paraId="0CED76FB" w14:textId="77777777" w:rsidR="00110BDA" w:rsidRDefault="00000000">
      <w:pPr>
        <w:pStyle w:val="1"/>
        <w:spacing w:before="280" w:after="160"/>
      </w:pPr>
      <w:r>
        <w:t xml:space="preserve">6 </w:t>
      </w:r>
      <w:r>
        <w:t>讨论</w:t>
      </w:r>
    </w:p>
    <w:p w14:paraId="0CFA430B" w14:textId="77777777" w:rsidR="00110BDA" w:rsidRDefault="00000000">
      <w:pPr>
        <w:pStyle w:val="21"/>
        <w:spacing w:after="120"/>
      </w:pPr>
      <w:r>
        <w:t xml:space="preserve">6.1 </w:t>
      </w:r>
      <w:r>
        <w:t>从交易对到资金流意味着什么</w:t>
      </w:r>
    </w:p>
    <w:p w14:paraId="77EAB7E3" w14:textId="77777777" w:rsidR="00110BDA" w:rsidRDefault="00000000">
      <w:pPr>
        <w:spacing w:after="120" w:line="360" w:lineRule="auto"/>
        <w:ind w:firstLine="480"/>
      </w:pPr>
      <w:r>
        <w:t>把对应单元从交易对提升为资金流，改变了三件事。其一，可表达性：分流与合流从</w:t>
      </w:r>
      <w:r>
        <w:t>"</w:t>
      </w:r>
      <w:r>
        <w:t>错误类型</w:t>
      </w:r>
      <w:r>
        <w:t>"</w:t>
      </w:r>
      <w:r>
        <w:t>变为一等输出（第</w:t>
      </w:r>
      <w:r>
        <w:t xml:space="preserve"> 5.2 </w:t>
      </w:r>
      <w:r>
        <w:t>节），对应问题从检索问题变为分配问题。其二，证据组织：流把交易、事件与桥证据组织为可回溯单元，代价的每一项都有取证语义（第</w:t>
      </w:r>
      <w:r>
        <w:t xml:space="preserve"> 4.2 </w:t>
      </w:r>
      <w:r>
        <w:t>节），任何流级输出都可以下钻回证据。其三，输出责任：允许未匹配质量意味着系统可以表达</w:t>
      </w:r>
      <w:r>
        <w:t>"</w:t>
      </w:r>
      <w:r>
        <w:t>证据不足</w:t>
      </w:r>
      <w:r>
        <w:t>"</w:t>
      </w:r>
      <w:r>
        <w:t>，而不是被迫给出一个匹配（第</w:t>
      </w:r>
      <w:r>
        <w:t xml:space="preserve"> 4.5 </w:t>
      </w:r>
      <w:r>
        <w:t>节）。</w:t>
      </w:r>
    </w:p>
    <w:p w14:paraId="029D76D4" w14:textId="77777777" w:rsidR="00110BDA" w:rsidRDefault="00000000">
      <w:pPr>
        <w:pStyle w:val="21"/>
        <w:spacing w:after="120"/>
      </w:pPr>
      <w:r>
        <w:t xml:space="preserve">6.2 </w:t>
      </w:r>
      <w:r>
        <w:t>条件解码修复的是什么，以及运输表示何时有价值</w:t>
      </w:r>
    </w:p>
    <w:p w14:paraId="6DE46420" w14:textId="77777777" w:rsidR="00110BDA" w:rsidRDefault="00000000">
      <w:pPr>
        <w:spacing w:after="120" w:line="360" w:lineRule="auto"/>
        <w:ind w:firstLine="480"/>
      </w:pPr>
      <w:r>
        <w:t>条件解码修复的是计划数值到对应排序之间的错位：对偶缩放与边际压力相关的排序损伤。其代数通道是双重消除（第</w:t>
      </w:r>
      <w:r>
        <w:t xml:space="preserve"> 4.4 </w:t>
      </w:r>
      <w:r>
        <w:t>节），其经验确认是第</w:t>
      </w:r>
      <w:r>
        <w:t xml:space="preserve"> 5.3 </w:t>
      </w:r>
      <w:r>
        <w:t>节的三桥正效应。修复有明确的边界：条件解码不恢复核评分本身，对侧竞争项保留在条件分数中；平衡与非平衡条件解码的差异置信区间包含零，说明增益来自解码层而非非平衡松弛；相对直接核解码的计划级增量小，说明运输求解的价值主要在于表示与边际处理，而</w:t>
      </w:r>
      <w:r>
        <w:lastRenderedPageBreak/>
        <w:t>不在于生成更锐利的核。运输表示的价值因此在三处：表达非一对一结构、容纳未匹配质量、为条件解码提供可消去缩放的代数结构。在精确重建仍然困难的前提下（第</w:t>
      </w:r>
      <w:r>
        <w:t xml:space="preserve"> 5.2 </w:t>
      </w:r>
      <w:r>
        <w:t>节），其最现实的用法是召回导向的候选生成与排序卫生，而不是自动结构重建。</w:t>
      </w:r>
    </w:p>
    <w:p w14:paraId="6DE219E8" w14:textId="77777777" w:rsidR="00110BDA" w:rsidRDefault="00000000">
      <w:pPr>
        <w:pStyle w:val="21"/>
        <w:spacing w:after="120"/>
      </w:pPr>
      <w:r>
        <w:t xml:space="preserve">6.3 </w:t>
      </w:r>
      <w:r>
        <w:t>取证使用、覆盖分层与弃权</w:t>
      </w:r>
    </w:p>
    <w:p w14:paraId="1608DAFC" w14:textId="77777777" w:rsidR="00110BDA" w:rsidRDefault="00000000">
      <w:pPr>
        <w:spacing w:after="120" w:line="360" w:lineRule="auto"/>
        <w:ind w:firstLine="480"/>
      </w:pPr>
      <w:r>
        <w:t>在操作层面，弃权与覆盖分层把"证据不足就不下结论"写进系统行为。联合时间可采过滤下的高置信子集（交易对口径：精度 0.889、成对 F1 0.708、覆盖 0.845、交易级时间因果违例率 0；该口径为一对一交易对口径，闭集原生诊断下 Connector 得分 0.9736，见补充 B）可作为分诊输出供调查者复核；与之相对，流压力操作点（精度 0.192）只作为表示与排序卫生的证据，二者口径不同，不可混用。真实数据中扇出集中于少数聚合器账户的观察（第 5.5 节）提示调查中可优先对这类账户取证——这是描述性观察，不是泛化主张。</w:t>
      </w:r>
      <w:r/>
      <w:r/>
      <w:r/>
      <w:r/>
      <w:r/>
      <w:r/>
      <w:r/>
      <w:r/>
      <w:r/>
      <w:r/>
      <w:r/>
      <w:r/>
      <w:r/>
      <w:r/>
      <w:r/>
      <w:r/>
      <w:r/>
      <w:r/>
    </w:p>
    <w:p w14:paraId="6CC5B934" w14:textId="77777777" w:rsidR="00110BDA" w:rsidRDefault="00000000">
      <w:pPr>
        <w:pStyle w:val="21"/>
        <w:spacing w:after="120"/>
      </w:pPr>
      <w:r>
        <w:t xml:space="preserve">6.4 </w:t>
      </w:r>
      <w:r>
        <w:t>局限与外部有效性</w:t>
      </w:r>
    </w:p>
    <w:p w14:paraId="785F00EA" w14:textId="77777777" w:rsidR="00110BDA" w:rsidRDefault="00000000">
      <w:pPr>
        <w:spacing w:after="120" w:line="360" w:lineRule="auto"/>
        <w:ind w:firstLine="480"/>
      </w:pPr>
      <w:r>
        <w:t>本文的局限如下。其一，外部有效性：方法性能在充分多样的独立语料上尚未建立——此前的一次外部执行在取得有效性能前因实现缺陷而终止，未重新运行；两个后开发期数据审计均未通过预先注册的充分性标准（v4：G = 7 &lt; 8；v5：最大簇占比 0.6200 &gt; 0.5 且保守口径 G = 2），均未运行方法。外部充分性设计刻意保守：熟悉地址规则本身造成了两个窗口保守 G 的塌缩（保守计数在结构上排除长期活跃的聚合器/中继地址——它们恰是最可能跨时间语料重复出现、从而被标记为 OVERLAP_FAMILIAR 的地址）。因此，多样性门槛未满足并不意味着真实扇出结构不存在；它意味着当前研究在其冻结标准下无法支持统计上多样的外部方法性能推断。什么构成持续跨链基础设施的独立行为来源，是留给未来工作重新研究的新科学设计，不能追溯改变本稿的失败记录。其二，真实 N→1 证据有限（85 个合流单元），合流方向的结论主要来自半合成压力测试。其三，半合成结构测试仍是必要的替代手段。其四，解码常数 k = 5 固定。其五，机制指标是观测性的，不构成因果分解。其六，确认性保留集为生成器模板网格（720 个模板实例共享同一注入结构构成），结论限于该生成器族。其七，本文不包含公平预算下的基线比较：Connector 风格/ABCTracer 风格仅为表示能力对照，历史校准预算不对称且有利于所提管线。其八，风险与证据项仅作为接口/约束特征，其独立贡献未单独量化。未来工作包括：在充分多样的独立语料上评估方法性能；更强的拓扑感知解码；跨协议证据融合；调查者在环的分诊研究。详细执行历史见补充 D.3。</w:t>
      </w:r>
      <w:r/>
      <w:r/>
      <w:r/>
      <w:r/>
      <w:r/>
      <w:r/>
      <w:r/>
      <w:r/>
      <w:r/>
      <w:r/>
      <w:r/>
      <w:r/>
    </w:p>
    <w:p w14:paraId="6FB3091E" w14:textId="77777777" w:rsidR="00110BDA" w:rsidRDefault="00000000">
      <w:pPr>
        <w:pStyle w:val="1"/>
        <w:spacing w:before="280" w:after="160"/>
      </w:pPr>
      <w:r>
        <w:t xml:space="preserve">7 </w:t>
      </w:r>
      <w:r>
        <w:t>结论</w:t>
      </w:r>
    </w:p>
    <w:p w14:paraId="4271A455" w14:textId="77777777" w:rsidR="00110BDA" w:rsidRDefault="00000000">
      <w:pPr>
        <w:spacing w:after="120" w:line="360" w:lineRule="auto"/>
        <w:ind w:firstLine="480"/>
      </w:pPr>
      <w:r>
        <w:t>跨链取证要求把对应问题从交易对提升到资金流。本文形式化 CSFFC，以运输表示统一表达一对一、分流、合流与未匹配质量；显式刻画并诊断原始传输计划中的排序失真，提出方向条件化解码，并给出双重消除性质作为标准 Sinkhorn 结构的直接推论。在跨 Celer、Multichain、PolyNetwork 三桥的预先固定的确认性保留集上，条件解码把宏平均边 F1 从 0.2350 提升到 0.3104（Δ = +0.075413，95% CI [0.070557, 0.080312]），三桥全部为正；结构压力测试确立表示能力；独立真实数据确认流级扇出问题在开发语料之外真实存在。方法在充分多样独立语料上的性能评估是下一步的科学问题；在完成该评估前，外部方法性能仍未建立。</w:t>
      </w:r>
      <w:r/>
      <w:r/>
      <w:r/>
      <w:r/>
      <w:r/>
      <w:r/>
      <w:r/>
      <w:r/>
      <w:r/>
      <w:r/>
      <w:r/>
      <w:r/>
      <w:r/>
      <w:r/>
      <w:r/>
      <w:r/>
      <w:r/>
      <w:r/>
      <w:r/>
      <w:r/>
      <w:r/>
    </w:p>
    <w:p w14:paraId="1CBA2207" w14:textId="77777777" w:rsidR="00110BDA" w:rsidRDefault="00000000">
      <w:r>
        <w:br w:type="page"/>
      </w:r>
    </w:p>
    <w:p w14:paraId="2BB83585" w14:textId="77777777" w:rsidR="00110BDA" w:rsidRDefault="00000000">
      <w:pPr>
        <w:pStyle w:val="1"/>
      </w:pPr>
      <w:r>
        <w:lastRenderedPageBreak/>
        <w:t>参考文献</w:t>
      </w:r>
    </w:p>
    <w:p w14:paraId="54E9F406" w14:textId="77777777" w:rsidR="00110BDA" w:rsidRDefault="00000000">
      <w:pPr>
        <w:spacing w:after="60" w:line="300" w:lineRule="auto"/>
        <w:ind w:left="420" w:hanging="420"/>
      </w:pPr>
      <w:r>
        <w:rPr>
          <w:sz w:val="21"/>
        </w:rPr>
        <w:t>[1] Chainalysis. 2024 Crypto Money Laundering Report. Industry report, 2024. https://www.chainalysis.com/blog/2024-crypto-money-laundering/.</w:t>
      </w:r>
    </w:p>
    <w:p w14:paraId="2E4379AD" w14:textId="77777777" w:rsidR="00110BDA" w:rsidRDefault="00000000">
      <w:pPr>
        <w:spacing w:after="60" w:line="300" w:lineRule="auto"/>
        <w:ind w:left="420" w:hanging="420"/>
      </w:pPr>
      <w:r>
        <w:rPr>
          <w:sz w:val="21"/>
        </w:rPr>
        <w:t>[2] Elliptic. The State of Cross-Chain Crime. Industry report, 2023. https://www.elliptic.co/resources/state-of-cross-chain-crime-2023.</w:t>
      </w:r>
    </w:p>
    <w:p w14:paraId="6D9FA01C" w14:textId="77777777" w:rsidR="00110BDA" w:rsidRDefault="00000000">
      <w:pPr>
        <w:spacing w:after="60" w:line="300" w:lineRule="auto"/>
        <w:ind w:left="420" w:hanging="420"/>
      </w:pPr>
      <w:r>
        <w:rPr>
          <w:sz w:val="21"/>
        </w:rPr>
        <w:t>[3] Financial Action Task Force (FATF). Targeted Update on Implementation of the FATF Standards on Virtual Assets and Virtual Asset Service Providers. FATF, 2023. https://www.fatf-gafi.org/en/publications/Fatfrecommendations/Targeted-update-virtual-assets-vasps.html.</w:t>
      </w:r>
    </w:p>
    <w:p w14:paraId="1FCE5034" w14:textId="77777777" w:rsidR="00110BDA" w:rsidRDefault="00000000">
      <w:pPr>
        <w:spacing w:after="60" w:line="300" w:lineRule="auto"/>
        <w:ind w:left="420" w:hanging="420"/>
      </w:pPr>
      <w:r>
        <w:rPr>
          <w:sz w:val="21"/>
        </w:rPr>
        <w:t>[4] Lin, Dan, Wu, Jiajing, Su, Yuxin, Zheng, Ziye, Nan, Yuhong, Zhang, Qinnan, Song, Bowen, Zheng, Zibin. CONNECTOR: Enhancing the Traceability of Decentralized Bridge Applications via Automatic Cross-Chain Transaction Association. IEEE Transactions on Information Forensics and Security, 2025, 20: 7588--7601. DOI: 10.1109/TIFS.2025.3588249.</w:t>
      </w:r>
    </w:p>
    <w:p w14:paraId="48E7A272" w14:textId="77777777" w:rsidR="00110BDA" w:rsidRDefault="00000000">
      <w:pPr>
        <w:spacing w:after="60" w:line="300" w:lineRule="auto"/>
        <w:ind w:left="420" w:hanging="420"/>
      </w:pPr>
      <w:r>
        <w:rPr>
          <w:sz w:val="21"/>
        </w:rPr>
        <w:t>[5] Lin, Dan, Zheng, Ziye, Wu, Jiajing, Yang, Jingjing, Lin, Kaixin, Xiao, Huan, Song, Bowen, Zheng, Zibin. Track and Trace: Automatically Uncovering Cross-Chain Transactions in the Multi-Blockchain Ecosystems. IEEE Transactions on Services Computing, 2025, 18(6): 4291--4303. DOI: 10.1109/TSC.2025.3618729.</w:t>
      </w:r>
    </w:p>
    <w:p w14:paraId="794FDB28" w14:textId="77777777" w:rsidR="00110BDA" w:rsidRDefault="00000000">
      <w:pPr>
        <w:spacing w:after="60" w:line="300" w:lineRule="auto"/>
        <w:ind w:left="420" w:hanging="420"/>
      </w:pPr>
      <w:r>
        <w:rPr>
          <w:sz w:val="21"/>
        </w:rPr>
        <w:t>[6] Meiklejohn, Sarah, Pomarole, Marjori, Jordan, Grant, Levchenko, Kirill, McCoy, Damon, Voelker, Geoffrey M., Savage, Stefan. A Fistful of Bitcoins: Characterizing Payments Among Men with No Names. Proceedings of the 2013 Internet Measurement Conference (IMC), 2013, pp. 127--140. DOI: 10.1145/2504730.2504747.</w:t>
      </w:r>
    </w:p>
    <w:p w14:paraId="07979561" w14:textId="77777777" w:rsidR="00110BDA" w:rsidRDefault="00000000">
      <w:pPr>
        <w:spacing w:after="60" w:line="300" w:lineRule="auto"/>
        <w:ind w:left="420" w:hanging="420"/>
      </w:pPr>
      <w:r>
        <w:rPr>
          <w:sz w:val="21"/>
        </w:rPr>
        <w:t>[7] Weber, Mark, Domeniconi, Giacomo, Chen, Jie, Weidele, Daniel Karl I., Bellei, Claudio, Robinson, Tom, Leiserson, Charles E.. Anti-Money Laundering in Bitcoin: Experimenting with Graph Convolutional Networks for Financial Forensics. Proceedings of the ACM SIGKDD Workshop on Anomaly Detection in Finance, 2019. arXiv: 1908.02591.</w:t>
      </w:r>
    </w:p>
    <w:p w14:paraId="5D4A69DA" w14:textId="77777777" w:rsidR="00110BDA" w:rsidRDefault="00000000">
      <w:pPr>
        <w:spacing w:after="60" w:line="300" w:lineRule="auto"/>
        <w:ind w:left="420" w:hanging="420"/>
      </w:pPr>
      <w:r>
        <w:rPr>
          <w:sz w:val="21"/>
        </w:rPr>
        <w:t>[8] Weber, Mark, et al.. The Shape of Money Laundering: Subgraph Representation Learning on the Blockchain with the Elliptic2 Dataset. arXiv preprint arXiv:2404.19109, 2024. https://arxiv.org/abs/2404.19109.</w:t>
      </w:r>
    </w:p>
    <w:p w14:paraId="0ACBB235" w14:textId="77777777" w:rsidR="00110BDA" w:rsidRDefault="00000000">
      <w:pPr>
        <w:spacing w:after="60" w:line="300" w:lineRule="auto"/>
        <w:ind w:left="420" w:hanging="420"/>
      </w:pPr>
      <w:r>
        <w:rPr>
          <w:sz w:val="21"/>
        </w:rPr>
        <w:t>[9] Cuturi, Marco. Sinkhorn Distances: Lightspeed Computation of Optimal Transport. Advances in Neural Information Processing Systems (NeurIPS), 2013, pp. 2292--2300.</w:t>
      </w:r>
    </w:p>
    <w:p w14:paraId="43803ED8" w14:textId="77777777" w:rsidR="00110BDA" w:rsidRDefault="00000000">
      <w:pPr>
        <w:spacing w:after="60" w:line="300" w:lineRule="auto"/>
        <w:ind w:left="420" w:hanging="420"/>
      </w:pPr>
      <w:r>
        <w:rPr>
          <w:sz w:val="21"/>
        </w:rPr>
        <w:t>[10] Chizat, Lénaïc, Peyré, Gabriel, Schmitzer, Bernhard, Vialard, François-Xavier. Unbalanced Optimal Transport: Dynamic and Kantorovich Formulations. Journal of Functional Analysis, 2018, 274(11): 3090--3123. DOI: 10.1016/j.jfa.2018.03.008.</w:t>
      </w:r>
    </w:p>
    <w:p w14:paraId="29F7C906" w14:textId="77777777" w:rsidR="00110BDA" w:rsidRDefault="00000000">
      <w:pPr>
        <w:spacing w:after="60" w:line="300" w:lineRule="auto"/>
        <w:ind w:left="420" w:hanging="420"/>
      </w:pPr>
      <w:r>
        <w:rPr>
          <w:sz w:val="21"/>
        </w:rPr>
        <w:t>[11] Villani, Cédric. Optimal Transport: Old and New. Springer, 2009.</w:t>
      </w:r>
    </w:p>
    <w:p w14:paraId="21E7BBE1" w14:textId="77777777" w:rsidR="00110BDA" w:rsidRDefault="00000000">
      <w:pPr>
        <w:spacing w:after="60" w:line="300" w:lineRule="auto"/>
        <w:ind w:left="420" w:hanging="420"/>
      </w:pPr>
      <w:r>
        <w:rPr>
          <w:sz w:val="21"/>
        </w:rPr>
        <w:t>[12] Rocco, Ignacio, Cimpoi, Mircea, Arandjelović, Relja, Torii, Akihiko, Pajdla, Tomáš, Sivic, Josef. Neighbourhood Consensus Networks. Advances in Neural Information Processing Systems (NeurIPS), 2018, pp. 1651--1662. arXiv: 1810.10510.</w:t>
      </w:r>
    </w:p>
    <w:p w14:paraId="521F7244" w14:textId="77777777" w:rsidR="00110BDA" w:rsidRDefault="00000000">
      <w:pPr>
        <w:spacing w:after="60" w:line="300" w:lineRule="auto"/>
        <w:ind w:left="420" w:hanging="420"/>
      </w:pPr>
      <w:r>
        <w:rPr>
          <w:sz w:val="21"/>
        </w:rPr>
        <w:t>[13] Sarlin, Paul-Edouard, DeTone, Daniel, Malisiewicz, Tomasz, Rabinovich, Andrew. SuperGlue: Learning Feature Matching with Graph Neural Networks. IEEE/CVF Conference on Computer Vision and Pattern Recognition (CVPR), 2020, pp. 4937--4946. DOI: 10.1109/CVPR42600.2020.00499.</w:t>
      </w:r>
    </w:p>
    <w:p w14:paraId="1B6F7824" w14:textId="77777777" w:rsidR="00110BDA" w:rsidRDefault="00000000">
      <w:pPr>
        <w:spacing w:after="60" w:line="300" w:lineRule="auto"/>
        <w:ind w:left="420" w:hanging="420"/>
      </w:pPr>
      <w:r>
        <w:rPr>
          <w:sz w:val="21"/>
        </w:rPr>
        <w:t>[14] Reid, Fergal, Harrigan, Martin. An Analysis of Anonymity in the Bitcoin System. Security and Privacy in Social Networks, 2013, pp. 197--223.</w:t>
      </w:r>
    </w:p>
    <w:p w14:paraId="1E60C3F6" w14:textId="77777777" w:rsidR="00110BDA" w:rsidRDefault="00000000">
      <w:pPr>
        <w:spacing w:after="60" w:line="300" w:lineRule="auto"/>
        <w:ind w:left="420" w:hanging="420"/>
      </w:pPr>
      <w:r>
        <w:rPr>
          <w:sz w:val="21"/>
        </w:rPr>
        <w:t>[15] Androulaki, Elli, Karame, Ghassan O., Roeschlin, Marc, Scherer, Tobias, Capkun, Srdjan. Evaluating User Privacy in Bitcoin. Financial Cryptography and Data Security (FC), 2013, pp. 34--51.</w:t>
      </w:r>
    </w:p>
    <w:p w14:paraId="014A87C4" w14:textId="77777777" w:rsidR="00110BDA" w:rsidRDefault="00000000">
      <w:pPr>
        <w:spacing w:after="60" w:line="300" w:lineRule="auto"/>
        <w:ind w:left="420" w:hanging="420"/>
      </w:pPr>
      <w:r>
        <w:rPr>
          <w:sz w:val="21"/>
        </w:rPr>
        <w:t>[16] Foley, Sean, Karlsen, Jonathan R., Putniņš, Tālis J. Sex, Drugs, and Bitcoin: How Much Illegal Activity Is Financed through Cryptocurrencies?. The Review of Financial Studies, 2019, 32(5): 1798--1853. DOI: 10.1093/rfs/hhz015.</w:t>
      </w:r>
    </w:p>
    <w:p w14:paraId="2347240D" w14:textId="77777777" w:rsidR="00110BDA" w:rsidRDefault="00000000">
      <w:pPr>
        <w:spacing w:after="60" w:line="300" w:lineRule="auto"/>
        <w:ind w:left="420" w:hanging="420"/>
      </w:pPr>
      <w:r>
        <w:rPr>
          <w:sz w:val="21"/>
        </w:rPr>
        <w:t>[17] Huang, Danny Yuxing, Aliapoulios, Maxwell Matthaios, Li, Vector Guo, Invernizzi, Luca, Bursztein, Elie, McRoberts, Kylie, Levin, Jonathan, Levchenko, Kirill, Snoeren, Alex C., McCoy, Damon. Tracking Ransomware End-to-end. IEEE Symposium on Security and Privacy (S&amp;P), 2018, pp. 618--631. DOI: 10.1109/SP.2018.00047.</w:t>
      </w:r>
    </w:p>
    <w:p w14:paraId="7B3EC2E3" w14:textId="77777777" w:rsidR="00110BDA" w:rsidRDefault="00000000">
      <w:pPr>
        <w:spacing w:after="60" w:line="300" w:lineRule="auto"/>
        <w:ind w:left="420" w:hanging="420"/>
      </w:pPr>
      <w:r>
        <w:rPr>
          <w:sz w:val="21"/>
        </w:rPr>
        <w:t>[18] Monamo, Patrick, Marivate, Vukosi, Twala, Bheki. Unsupervised Learning for Robust Bitcoin Fraud Detection. 2016 Information Security for South Africa (ISSA), 2016, pp. 129--134. DOI: 10.1109/ISSA.2016.7802939.</w:t>
      </w:r>
    </w:p>
    <w:p w14:paraId="31C784B3" w14:textId="77777777" w:rsidR="00110BDA" w:rsidRDefault="00000000">
      <w:pPr>
        <w:spacing w:after="60" w:line="300" w:lineRule="auto"/>
        <w:ind w:left="420" w:hanging="420"/>
      </w:pPr>
      <w:r>
        <w:rPr>
          <w:sz w:val="21"/>
        </w:rPr>
        <w:t>[19] Jourdan, Marc, Blandin, Sebastien, Wynter, Laura, Deshpande, Pralhad. Characterizing Entities in the Bitcoin Blockchain. arXiv preprint arXiv:1810.11956, 2018. arXiv: 1810.11956.</w:t>
      </w:r>
    </w:p>
    <w:p w14:paraId="4E3A9D6B" w14:textId="77777777" w:rsidR="00110BDA" w:rsidRDefault="00000000">
      <w:pPr>
        <w:spacing w:after="60" w:line="300" w:lineRule="auto"/>
        <w:ind w:left="420" w:hanging="420"/>
      </w:pPr>
      <w:r>
        <w:rPr>
          <w:sz w:val="21"/>
        </w:rPr>
        <w:t>[20] Wu, Changhao, Xu, Junwei, Wang, Kai, Han, Weili, Chai, Hongfeng. ETTracker: A Fund Tracking Framework for Anti-Money Laundering on Ethereum. Expert Systems with Applications, 2026, vol. 296, Art. no. 128900. DOI: 10.1016/j.eswa.2025.128900.</w:t>
      </w:r>
    </w:p>
    <w:p w14:paraId="39B5FC45" w14:textId="77777777" w:rsidR="00110BDA" w:rsidRDefault="00000000">
      <w:pPr>
        <w:spacing w:after="60" w:line="300" w:lineRule="auto"/>
        <w:ind w:left="420" w:hanging="420"/>
      </w:pPr>
      <w:r>
        <w:rPr>
          <w:sz w:val="21"/>
        </w:rPr>
        <w:t>[21] Pareja, Aldo, Domeniconi, Giacomo, Chen, Jie, Ma, Tengfei, Suzumura, Toyotaro, Kanezashi, Tim, Kaler, Tim, Schardl, Tao B., Leiserson, Charles E.. EvolveGCN: Evolving Graph Convolutional Networks for Dynamic Graphs. AAAI Conference on Artificial Intelligence, 2020, pp. 5363--5370. DOI: 10.1609/aaai.v34i04.5984.</w:t>
      </w:r>
    </w:p>
    <w:p w14:paraId="159BBA36" w14:textId="77777777" w:rsidR="00110BDA" w:rsidRDefault="00000000">
      <w:pPr>
        <w:spacing w:after="60" w:line="300" w:lineRule="auto"/>
        <w:ind w:left="420" w:hanging="420"/>
      </w:pPr>
      <w:r>
        <w:rPr>
          <w:sz w:val="21"/>
        </w:rPr>
        <w:t>[22] Hamilton, Will, Ying, Zhitao, Leskovec, Jure. Inductive Representation Learning on Large Graphs. NeurIPS, 2017, pp. 1024--1034.</w:t>
      </w:r>
    </w:p>
    <w:p w14:paraId="1243669D" w14:textId="77777777" w:rsidR="00110BDA" w:rsidRDefault="00000000">
      <w:pPr>
        <w:spacing w:after="60" w:line="300" w:lineRule="auto"/>
        <w:ind w:left="420" w:hanging="420"/>
      </w:pPr>
      <w:r>
        <w:rPr>
          <w:sz w:val="21"/>
        </w:rPr>
        <w:t>[23] Wu, Zhiying, Liu, Jieli, Wu, Jiajing, Zheng, Zibin, Chen, Ting. TRacer: Scalable Graph-Based Transaction Tracing for Account-Based Blockchain Trading Systems. IEEE Transactions on Information Forensics and Security, 2023, 18: 2609--2621. DOI: 10.1109/TIFS.2023.3266162.</w:t>
      </w:r>
    </w:p>
    <w:p w14:paraId="3EC442F7" w14:textId="77777777" w:rsidR="00110BDA" w:rsidRDefault="00000000">
      <w:pPr>
        <w:spacing w:after="60" w:line="300" w:lineRule="auto"/>
        <w:ind w:left="420" w:hanging="420"/>
      </w:pPr>
      <w:r>
        <w:rPr>
          <w:sz w:val="21"/>
        </w:rPr>
        <w:t>[24] Chen, Weili, Guo, Xiongfeng, Chen, Zhiguang, Zheng, Zibin, Lu, Yutong. Phishing Scam Detection on Ethereum: Towards Financial Security for Blockchain Ecosystem. IJCAI, 2020, pp. 4506--4512. DOI: 10.24963/ijcai.2020/621.</w:t>
      </w:r>
    </w:p>
    <w:p w14:paraId="0A49E4D6" w14:textId="77777777" w:rsidR="00110BDA" w:rsidRDefault="00000000">
      <w:pPr>
        <w:spacing w:after="60" w:line="300" w:lineRule="auto"/>
        <w:ind w:left="420" w:hanging="420"/>
      </w:pPr>
      <w:r>
        <w:rPr>
          <w:sz w:val="21"/>
        </w:rPr>
        <w:t>[25] Lin, Ziqian, Luo, Qining, Wu, Dongze, Shen, Jie, Li, Lingying, Nong, Xunyi, Qin, Zhenkai. Detecting Illicit Transactions in Bitcoin: A Wavelet-Temporal Graph Transformer Approach for Anti-Money Laundering. Scientific Reports, 2026, vol. 16, Art. no. 1548. DOI: 10.1038/s41598-025-23901-3.</w:t>
      </w:r>
    </w:p>
    <w:p w14:paraId="4FDC96D2" w14:textId="77777777" w:rsidR="00110BDA" w:rsidRDefault="00000000">
      <w:pPr>
        <w:spacing w:after="60" w:line="300" w:lineRule="auto"/>
        <w:ind w:left="420" w:hanging="420"/>
      </w:pPr>
      <w:r>
        <w:rPr>
          <w:sz w:val="21"/>
        </w:rPr>
        <w:t>[26] Song, Kiwhan, Dhraief, Mohamed Ali, Xu, Muhua, Cai, Locke, Chen, Xuhao, Mithal, Arvind, Chen, Jie. Identifying Money Laundering Subgraphs on the Blockchain. Proceedings of the 5th ACM International Conference on AI in Finance (ICAIF), 2024, pp. 195--203. DOI: 10.1145/3677052.3698635.</w:t>
      </w:r>
    </w:p>
    <w:p w14:paraId="5C92CF27" w14:textId="77777777" w:rsidR="00110BDA" w:rsidRDefault="00000000">
      <w:pPr>
        <w:spacing w:after="60" w:line="300" w:lineRule="auto"/>
        <w:ind w:left="420" w:hanging="420"/>
      </w:pPr>
      <w:r>
        <w:rPr>
          <w:sz w:val="21"/>
        </w:rPr>
        <w:t>[27] Li, Mengyuan, Zhang, Fan, Guo, Shaoyong, Wang, Chenyu, Qi, Feng. Federated Graph Neural Network for Real-Time Distributed Monitoring System Against Illicit Blockchain Transaction Accounts. IEEE Internet of Things Journal, 2026, 13(2): 2848--2863. DOI: 10.1109/JIOT.2025.3631547.</w:t>
      </w:r>
    </w:p>
    <w:p w14:paraId="0721F558" w14:textId="77777777" w:rsidR="00110BDA" w:rsidRDefault="00000000">
      <w:pPr>
        <w:spacing w:after="60" w:line="300" w:lineRule="auto"/>
        <w:ind w:left="420" w:hanging="420"/>
      </w:pPr>
      <w:r>
        <w:rPr>
          <w:sz w:val="21"/>
        </w:rPr>
        <w:t>[28] Zhang, Mengya, Zhang, Xiaokuan, Zhang, Yinqian, Lin, Zhiqiang. Security of Cross-chain Bridges: Attack Surfaces, Defenses, and Open Problems. Proceedings of the 27th International Symposium on Research in Attacks, Intrusions and Defenses (RAID), 2024, pp. 298--316. DOI: 10.1145/3678890.3678894. (arXiv: 2312.12573)</w:t>
      </w:r>
    </w:p>
    <w:p w14:paraId="3CCDF335" w14:textId="77777777" w:rsidR="00110BDA" w:rsidRDefault="00000000">
      <w:pPr>
        <w:spacing w:after="60" w:line="300" w:lineRule="auto"/>
        <w:ind w:left="420" w:hanging="420"/>
      </w:pPr>
      <w:r>
        <w:rPr>
          <w:sz w:val="21"/>
        </w:rPr>
        <w:t>[29] Zhou, Liyi, Xiong, Xihan, Ernstberger, Jens, Chaliasos, Stefanos, Wang, Zhipeng, Wang, Ye, Qin, Kaihua, Wattenhofer, Roger, Song, Dawn, Gervais, Arthur. SoK: Decentralized Finance (DeFi) Attacks. IEEE Symposium on Security and Privacy (S&amp;P), 2023, pp. 2444--2461. DOI: 10.1109/SP46215.2023.10179435.</w:t>
      </w:r>
    </w:p>
    <w:p w14:paraId="43F8019C" w14:textId="77777777" w:rsidR="00110BDA" w:rsidRDefault="00000000">
      <w:pPr>
        <w:spacing w:after="60" w:line="300" w:lineRule="auto"/>
        <w:ind w:left="420" w:hanging="420"/>
      </w:pPr>
      <w:r>
        <w:rPr>
          <w:sz w:val="21"/>
        </w:rPr>
        <w:t>[30] Qin, Kaihua, Zhou, Liyi, Gervais, Arthur. Quantifying Blockchain Extractable Value: How Dark Is the Forest?. IEEE Symposium on Security and Privacy (S&amp;P), 2022, pp. 198--214. DOI: 10.1109/SP46214.2022.9833734.</w:t>
      </w:r>
    </w:p>
    <w:p w14:paraId="1C6290D8" w14:textId="77777777" w:rsidR="00110BDA" w:rsidRDefault="00000000">
      <w:pPr>
        <w:spacing w:after="60" w:line="300" w:lineRule="auto"/>
        <w:ind w:left="420" w:hanging="420"/>
      </w:pPr>
      <w:r>
        <w:rPr>
          <w:sz w:val="21"/>
        </w:rPr>
        <w:t>[31] Apostolaki, Maria, Zohar, Aviv, Vanbever, Laurent. Hijacking Bitcoin: Routing Attacks on Cryptocurrencies. IEEE Symposium on Security and Privacy (S&amp;P), 2017, pp. 375--392. DOI: 10.1109/SP.2017.29.</w:t>
      </w:r>
    </w:p>
    <w:p w14:paraId="0C5B79C6" w14:textId="77777777" w:rsidR="00110BDA" w:rsidRDefault="00000000">
      <w:pPr>
        <w:spacing w:after="60" w:line="300" w:lineRule="auto"/>
        <w:ind w:left="420" w:hanging="420"/>
      </w:pPr>
      <w:r>
        <w:rPr>
          <w:sz w:val="21"/>
        </w:rPr>
        <w:t>[32] Yousaf, Hamza, Kappos, George, Meiklejohn, Sarah. Tracing Transactions Across Cryptocurrency Ledgers. USENIX Security Symposium, 2019, pp. 837--850.</w:t>
      </w:r>
    </w:p>
    <w:p w14:paraId="2C5B6976" w14:textId="77777777" w:rsidR="00110BDA" w:rsidRDefault="00000000">
      <w:pPr>
        <w:spacing w:after="60" w:line="300" w:lineRule="auto"/>
        <w:ind w:left="420" w:hanging="420"/>
      </w:pPr>
      <w:r>
        <w:rPr>
          <w:sz w:val="21"/>
        </w:rPr>
        <w:t>[33] Sarkhosh, Hesam, Maroof, Uzma, Barradas, Diogo. The Dark Art of Financial Disguise in Web3: Money Laundering Schemes and Countermeasures. APWG Symposium on Electronic Crime Research (eCrime), 2025, pp. 1--18. DOI: 10.1109/eCrime66972.2025.11327832.</w:t>
      </w:r>
    </w:p>
    <w:p w14:paraId="49E9A71D" w14:textId="77777777" w:rsidR="00110BDA" w:rsidRDefault="00000000">
      <w:pPr>
        <w:spacing w:after="60" w:line="300" w:lineRule="auto"/>
        <w:ind w:left="420" w:hanging="420"/>
      </w:pPr>
      <w:r>
        <w:rPr>
          <w:sz w:val="21"/>
        </w:rPr>
        <w:t>[34] Celer Network. cBridge: Multi-Chain Asset Bridge Documentation and Protocol Design. Technical documentation, 2022. https://cbridge-docs.celer.network/.</w:t>
      </w:r>
    </w:p>
    <w:p w14:paraId="23BCD5CF" w14:textId="77777777" w:rsidR="00110BDA" w:rsidRDefault="00000000">
      <w:pPr>
        <w:spacing w:after="60" w:line="300" w:lineRule="auto"/>
        <w:ind w:left="420" w:hanging="420"/>
      </w:pPr>
      <w:r>
        <w:rPr>
          <w:sz w:val="21"/>
        </w:rPr>
        <w:t>[35] Peyré, Gabriel, Cuturi, Marco. Computational Optimal Transport: With Applications to Data Sciences. Foundations and Trends in Machine Learning, 2019, 11(5--6): 355--607. DOI: 10.1561/2200000073.</w:t>
      </w:r>
    </w:p>
    <w:p w14:paraId="1E632A9C" w14:textId="77777777" w:rsidR="00110BDA" w:rsidRDefault="00000000">
      <w:pPr>
        <w:spacing w:after="60" w:line="300" w:lineRule="auto"/>
        <w:ind w:left="420" w:hanging="420"/>
      </w:pPr>
      <w:r>
        <w:rPr>
          <w:sz w:val="21"/>
        </w:rPr>
        <w:t>[36] Chizat, Lénaïc, Peyré, Gabriel, Schmitzer, Bernhard, Vialard, François-Xavier. Scaling Algorithms for Unbalanced Optimal Transport Problems. Mathematics of Computation, 2018, 87(314): 2563--2609. DOI: 10.1090/mcom/3303.</w:t>
      </w:r>
    </w:p>
    <w:p w14:paraId="5D66764A" w14:textId="77777777" w:rsidR="00110BDA" w:rsidRDefault="00000000">
      <w:pPr>
        <w:spacing w:after="60" w:line="300" w:lineRule="auto"/>
        <w:ind w:left="420" w:hanging="420"/>
      </w:pPr>
      <w:r>
        <w:rPr>
          <w:sz w:val="21"/>
        </w:rPr>
        <w:t>[37] Benamou, Jean-David, Carlier, Guillaume, Cuturi, Marco, Nenna, Luca, Peyré, Gabriel. Iterative Bregman Projections for Regularized Transportation Problems. SIAM Journal on Scientific Computing, 2015, 37(2): A1111--A1138. DOI: 10.1137/141000439.</w:t>
      </w:r>
    </w:p>
    <w:p w14:paraId="3ED4E9FF" w14:textId="77777777" w:rsidR="00110BDA" w:rsidRDefault="00000000">
      <w:pPr>
        <w:spacing w:after="60" w:line="300" w:lineRule="auto"/>
        <w:ind w:left="420" w:hanging="420"/>
      </w:pPr>
      <w:r>
        <w:rPr>
          <w:sz w:val="21"/>
        </w:rPr>
        <w:t>[38] Frogner, Charlie, Zhang, Chiyuan, Mobahi, Hossein, Araya, Mauricio, Poggio, Tomaso. Learning with a Wasserstein Loss. NeurIPS, 2015.</w:t>
      </w:r>
    </w:p>
    <w:p w14:paraId="0921B1CF" w14:textId="77777777" w:rsidR="00110BDA" w:rsidRDefault="00000000">
      <w:pPr>
        <w:spacing w:after="60" w:line="300" w:lineRule="auto"/>
        <w:ind w:left="420" w:hanging="420"/>
      </w:pPr>
      <w:r>
        <w:rPr>
          <w:sz w:val="21"/>
        </w:rPr>
        <w:t>[39] Séjourné, Thibault, Vialard, François-Xavier, Peyré, Gabriel. The Unbalanced Gromov-Wasserstein Distance: Conic Formulation and Relaxation. NeurIPS, 2021.</w:t>
      </w:r>
    </w:p>
    <w:p w14:paraId="6CAF0154" w14:textId="77777777" w:rsidR="00110BDA" w:rsidRDefault="00000000">
      <w:pPr>
        <w:spacing w:after="60" w:line="300" w:lineRule="auto"/>
        <w:ind w:left="420" w:hanging="420"/>
      </w:pPr>
      <w:r>
        <w:rPr>
          <w:sz w:val="21"/>
        </w:rPr>
        <w:t>[40] Sun, Jiaming, Shen, Zehong, Wang, Yuang, Bao, Hujun, Zhou, Xiaowei. LoFTR: Detector-Free Local Feature Matching with Transformers. IEEE/CVF Conference on Computer Vision and Pattern Recognition (CVPR), 2021, pp. 8918--8927. DOI: 10.1109/CVPR46437.2021.00881.</w:t>
      </w:r>
    </w:p>
    <w:p w14:paraId="10D2D706" w14:textId="77777777" w:rsidR="00110BDA" w:rsidRDefault="00000000">
      <w:pPr>
        <w:spacing w:after="60" w:line="300" w:lineRule="auto"/>
        <w:ind w:left="420" w:hanging="420"/>
      </w:pPr>
      <w:r>
        <w:rPr>
          <w:sz w:val="21"/>
        </w:rPr>
        <w:t>[41] Snelgar, Francis, Gould, Stephen, Xu, Ming, Zheng, Liang, Asthana, Akshay. Gromov Wasserstein Optimal Transport for Semantic Correspondences. British Machine Vision Conference (BMVC), 2025. https://bmva-archive.org.uk/bmvc/2025/assets/papers/Paper_721/paper.pdf.</w:t>
      </w:r>
    </w:p>
    <w:p w14:paraId="038FBD0D" w14:textId="77777777" w:rsidR="00110BDA" w:rsidRDefault="00000000">
      <w:pPr>
        <w:spacing w:after="60" w:line="300" w:lineRule="auto"/>
        <w:ind w:left="420" w:hanging="420"/>
      </w:pPr>
      <w:r>
        <w:rPr>
          <w:sz w:val="21"/>
        </w:rPr>
        <w:t>[42] Financial Action Task Force (FATF). Updated Guidance for a Risk-Based Approach to Virtual Assets and Virtual Asset Service Providers. FATF, 2021. https://www.fatf-gafi.org/en/publications/Fatfrecommendations/Guidance-rba-virtual-assets-2021.html.</w:t>
      </w:r>
    </w:p>
    <w:p w14:paraId="3C545438" w14:textId="77777777" w:rsidR="00110BDA" w:rsidRDefault="00000000">
      <w:pPr>
        <w:spacing w:after="60" w:line="300" w:lineRule="auto"/>
        <w:ind w:left="420" w:hanging="420"/>
      </w:pPr>
      <w:r>
        <w:rPr>
          <w:sz w:val="21"/>
        </w:rPr>
        <w:t>[43] Rudin, Cynthia. Stop Explaining Black Box Machine Learning Models for High Stakes Decisions and Use Interpretable Models Instead. Nature Machine Intelligence, 2019, 1(5): 206--215. DOI: 10.1038/s42256-019-0048-x.</w:t>
      </w:r>
    </w:p>
    <w:p w14:paraId="0A2FC08A" w14:textId="77777777" w:rsidR="00110BDA" w:rsidRDefault="00000000">
      <w:pPr>
        <w:spacing w:after="60" w:line="300" w:lineRule="auto"/>
        <w:ind w:left="420" w:hanging="420"/>
      </w:pPr>
      <w:r>
        <w:rPr>
          <w:sz w:val="21"/>
        </w:rPr>
        <w:t>[44] Arrieta, Alejandro Barrio, et al.. Explainable Artificial Intelligence (XAI): Concepts, Taxonomies, Opportunities and Challenges toward Responsible AI. Information Fusion, 2020, 58: 82--115. DOI: 10.1016/j.inffus.2019.12.012.</w:t>
      </w:r>
    </w:p>
    <w:p w14:paraId="64FA1997" w14:textId="77777777" w:rsidR="00110BDA" w:rsidRDefault="00000000">
      <w:pPr>
        <w:spacing w:after="60" w:line="300" w:lineRule="auto"/>
        <w:ind w:left="420" w:hanging="420"/>
      </w:pPr>
      <w:r>
        <w:rPr>
          <w:sz w:val="21"/>
        </w:rPr>
        <w:t>[45] Adadi, Amina, Berrada, Mohammed. Peeking Inside the Black-Box: A Survey on Explainable Artificial Intelligence (XAI). IEEE Access, 2018, 6: 52138--52160. DOI: 10.1109/ACCESS.2018.2870052.</w:t>
      </w:r>
    </w:p>
    <w:p w14:paraId="69B49D2E" w14:textId="77777777" w:rsidR="00110BDA" w:rsidRDefault="00000000">
      <w:pPr>
        <w:spacing w:after="60" w:line="300" w:lineRule="auto"/>
        <w:ind w:left="420" w:hanging="420"/>
      </w:pPr>
      <w:r>
        <w:rPr>
          <w:sz w:val="21"/>
        </w:rPr>
        <w:lastRenderedPageBreak/>
        <w:t>[46] Liu, Zihan, Wang, Xiaohu, Lin, Chao, Xu, Minghui, He, Debiao, Huang, Xinyi. SilentLedger: Privacy-Preserving Auditing for Blockchains With Complete Non-Interactivity. IEEE Transactions on Information Forensics and Security, 2026, 21: 7346--7360. DOI: 10.1109/TIFS.2026.3716229.</w:t>
      </w:r>
    </w:p>
    <w:p w14:paraId="50FEDA0E" w14:textId="77777777" w:rsidR="00110BDA" w:rsidRDefault="00000000">
      <w:pPr>
        <w:spacing w:after="60" w:line="300" w:lineRule="auto"/>
        <w:ind w:left="420" w:hanging="420"/>
      </w:pPr>
      <w:r>
        <w:rPr>
          <w:sz w:val="21"/>
        </w:rPr>
        <w:t>[47] Pineau, Joelle, et al.. Improving Reproducibility in Machine Learning Research (A Report from the NeurIPS 2019 Reproducibility Program). Journal of Machine Learning Research, 2021, 22: 1--20.</w:t>
      </w:r>
    </w:p>
    <w:p w14:paraId="5C003DF3" w14:textId="77777777" w:rsidR="00110BDA" w:rsidRDefault="00000000">
      <w:pPr>
        <w:spacing w:after="60" w:line="300" w:lineRule="auto"/>
        <w:ind w:left="420" w:hanging="420"/>
      </w:pPr>
      <w:r>
        <w:rPr>
          <w:sz w:val="21"/>
        </w:rPr>
        <w:t>[48] Lamprecht, Anna-Lena, et al.. Towards FAIR Principles for Research Software. Data Science, 2020, 3(1): 37--59. DOI: 10.3233/DS-190026.</w:t>
      </w:r>
    </w:p>
    <w:sectPr w:rsidR="00110BDA" w:rsidSect="00034616">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0202934">
    <w:abstractNumId w:val="8"/>
  </w:num>
  <w:num w:numId="2" w16cid:durableId="1002852147">
    <w:abstractNumId w:val="6"/>
  </w:num>
  <w:num w:numId="3" w16cid:durableId="646477921">
    <w:abstractNumId w:val="5"/>
  </w:num>
  <w:num w:numId="4" w16cid:durableId="1928617184">
    <w:abstractNumId w:val="4"/>
  </w:num>
  <w:num w:numId="5" w16cid:durableId="74018073">
    <w:abstractNumId w:val="7"/>
  </w:num>
  <w:num w:numId="6" w16cid:durableId="878590160">
    <w:abstractNumId w:val="3"/>
  </w:num>
  <w:num w:numId="7" w16cid:durableId="355040105">
    <w:abstractNumId w:val="2"/>
  </w:num>
  <w:num w:numId="8" w16cid:durableId="1542326006">
    <w:abstractNumId w:val="1"/>
  </w:num>
  <w:num w:numId="9" w16cid:durableId="213656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BDA"/>
    <w:rsid w:val="0015074B"/>
    <w:rsid w:val="001B11CE"/>
    <w:rsid w:val="0029639D"/>
    <w:rsid w:val="00326F90"/>
    <w:rsid w:val="00AA1D8D"/>
    <w:rsid w:val="00B47730"/>
    <w:rsid w:val="00CB0664"/>
    <w:rsid w:val="00EF5D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D400C1"/>
  <w14:defaultImageDpi w14:val="300"/>
  <w15:docId w15:val="{632FF4DA-930C-498D-A855-582636A4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8650</Words>
  <Characters>16437</Characters>
  <Application>Microsoft Office Word</Application>
  <DocSecurity>0</DocSecurity>
  <Lines>432</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跨链资金流取证对应：运输表示与条件解码（R5B 修订稿）</dc:title>
  <dc:subject>R5B SAFE MANUSCRIPT INTEGRATION (scientific repair round)</dc:subject>
  <dc:creator/>
  <cp:keywords>cross-chain forensics; anti-money laundering; fund-flow correspondence; optimal transport; conditional decoding; selective abstention</cp:keywords>
  <dc:description/>
  <cp:lastModifiedBy/>
  <cp:revision>2</cp:revision>
  <dcterms:created xsi:type="dcterms:W3CDTF">2013-12-23T23:15:00Z</dcterms:created>
  <dcterms:modified xsi:type="dcterms:W3CDTF">2026-09-09T12:33:00Z</dcterms:modified>
  <cp:category/>
</cp:coreProperties>
</file>