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跨链资金流取证中的非一对一对应：运输表示与条件解码</w:t>
      </w:r>
    </w:p>
    <w:p>
      <w:pPr>
        <w:pStyle w:val="Heading1"/>
        <w:spacing w:before="280" w:after="160"/>
      </w:pPr>
      <w:r>
        <w:t>摘要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跨链洗钱把可疑资产的痕迹拆分到多条链、多个代币与多笔延迟到账中，使面向反洗钱（AML）调查的跨链取证不能再依赖"一笔源链交易对应一笔目标链交易"的一对一假设。本文提出跨链可疑资金流对应（CSFFC）任务：把源链与目标链活动组织为资金流，用非负传输计划表达一对一、一对多（分流）、多对一（合流）与未匹配质量。我们进一步发现，直接按原始传输计划排序对应关系会被传输缩放与边际压力扭曲：计划中的对偶缩放与真实对应亲和度混在一起。为此提出方向条件化解码——行向分数按列质量归一、列向分数按行质量归一后做互选前 k——并给出其双重消除性质（对条件侧公共缩放因子的精确消除，作为标准 Sinkhorn 结构的直接推论给出，不作新型归一化声明）。在三桥（Celer、Multichain、PolyNetwork）预注册、哈希锁定、一次性执行的未触碰确认性保留集上，条件解码将宏平均边 F1 从原始计划解码的 0.2350 提升到 0.3104（Δ = +0.075413，配对 95% 置信区间 [0.070557, 0.080312]），三桥全部为正，五项预注册机制方向全部符合，且经独立验证器全量重算；同一实验表明平衡与非平衡条件解码相差 −0.0003（置信区间含零），故不主张非平衡松弛本身的排序增益。结构实验表明运输表示能表达一对一解码器无法表达的 1→N 边集（边包含召回口径 0.946/0.967，非精确拓扑恢复）；同时如实报告：全部方法的严格精确拓扑恢复为 0，且全局校准的阈值规则在边 F1 上更强。一项独立后开发期数据审计（仅数据、未运行方法）确认了开发语料之外真实流级扇出的存在（2,451 个 Tier-A 扇出单元、359.98 天），但因未达到预注册充分性门槛（G = 7 &lt; 8），未作外部方法性能声明。方法在充分多样的独立真实语料上的性能仍未建立。</w:t>
      </w:r>
    </w:p>
    <w:p>
      <w:pPr>
        <w:spacing w:after="120" w:line="360" w:lineRule="auto"/>
        <w:ind w:firstLine="480"/>
      </w:pPr>
      <w:r>
        <w:rPr>
          <w:b/>
          <w:sz w:val="24"/>
        </w:rPr>
        <w:t>关键词：</w:t>
      </w:r>
      <w:r>
        <w:rPr>
          <w:b w:val="0"/>
          <w:sz w:val="24"/>
        </w:rPr>
        <w:t>跨链取证；反洗钱；资金流对应；最优传输；条件解码；选择性弃权</w:t>
      </w:r>
    </w:p>
    <w:p>
      <w:pPr>
        <w:pStyle w:val="Heading1"/>
        <w:spacing w:before="280" w:after="160"/>
      </w:pPr>
      <w:r>
        <w:t>1 引言</w:t>
      </w:r>
    </w:p>
    <w:p>
      <w:pPr>
        <w:pStyle w:val="Heading2"/>
        <w:spacing w:before="200" w:after="120"/>
      </w:pPr>
      <w:r>
        <w:t>1.1 问题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 xml:space="preserve">跨链桥与去中心化交易所让被调查资金可以被拆分、兑换、延迟释放并在新地址重新归集，链跳已成为监管机构明确标注的高风险类型 </w:t>
      </w:r>
      <w:r>
        <w:rPr>
          <w:b w:val="0"/>
          <w:sz w:val="24"/>
        </w:rPr>
        <w:t>[1,2,3]</w:t>
      </w:r>
      <w:r>
        <w:rPr>
          <w:b w:val="0"/>
          <w:sz w:val="24"/>
        </w:rPr>
        <w:t>。对调查者而言，核心问题不再是一笔交易在哪条链上，而是：源链上的一组活动，与目标链上的哪组活动构成同一次资金运动？分流或合流本身并不构成非法性证据——它同样来自正常路由、聚合器或流动性管理——因此本文面向的是证据限定的取证对应，而不是全链自动非法性判定。</w:t>
      </w:r>
    </w:p>
    <w:p>
      <w:pPr>
        <w:pStyle w:val="Heading2"/>
        <w:spacing w:before="200" w:after="120"/>
      </w:pPr>
      <w:r>
        <w:t>1.2 为什么一对一表示不够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 xml:space="preserve">交易级跨链关联方法（如 CONNECTOR </w:t>
      </w:r>
      <w:r>
        <w:rPr>
          <w:b w:val="0"/>
          <w:sz w:val="24"/>
        </w:rPr>
        <w:t>[4]</w:t>
      </w:r>
      <w:r>
        <w:rPr>
          <w:b w:val="0"/>
          <w:sz w:val="24"/>
        </w:rPr>
        <w:t xml:space="preserve"> 与 ABCTracer </w:t>
      </w:r>
      <w:r>
        <w:rPr>
          <w:b w:val="0"/>
          <w:sz w:val="24"/>
        </w:rPr>
        <w:t>[5]</w:t>
      </w:r>
      <w:r>
        <w:rPr>
          <w:b w:val="0"/>
          <w:sz w:val="24"/>
        </w:rPr>
        <w:t>）在桥事件明确时有效，但与跨链资金重组形态存在结构性失配：一条源活动可以扇出到多个目标，多条源活动可以汇入一个目标；桥延迟破坏哈希级对齐；手续费造成金额漂移；事件证据常常不完整。硬性一对一匹配无法表达软质量分配，且在一对一锚定为主的数据上的高命中率并不保证在分流/合流压力或证据缺口下依然稳健。本文不替代交易级工具，而是针对这些条件定义新任务（图 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00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form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1"/>
        </w:rPr>
        <w:t>图 1  从交易级一对一匹配到资金流级软对应的问题重构：交易哈希、事件日志、地址交互、金额与时间关系被组织为可审计的资金流证据链，以软对应统一表达一对一、分流、合流与未匹配残余。</w:t>
      </w:r>
    </w:p>
    <w:p>
      <w:pPr>
        <w:pStyle w:val="Heading2"/>
        <w:spacing w:before="200" w:after="120"/>
      </w:pPr>
      <w:r>
        <w:t>1.3 三个研究缺口</w:t>
      </w:r>
    </w:p>
    <w:p>
      <w:pPr>
        <w:spacing w:after="120" w:line="360" w:lineRule="auto"/>
        <w:ind w:firstLine="480"/>
      </w:pPr>
      <w:r>
        <w:rPr>
          <w:b/>
          <w:sz w:val="24"/>
        </w:rPr>
        <w:t>G1 表示失配。</w:t>
      </w:r>
      <w:r>
        <w:rPr>
          <w:b w:val="0"/>
          <w:sz w:val="24"/>
        </w:rPr>
        <w:t>现有解码器输出一对一交易对，结构上无法表达 1→N 分流与部分未匹配质量，与调查对象（资金流之间的质量分配）之间存在表示层失配。</w:t>
      </w:r>
    </w:p>
    <w:p>
      <w:pPr>
        <w:spacing w:after="120" w:line="360" w:lineRule="auto"/>
        <w:ind w:firstLine="480"/>
      </w:pPr>
      <w:r>
        <w:rPr>
          <w:b/>
          <w:sz w:val="24"/>
        </w:rPr>
        <w:t>G2 原始传输计划排序失真。</w:t>
      </w:r>
      <w:r>
        <w:rPr>
          <w:b w:val="0"/>
          <w:sz w:val="24"/>
        </w:rPr>
        <w:t>传输计划同时编码了逐对亲和度与求解器对偶缩放；直接按计划排序会丢弃核意义上强、但求解器分配质量小的真实对应边。这一失真此前未被系统诊断。</w:t>
      </w:r>
    </w:p>
    <w:p>
      <w:pPr>
        <w:spacing w:after="120" w:line="360" w:lineRule="auto"/>
        <w:ind w:firstLine="480"/>
      </w:pPr>
      <w:r>
        <w:rPr>
          <w:b/>
          <w:sz w:val="24"/>
        </w:rPr>
        <w:t>G3 证据不完整下的归因风险。</w:t>
      </w:r>
      <w:r>
        <w:rPr>
          <w:b w:val="0"/>
          <w:sz w:val="24"/>
        </w:rPr>
        <w:t>当多目标流的金额-时间剖面相似、桥事件跨候选共享或事件键缺失时，强行输出单一匹配存在过度归因风险；系统需要显式的覆盖认定与弃权机制。</w:t>
      </w:r>
    </w:p>
    <w:p>
      <w:pPr>
        <w:pStyle w:val="Heading2"/>
        <w:spacing w:before="200" w:after="120"/>
      </w:pPr>
      <w:r>
        <w:t>1.4 关键观察与方案</w:t>
      </w:r>
    </w:p>
    <w:p>
      <w:pPr>
        <w:spacing w:after="120" w:line="360" w:lineRule="auto"/>
        <w:ind w:firstLine="480"/>
      </w:pPr>
      <w:r>
        <w:rPr>
          <w:b/>
          <w:sz w:val="24"/>
        </w:rPr>
        <w:t>关键观察：</w:t>
      </w:r>
      <w:r>
        <w:rPr>
          <w:b w:val="0"/>
          <w:sz w:val="24"/>
        </w:rPr>
        <w:t>原始传输计划并非纯对应分数——其排序被传输缩放与边际压力污染。</w:t>
      </w:r>
      <w:r>
        <w:rPr>
          <w:b/>
          <w:sz w:val="24"/>
        </w:rPr>
        <w:t>方案：</w:t>
      </w:r>
      <w:r>
        <w:rPr>
          <w:b w:val="0"/>
          <w:sz w:val="24"/>
        </w:rPr>
        <w:t>本文提出 CSFFC 任务与风险约束非平衡最优传输方法 RC-UOT（以传输计划统一表达 1→1/1→N/N→1/未匹配质量，金额、时间因果、路径、风险与证据质量编码为复合代价），以及带事件支撑商空间分组与覆盖资质认定的扩展 RC-UOT-Q；并用方向条件化解码修复原始计划的排序失真。</w:t>
      </w:r>
      <w:r>
        <w:rPr>
          <w:b/>
          <w:sz w:val="24"/>
        </w:rPr>
        <w:t>主证据：</w:t>
      </w:r>
      <w:r>
        <w:rPr>
          <w:b w:val="0"/>
          <w:sz w:val="24"/>
        </w:rPr>
        <w:t>三桥预注册确认性保留集上，条件解码把宏平均边 F1 从 0.2350 提升到 0.3104（Δ = +0.075413，95% CI [0.070557, 0.080312]，三桥全为正）；独立后开发期数据审计确认真实流级扇出存在（2,451 个 Tier-A 单元，359.98 天），同时如实保留"外部方法性能未建立"的边界。本文发布 Cross AML 原型（`tools/cross_aml/`）作为证据到报告的分诊工具。</w:t>
      </w:r>
    </w:p>
    <w:p>
      <w:pPr>
        <w:pStyle w:val="Heading2"/>
        <w:spacing w:before="200" w:after="120"/>
      </w:pPr>
      <w:r>
        <w:t>1.5 贡献</w:t>
      </w:r>
    </w:p>
    <w:p>
      <w:pPr>
        <w:spacing w:after="120" w:line="360" w:lineRule="auto"/>
        <w:ind w:firstLine="480"/>
      </w:pPr>
      <w:r>
        <w:rPr>
          <w:b/>
          <w:sz w:val="24"/>
        </w:rPr>
        <w:t>（1）非一对一取证对应任务。</w:t>
      </w:r>
      <w:r>
        <w:rPr>
          <w:b w:val="0"/>
          <w:sz w:val="24"/>
        </w:rPr>
        <w:t>形式化 CSFFC：流级、带质量、允许未匹配质量与部分观测的软对应，区分协议级一对一结算与流级扇出/合流结构。</w:t>
      </w:r>
    </w:p>
    <w:p>
      <w:pPr>
        <w:spacing w:after="120" w:line="360" w:lineRule="auto"/>
        <w:ind w:firstLine="480"/>
      </w:pPr>
      <w:r>
        <w:rPr>
          <w:b/>
          <w:sz w:val="24"/>
        </w:rPr>
        <w:t>（2）运输表示与条件解码。</w:t>
      </w:r>
      <w:r>
        <w:rPr>
          <w:b w:val="0"/>
          <w:sz w:val="24"/>
        </w:rPr>
        <w:t>诊断原始计划排序失真（表示失配 + 双重消除分析），提出方向条件化解码修复；解码器明确作为标准互选归一化的取证适配，不作新型归一化声明。</w:t>
      </w:r>
    </w:p>
    <w:p>
      <w:pPr>
        <w:spacing w:after="120" w:line="360" w:lineRule="auto"/>
        <w:ind w:firstLine="480"/>
      </w:pPr>
      <w:r>
        <w:rPr>
          <w:b/>
          <w:sz w:val="24"/>
        </w:rPr>
        <w:t>（3）忠实结构能力评估。</w:t>
      </w:r>
      <w:r>
        <w:rPr>
          <w:b w:val="0"/>
          <w:sz w:val="24"/>
        </w:rPr>
        <w:t>三桥代码级能力审计与统一严格评估确立：一对一解码器结构上不能表达什么；传输解码实际达到什么边界（边包含召回 0.946/0.967 对应解码精度约 0.02；严格精确拓扑恢复全部为 0；校准阈值规则在边 F1 上更强）。</w:t>
      </w:r>
    </w:p>
    <w:p>
      <w:pPr>
        <w:spacing w:after="120" w:line="360" w:lineRule="auto"/>
        <w:ind w:firstLine="480"/>
      </w:pPr>
      <w:r>
        <w:rPr>
          <w:b/>
          <w:sz w:val="24"/>
        </w:rPr>
        <w:t>（4）预注册确认性证据与真实数据审计。</w:t>
      </w:r>
      <w:r>
        <w:rPr>
          <w:b w:val="0"/>
          <w:sz w:val="24"/>
        </w:rPr>
        <w:t>三桥哈希锁定一次性保留集确认解码修复（主对比 +0.0754 [0.0706, 0.0803]），独立验证器全量重算；仅数据独立时间审计确认开发语料之外真实扇出存在，并明确不作外部性能声明。</w:t>
      </w:r>
    </w:p>
    <w:p>
      <w:pPr>
        <w:pStyle w:val="Heading1"/>
        <w:spacing w:before="280" w:after="160"/>
      </w:pPr>
      <w:r>
        <w:t>2 相关工作</w:t>
      </w:r>
    </w:p>
    <w:p>
      <w:pPr>
        <w:spacing w:after="120" w:line="360" w:lineRule="auto"/>
        <w:ind w:firstLine="480"/>
      </w:pPr>
      <w:r>
        <w:rPr>
          <w:b/>
          <w:sz w:val="24"/>
        </w:rPr>
        <w:t>区块链取证与 AML。</w:t>
      </w:r>
      <w:r>
        <w:rPr>
          <w:b w:val="0"/>
          <w:sz w:val="24"/>
        </w:rPr>
        <w:t xml:space="preserve">单链方向以地址聚类、启发式与图传播为主 </w:t>
      </w:r>
      <w:r>
        <w:rPr>
          <w:b w:val="0"/>
          <w:sz w:val="24"/>
        </w:rPr>
        <w:t>[6,7,8,9]</w:t>
      </w:r>
      <w:r>
        <w:rPr>
          <w:b w:val="0"/>
          <w:sz w:val="24"/>
        </w:rPr>
        <w:t xml:space="preserve">，计量研究量化了加密货币非法使用规模 </w:t>
      </w:r>
      <w:r>
        <w:rPr>
          <w:b w:val="0"/>
          <w:sz w:val="24"/>
        </w:rPr>
        <w:t>[10]</w:t>
      </w:r>
      <w:r>
        <w:rPr>
          <w:b w:val="0"/>
          <w:sz w:val="24"/>
        </w:rPr>
        <w:t xml:space="preserve">，图学习管线（Elliptic/Elliptic2、动态图与归纳表示、TRacer 式账户图追踪、钓鱼分类器）持续推进 </w:t>
      </w:r>
      <w:r>
        <w:rPr>
          <w:b w:val="0"/>
          <w:sz w:val="24"/>
        </w:rPr>
        <w:t>[11,12,13,14,15,16]</w:t>
      </w:r>
      <w:r>
        <w:rPr>
          <w:b w:val="0"/>
          <w:sz w:val="24"/>
        </w:rPr>
        <w:t xml:space="preserve">，相关综述整理欺诈类型与监管响应 </w:t>
      </w:r>
      <w:r>
        <w:rPr>
          <w:b w:val="0"/>
          <w:sz w:val="24"/>
        </w:rPr>
        <w:t>[17,18]</w:t>
      </w:r>
      <w:r>
        <w:rPr>
          <w:b w:val="0"/>
          <w:sz w:val="24"/>
        </w:rPr>
        <w:t xml:space="preserve">；行业报告量化了跨链洗钱规模但未提供开放的流级对应标签 </w:t>
      </w:r>
      <w:r>
        <w:rPr>
          <w:b w:val="0"/>
          <w:sz w:val="24"/>
        </w:rPr>
        <w:t>[1,2]</w:t>
      </w:r>
      <w:r>
        <w:rPr>
          <w:b w:val="0"/>
          <w:sz w:val="24"/>
        </w:rPr>
        <w:t>。本文把分析单元从单链交易迁移到跨链资金流。</w:t>
      </w:r>
    </w:p>
    <w:p>
      <w:pPr>
        <w:spacing w:after="120" w:line="360" w:lineRule="auto"/>
        <w:ind w:firstLine="480"/>
      </w:pPr>
      <w:r>
        <w:rPr>
          <w:b/>
          <w:sz w:val="24"/>
        </w:rPr>
        <w:t>跨链追踪与桥安全。</w:t>
      </w:r>
      <w:r>
        <w:rPr>
          <w:b w:val="0"/>
          <w:sz w:val="24"/>
        </w:rPr>
        <w:t xml:space="preserve">桥制造跨账本可观测性断层；系统化研究刻画了攻击面 </w:t>
      </w:r>
      <w:r>
        <w:rPr>
          <w:b w:val="0"/>
          <w:sz w:val="24"/>
        </w:rPr>
        <w:t>[19,20,21,22]</w:t>
      </w:r>
      <w:r>
        <w:rPr>
          <w:b w:val="0"/>
          <w:sz w:val="24"/>
        </w:rPr>
        <w:t xml:space="preserve">，早期跨链工作常依赖中心化接口 </w:t>
      </w:r>
      <w:r>
        <w:rPr>
          <w:b w:val="0"/>
          <w:sz w:val="24"/>
        </w:rPr>
        <w:t>[23]</w:t>
      </w:r>
      <w:r>
        <w:rPr>
          <w:b w:val="0"/>
          <w:sz w:val="24"/>
        </w:rPr>
        <w:t xml:space="preserve">，本文基准锚定在 Celer/cBridge 类桥流量 </w:t>
      </w:r>
      <w:r>
        <w:rPr>
          <w:b w:val="0"/>
          <w:sz w:val="24"/>
        </w:rPr>
        <w:t>[24]</w:t>
      </w:r>
      <w:r>
        <w:rPr>
          <w:b w:val="0"/>
          <w:sz w:val="24"/>
        </w:rPr>
        <w:t xml:space="preserve">。CONNECTOR </w:t>
      </w:r>
      <w:r>
        <w:rPr>
          <w:b w:val="0"/>
          <w:sz w:val="24"/>
        </w:rPr>
        <w:t>[4]</w:t>
      </w:r>
      <w:r>
        <w:rPr>
          <w:b w:val="0"/>
          <w:sz w:val="24"/>
        </w:rPr>
        <w:t xml:space="preserve"> 从桥合约轨迹关联存取款交易对，ABCTracer </w:t>
      </w:r>
      <w:r>
        <w:rPr>
          <w:b w:val="0"/>
          <w:sz w:val="24"/>
        </w:rPr>
        <w:t>[5]</w:t>
      </w:r>
      <w:r>
        <w:rPr>
          <w:b w:val="0"/>
          <w:sz w:val="24"/>
        </w:rPr>
        <w:t xml:space="preserve"> 增加双向追踪与桥无关线索；两者输出均为一对一交易关联。本文与其互补：针对的是流级软对应、未匹配质量与证据限定的弃权，而非交易对检索。</w:t>
      </w:r>
    </w:p>
    <w:p>
      <w:pPr>
        <w:spacing w:after="120" w:line="360" w:lineRule="auto"/>
        <w:ind w:firstLine="480"/>
      </w:pPr>
      <w:r>
        <w:rPr>
          <w:b/>
          <w:sz w:val="24"/>
        </w:rPr>
        <w:t>最优传输与互选匹配谱系。</w:t>
      </w:r>
      <w:r>
        <w:rPr>
          <w:b w:val="0"/>
          <w:sz w:val="24"/>
        </w:rPr>
        <w:t xml:space="preserve">最优传输为软指派提供有原则框架 </w:t>
      </w:r>
      <w:r>
        <w:rPr>
          <w:b w:val="0"/>
          <w:sz w:val="24"/>
        </w:rPr>
        <w:t>[25]</w:t>
      </w:r>
      <w:r>
        <w:rPr>
          <w:b w:val="0"/>
          <w:sz w:val="24"/>
        </w:rPr>
        <w:t xml:space="preserve">；熵正则 Sinkhorn 与非平衡 OT </w:t>
      </w:r>
      <w:r>
        <w:rPr>
          <w:b w:val="0"/>
          <w:sz w:val="24"/>
        </w:rPr>
        <w:t>[26,27,28,29]</w:t>
      </w:r>
      <w:r>
        <w:rPr>
          <w:b w:val="0"/>
          <w:sz w:val="24"/>
        </w:rPr>
        <w:t xml:space="preserve"> 提供可扩展求解，OT 损失亦用于机器学习分布匹配 </w:t>
      </w:r>
      <w:r>
        <w:rPr>
          <w:b w:val="0"/>
          <w:sz w:val="24"/>
        </w:rPr>
        <w:t>[30,31]</w:t>
      </w:r>
      <w:r>
        <w:rPr>
          <w:b w:val="0"/>
          <w:sz w:val="24"/>
        </w:rPr>
        <w:t xml:space="preserve">；双向归一化与互选前 k 属于 dual-softmax/互近邻匹配家族 </w:t>
      </w:r>
      <w:r>
        <w:rPr>
          <w:b w:val="0"/>
          <w:sz w:val="24"/>
        </w:rPr>
        <w:t>[32,33]</w:t>
      </w:r>
      <w:r>
        <w:rPr>
          <w:b w:val="0"/>
          <w:sz w:val="24"/>
        </w:rPr>
        <w:t xml:space="preserve">，Sinkhorn 加互选的典型是 SuperGlue </w:t>
      </w:r>
      <w:r>
        <w:rPr>
          <w:b w:val="0"/>
          <w:sz w:val="24"/>
        </w:rPr>
        <w:t>[34]</w:t>
      </w:r>
      <w:r>
        <w:rPr>
          <w:b w:val="0"/>
          <w:sz w:val="24"/>
        </w:rPr>
        <w:t xml:space="preserve">。分解式 P = diag(u) K diag(v) 是熵 OT 教科书结构 </w:t>
      </w:r>
      <w:r>
        <w:rPr>
          <w:b w:val="0"/>
          <w:sz w:val="24"/>
        </w:rPr>
        <w:t>[35]</w:t>
      </w:r>
      <w:r>
        <w:rPr>
          <w:b w:val="0"/>
          <w:sz w:val="24"/>
        </w:rPr>
        <w:t>。本文的增量在诊断、取证适配、形式化解释与预注册确认，不在归一化本身的新颖性。</w:t>
      </w:r>
    </w:p>
    <w:p>
      <w:pPr>
        <w:spacing w:after="120" w:line="360" w:lineRule="auto"/>
        <w:ind w:firstLine="480"/>
      </w:pPr>
      <w:r>
        <w:rPr>
          <w:b/>
          <w:sz w:val="24"/>
        </w:rPr>
        <w:t>可解释与监管边界。</w:t>
      </w:r>
      <w:r>
        <w:rPr>
          <w:b w:val="0"/>
          <w:sz w:val="24"/>
        </w:rPr>
        <w:t xml:space="preserve">监管要求基于风险的 AML/CFT 控制 </w:t>
      </w:r>
      <w:r>
        <w:rPr>
          <w:b w:val="0"/>
          <w:sz w:val="24"/>
        </w:rPr>
        <w:t>[3,36]</w:t>
      </w:r>
      <w:r>
        <w:rPr>
          <w:b w:val="0"/>
          <w:sz w:val="24"/>
        </w:rPr>
        <w:t xml:space="preserve">，高风险场景输出应可解释可审计 </w:t>
      </w:r>
      <w:r>
        <w:rPr>
          <w:b w:val="0"/>
          <w:sz w:val="24"/>
        </w:rPr>
        <w:t>[37,38,39]</w:t>
      </w:r>
      <w:r>
        <w:rPr>
          <w:b w:val="0"/>
          <w:sz w:val="24"/>
        </w:rPr>
        <w:t xml:space="preserve">，安全与机器学习产物的可复现性规范支撑开放评估脚本 </w:t>
      </w:r>
      <w:r>
        <w:rPr>
          <w:b w:val="0"/>
          <w:sz w:val="24"/>
        </w:rPr>
        <w:t>[40,41]</w:t>
      </w:r>
      <w:r>
        <w:rPr>
          <w:b w:val="0"/>
          <w:sz w:val="24"/>
        </w:rPr>
        <w:t>。Cross AML 以覆盖层级、弃权与证据束落实该原则；部署边界是调查分诊而非自动裁决。</w:t>
      </w:r>
    </w:p>
    <w:p>
      <w:pPr>
        <w:pStyle w:val="Heading1"/>
        <w:spacing w:before="280" w:after="160"/>
      </w:pPr>
      <w:r>
        <w:t>3 问题定义与总览</w:t>
      </w:r>
    </w:p>
    <w:p>
      <w:pPr>
        <w:pStyle w:val="Heading2"/>
        <w:spacing w:before="200" w:after="120"/>
      </w:pPr>
      <w:r>
        <w:t>3.1 CSFFC 任务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给定源链资金流集合与目标链资金流集合，CSFFC 寻求非负传输计划 P，其中 P_ij 表示源流 s_i 到目标流 t_j 的对应质量。</w:t>
      </w:r>
      <w:r>
        <w:rPr>
          <w:b/>
          <w:sz w:val="24"/>
        </w:rPr>
        <w:t>资金流</w:t>
      </w:r>
      <w:r>
        <w:rPr>
          <w:b w:val="0"/>
          <w:sz w:val="24"/>
        </w:rPr>
        <w:t xml:space="preserve">是按主地址、链、资产上下文与滚动时间窗口（1800 秒）聚合的 AML 观测单元；不是链上原生原子，但保留金额、时间、路径与证据引用 </w:t>
      </w:r>
      <w:r>
        <w:rPr>
          <w:b w:val="0"/>
          <w:sz w:val="24"/>
        </w:rPr>
        <w:t>[11]</w:t>
      </w:r>
      <w:r>
        <w:rPr>
          <w:b w:val="0"/>
          <w:sz w:val="24"/>
        </w:rPr>
        <w:t>。监督标签为带模式元数据的有向流边（历史字段 many_to_one 实为 1→N 分流、one_to_many 实为 N→1 合流，方向已经代码核验；本文统一用"分流=1→N、合流=N→1"）。</w:t>
      </w:r>
    </w:p>
    <w:p>
      <w:pPr>
        <w:pStyle w:val="Heading2"/>
        <w:spacing w:before="200" w:after="120"/>
      </w:pPr>
      <w:r>
        <w:t>3.2 证据与候选空间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逐对代价由金额失配、时间因果与延迟可行性、桥/路由一致性、AML 风险对齐与证据质量五个子项加权构成；候选空间来自证据可观测范围（交易、回执、日志、ERC-20 事件、桥事件），候选不完备是常态而非例外——这决定了未匹配质量与弃权是一等设计要素。</w:t>
      </w:r>
    </w:p>
    <w:p>
      <w:pPr>
        <w:pStyle w:val="Heading2"/>
        <w:spacing w:before="200" w:after="120"/>
      </w:pPr>
      <w:r>
        <w:t>3.3 方法总览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RC-UOT 求解熵正则非平衡 OT 得到软传输计划；方向条件化解码把计划映射为报告边；RC-UOT-Q 在证据歧义时以事件支撑商空间分组聚合候选，并按覆盖层级（A/B/C/未覆盖）执行弃权。整体管线见图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58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1"/>
        </w:rPr>
        <w:t>图 2  RC-UOT 跨链资金流对应框架：源/目标链证据被组织为资金流片段，复合代价矩阵经 RC-UOT 求解为软传输计划，输出一对一、分流/合流与未匹配质量。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需要说明的是，"风险约束"指冻结的风险感知代价与边际设计；本文没有单独量化风险项的因果贡献，主结果评估的是条件解码的修复效应，而不是风险项本身的孤立增益。</w:t>
      </w:r>
    </w:p>
    <w:p>
      <w:pPr>
        <w:pStyle w:val="Heading1"/>
        <w:spacing w:before="280" w:after="160"/>
      </w:pPr>
      <w:r>
        <w:t>4 方法</w:t>
      </w:r>
    </w:p>
    <w:p>
      <w:pPr>
        <w:pStyle w:val="Heading2"/>
        <w:spacing w:before="200" w:after="120"/>
      </w:pPr>
      <w:r>
        <w:t>4.1 运输表示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记源集 S = {s_1,…,s_n}、目标集 T = {t_1,…,t_m}。RC-UOT 求解</w:t>
      </w:r>
    </w:p>
    <w:p>
      <w:pPr>
        <w:spacing w:before="80" w:after="80"/>
        <w:jc w:val="center"/>
      </w:pPr>
      <m:oMath>
        <m:sSub>
          <m:r>
            <m:t>min</m:t>
          </m:r>
          <m:r>
            <m:t>P ≥ 0</m:t>
          </m:r>
        </m:sSub>
        <m:r>
          <m:t> </m:t>
        </m:r>
        <m:d>
          <m:dPr>
            <m:begChr m:val="⟨"/>
            <m:endChr m:val="⟩"/>
          </m:dPr>
          <m:e>
            <m:r>
              <m:t>C</m:t>
            </m:r>
            <m:r>
              <m:t>, </m:t>
            </m:r>
            <m:r>
              <m:t>P</m:t>
            </m:r>
          </m:e>
        </m:d>
        <m:r>
          <m:t> + </m:t>
        </m:r>
        <m:r>
          <m:t>ε </m:t>
        </m:r>
        <m:r>
          <m:t>Ω(P)</m:t>
        </m:r>
        <m:r>
          <m:t> + </m:t>
        </m:r>
        <m:sSub>
          <m:r>
            <m:t>λ</m:t>
          </m:r>
          <m:r>
            <m:t>s</m:t>
          </m:r>
        </m:sSub>
        <m:r>
          <m:t> KL</m:t>
        </m:r>
        <m:d>
          <m:dPr>
            <m:begChr m:val="("/>
            <m:endChr m:val=")"/>
          </m:dPr>
          <m:e>
            <m:r>
              <m:t>P</m:t>
              <m:rPr>
                <m:sty m:val="p"/>
              </m:rPr>
            </m:r>
            <m:sSub>
              <m:r>
                <m:t>1</m:t>
              </m:r>
              <m:r>
                <m:t>m</m:t>
              </m:r>
            </m:sSub>
            <m:r>
              <m:t> ‖ </m:t>
            </m:r>
            <m:r>
              <m:t>μ</m:t>
            </m:r>
          </m:e>
        </m:d>
        <m:r>
          <m:t> + </m:t>
        </m:r>
        <m:sSub>
          <m:r>
            <m:t>λ</m:t>
          </m:r>
          <m:r>
            <m:t>t</m:t>
          </m:r>
        </m:sSub>
        <m:r>
          <m:t> KL</m:t>
        </m:r>
        <m:d>
          <m:dPr>
            <m:begChr m:val="("/>
            <m:endChr m:val=")"/>
          </m:dPr>
          <m:e>
            <m:sSup>
              <m:r>
                <m:t>P</m:t>
                <m:rPr>
                  <m:sty m:val="p"/>
                </m:rPr>
              </m:r>
              <m:r>
                <m:t>T</m:t>
              </m:r>
            </m:sSup>
            <m:sSub>
              <m:r>
                <m:t>1</m:t>
              </m:r>
              <m:r>
                <m:t>n</m:t>
              </m:r>
            </m:sSub>
            <m:r>
              <m:t> ‖ </m:t>
            </m:r>
            <m:r>
              <m:t>ν</m:t>
            </m:r>
          </m:e>
        </m:d>
      </m:oMath>
    </w:p>
    <w:p>
      <w:pPr>
        <w:spacing w:after="120" w:line="360" w:lineRule="auto"/>
        <w:ind w:firstLine="480"/>
      </w:pPr>
      <w:r>
        <w:rPr>
          <w:b w:val="0"/>
          <w:sz w:val="24"/>
        </w:rPr>
        <w:t xml:space="preserve">其中 Ω(P) 为熵正则 </w:t>
      </w:r>
      <w:r>
        <w:rPr>
          <w:b w:val="0"/>
          <w:sz w:val="24"/>
        </w:rPr>
        <w:t>[26]</w:t>
      </w:r>
      <w:r>
        <w:rPr>
          <w:b w:val="0"/>
          <w:sz w:val="24"/>
        </w:rPr>
        <w:t xml:space="preserve">，KL 罚项放松边际匹配，允许源/目标侧出现未匹配质量 </w:t>
      </w:r>
      <w:r>
        <w:rPr>
          <w:b w:val="0"/>
          <w:sz w:val="24"/>
        </w:rPr>
        <w:t>[27,28]</w:t>
      </w:r>
      <w:r>
        <w:rPr>
          <w:b w:val="0"/>
          <w:sz w:val="24"/>
        </w:rPr>
        <w:t>。代价分解为</w:t>
      </w:r>
    </w:p>
    <w:p>
      <w:pPr>
        <w:spacing w:before="80" w:after="80"/>
        <w:jc w:val="center"/>
      </w:pPr>
      <m:oMath>
        <m:sSub>
          <m:r>
            <m:t>C</m:t>
          </m:r>
          <m:r>
            <m:t>ij</m:t>
          </m:r>
        </m:sSub>
        <m:r>
          <m:t> = </m:t>
        </m:r>
        <m:sSub>
          <m:r>
            <m:t>w</m:t>
            <m:rPr>
              <m:sty m:val="p"/>
            </m:rPr>
          </m:r>
          <m:r>
            <m:t>amt</m:t>
            <m:rPr>
              <m:sty m:val="p"/>
            </m:rPr>
          </m:r>
        </m:sSub>
        <m:r>
          <m:t> </m:t>
        </m:r>
        <m:sSub>
          <m:r>
            <m:t>c</m:t>
            <m:rPr>
              <m:sty m:val="p"/>
            </m:rPr>
          </m:r>
          <m:r>
            <m:t>amt</m:t>
            <m:rPr>
              <m:sty m:val="p"/>
            </m:rPr>
          </m:r>
        </m:sSub>
        <m:r>
          <m:t>(i, j)</m:t>
        </m:r>
        <m:r>
          <m:t> + </m:t>
        </m:r>
        <m:sSub>
          <m:r>
            <m:t>w</m:t>
            <m:rPr>
              <m:sty m:val="p"/>
            </m:rPr>
          </m:r>
          <m:r>
            <m:t>time</m:t>
            <m:rPr>
              <m:sty m:val="p"/>
            </m:rPr>
          </m:r>
        </m:sSub>
        <m:r>
          <m:t> </m:t>
        </m:r>
        <m:sSub>
          <m:r>
            <m:t>c</m:t>
            <m:rPr>
              <m:sty m:val="p"/>
            </m:rPr>
          </m:r>
          <m:r>
            <m:t>time</m:t>
            <m:rPr>
              <m:sty m:val="p"/>
            </m:rPr>
          </m:r>
        </m:sSub>
        <m:r>
          <m:t>(i, j)</m:t>
        </m:r>
        <m:r>
          <m:t> + </m:t>
        </m:r>
        <m:sSub>
          <m:r>
            <m:t>w</m:t>
            <m:rPr>
              <m:sty m:val="p"/>
            </m:rPr>
          </m:r>
          <m:r>
            <m:t>route</m:t>
            <m:rPr>
              <m:sty m:val="p"/>
            </m:rPr>
          </m:r>
        </m:sSub>
        <m:r>
          <m:t> </m:t>
        </m:r>
        <m:sSub>
          <m:r>
            <m:t>c</m:t>
            <m:rPr>
              <m:sty m:val="p"/>
            </m:rPr>
          </m:r>
          <m:r>
            <m:t>route</m:t>
            <m:rPr>
              <m:sty m:val="p"/>
            </m:rPr>
          </m:r>
        </m:sSub>
        <m:r>
          <m:t>(i, j)</m:t>
        </m:r>
        <m:r>
          <m:t> + </m:t>
        </m:r>
        <m:sSub>
          <m:r>
            <m:t>w</m:t>
            <m:rPr>
              <m:sty m:val="p"/>
            </m:rPr>
          </m:r>
          <m:r>
            <m:t>risk</m:t>
            <m:rPr>
              <m:sty m:val="p"/>
            </m:rPr>
          </m:r>
        </m:sSub>
        <m:r>
          <m:t> </m:t>
        </m:r>
        <m:sSub>
          <m:r>
            <m:t>c</m:t>
            <m:rPr>
              <m:sty m:val="p"/>
            </m:rPr>
          </m:r>
          <m:r>
            <m:t>risk</m:t>
            <m:rPr>
              <m:sty m:val="p"/>
            </m:rPr>
          </m:r>
        </m:sSub>
        <m:r>
          <m:t>(i, j)</m:t>
        </m:r>
        <m:r>
          <m:t> + </m:t>
        </m:r>
        <m:sSub>
          <m:r>
            <m:t>w</m:t>
            <m:rPr>
              <m:sty m:val="p"/>
            </m:rPr>
          </m:r>
          <m:r>
            <m:t>evid</m:t>
            <m:rPr>
              <m:sty m:val="p"/>
            </m:rPr>
          </m:r>
        </m:sSub>
        <m:r>
          <m:t> </m:t>
        </m:r>
        <m:sSub>
          <m:r>
            <m:t>c</m:t>
            <m:rPr>
              <m:sty m:val="p"/>
            </m:rPr>
          </m:r>
          <m:r>
            <m:t>evid</m:t>
            <m:rPr>
              <m:sty m:val="p"/>
            </m:rPr>
          </m:r>
        </m:sSub>
        <m:r>
          <m:t>(i, j)</m:t>
        </m:r>
      </m:oMath>
    </w:p>
    <w:p>
      <w:pPr>
        <w:spacing w:after="120" w:line="360" w:lineRule="auto"/>
        <w:ind w:firstLine="480"/>
      </w:pPr>
      <w:r>
        <w:rPr>
          <w:b w:val="0"/>
          <w:sz w:val="24"/>
        </w:rPr>
        <w:t>流记录为 s_i = (A_i, c_i, g_i, τ_i, x_i, E_i)，其中 E_i 保留交易哈希、日志与桥事件引用，使流级对应可回溯到证据。</w:t>
      </w:r>
    </w:p>
    <w:p>
      <w:pPr>
        <w:pStyle w:val="Heading2"/>
        <w:spacing w:before="200" w:after="120"/>
      </w:pPr>
      <w:r>
        <w:t>4.2 方向条件化解码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熵计划具有分解形式</w:t>
      </w:r>
    </w:p>
    <w:p>
      <w:pPr>
        <w:spacing w:before="80" w:after="80"/>
        <w:jc w:val="center"/>
      </w:pPr>
      <m:oMath>
        <m:r>
          <m:t>P = </m:t>
        </m:r>
        <m:r>
          <m:t>diag</m:t>
          <m:rPr>
            <m:sty m:val="p"/>
          </m:rPr>
        </m:r>
        <m:r>
          <m:t>(u) K </m:t>
        </m:r>
        <m:r>
          <m:t>diag</m:t>
          <m:rPr>
            <m:sty m:val="p"/>
          </m:rPr>
        </m:r>
        <m:r>
          <m:t>(v),   </m:t>
        </m:r>
        <m:sSub>
          <m:r>
            <m:t>K</m:t>
          </m:r>
          <m:r>
            <m:t>ij</m:t>
          </m:r>
        </m:sSub>
        <m:r>
          <m:t> = exp(−</m:t>
        </m:r>
        <m:sSub>
          <m:r>
            <m:t>C</m:t>
          </m:r>
          <m:r>
            <m:t>ij</m:t>
          </m:r>
        </m:sSub>
        <m:r>
          <m:t>/ε).</m:t>
        </m:r>
      </m:oMath>
    </w:p>
    <w:p>
      <w:pPr>
        <w:spacing w:after="120" w:line="360" w:lineRule="auto"/>
        <w:ind w:firstLine="480"/>
      </w:pPr>
      <w:r>
        <w:rPr>
          <w:b w:val="0"/>
          <w:sz w:val="24"/>
        </w:rPr>
        <w:t>直接按 P 排序行 i 实际按 u_i K_ij v_j 排序：目标侧对偶缩放 v_j 乘性进入行排序。定义行向分数 S^row_ij = P_ij / c_j 与列向分数 S^col_ij = P_ij / r_i（c_j、r_i 为列/行实现质量），互选前 k（k = 5）输出边。</w:t>
      </w:r>
    </w:p>
    <w:p>
      <w:pPr>
        <w:spacing w:after="120" w:line="360" w:lineRule="auto"/>
        <w:ind w:firstLine="480"/>
      </w:pPr>
      <w:r>
        <w:rPr>
          <w:b/>
          <w:sz w:val="24"/>
        </w:rPr>
        <w:t>命题 1（方向双重消除）。</w:t>
      </w:r>
      <w:r>
        <w:rPr>
          <w:b w:val="0"/>
          <w:sz w:val="24"/>
        </w:rPr>
        <w:t>设 P = diag(u) K diag(v) 且 u_i, v_j, K_ij &gt; 0，则</w:t>
      </w:r>
    </w:p>
    <w:p>
      <w:pPr>
        <w:spacing w:before="80" w:after="80"/>
        <w:jc w:val="center"/>
      </w:pPr>
      <m:oMath>
        <m:sSubSup>
          <m:r>
            <m:t>S</m:t>
          </m:r>
          <m:r>
            <m:t>ij</m:t>
          </m:r>
          <m:r>
            <m:t>row</m:t>
          </m:r>
        </m:sSubSup>
        <m:r>
          <m:t> = </m:t>
        </m:r>
        <m:f>
          <m:num>
            <m:sSub>
              <m:r>
                <m:t>u</m:t>
              </m:r>
              <m:r>
                <m:t>i</m:t>
              </m:r>
            </m:sSub>
            <m:r>
              <m:t> </m:t>
            </m:r>
            <m:sSub>
              <m:r>
                <m:t>K</m:t>
              </m:r>
              <m:r>
                <m:t>ij</m:t>
              </m:r>
            </m:sSub>
          </m:num>
          <m:den>
            <m:nary>
              <m:naryPr>
                <m:chr m:val="∑"/>
                <m:limLoc m:val="undOvr"/>
              </m:naryPr>
              <m:sub>
                <m:r>
                  <m:t>l</m:t>
                  <m:rPr>
                    <m:sty m:val="p"/>
                  </m:rPr>
                </m:r>
              </m:sub>
              <m:sup/>
              <m:e>
                <m:sSub>
                  <m:r>
                    <m:t>u</m:t>
                  </m:r>
                  <m:r>
                    <m:t>l</m:t>
                  </m:r>
                </m:sSub>
                <m:r>
                  <m:t> </m:t>
                </m:r>
                <m:sSub>
                  <m:r>
                    <m:t>K</m:t>
                  </m:r>
                  <m:r>
                    <m:t>lj</m:t>
                  </m:r>
                </m:sSub>
              </m:e>
            </m:nary>
          </m:den>
        </m:f>
      </m:oMath>
    </w:p>
    <w:p>
      <w:pPr>
        <w:spacing w:before="80" w:after="80"/>
        <w:jc w:val="center"/>
      </w:pPr>
      <m:oMath>
        <m:sSubSup>
          <m:r>
            <m:t>S</m:t>
          </m:r>
          <m:r>
            <m:t>ij</m:t>
          </m:r>
          <m:r>
            <m:t>col</m:t>
          </m:r>
        </m:sSubSup>
        <m:r>
          <m:t> = </m:t>
        </m:r>
        <m:f>
          <m:num>
            <m:sSub>
              <m:r>
                <m:t>K</m:t>
              </m:r>
              <m:r>
                <m:t>ij</m:t>
              </m:r>
            </m:sSub>
            <m:r>
              <m:t> </m:t>
            </m:r>
            <m:sSub>
              <m:r>
                <m:t>v</m:t>
              </m:r>
              <m:r>
                <m:t>j</m:t>
              </m:r>
            </m:sSub>
          </m:num>
          <m:den>
            <m:nary>
              <m:naryPr>
                <m:chr m:val="∑"/>
                <m:limLoc m:val="undOvr"/>
              </m:naryPr>
              <m:sub>
                <m:r>
                  <m:t>l</m:t>
                  <m:rPr>
                    <m:sty m:val="p"/>
                  </m:rPr>
                </m:r>
              </m:sub>
              <m:sup/>
              <m:e>
                <m:sSub>
                  <m:r>
                    <m:t>K</m:t>
                  </m:r>
                  <m:r>
                    <m:t>il</m:t>
                  </m:r>
                </m:sSub>
                <m:r>
                  <m:t> </m:t>
                </m:r>
                <m:sSub>
                  <m:r>
                    <m:t>v</m:t>
                  </m:r>
                  <m:r>
                    <m:t>l</m:t>
                  </m:r>
                </m:sSub>
              </m:e>
            </m:nary>
          </m:den>
        </m:f>
      </m:oMath>
    </w:p>
    <w:p>
      <w:pPr>
        <w:spacing w:after="120" w:line="360" w:lineRule="auto"/>
        <w:ind w:firstLine="480"/>
      </w:pPr>
      <w:r>
        <w:rPr>
          <w:b w:val="0"/>
          <w:sz w:val="24"/>
        </w:rPr>
        <w:t>即行向条件分数精确消去目标侧公共缩放 v，列向精确消去 u。证明：c_j = Σ_l u_l K_lj v_j = v_j Σ_l u_l K_lj，代入即得；列向对称。</w:t>
      </w:r>
    </w:p>
    <w:p>
      <w:pPr>
        <w:spacing w:after="120" w:line="360" w:lineRule="auto"/>
        <w:ind w:firstLine="480"/>
      </w:pPr>
      <w:r>
        <w:rPr>
          <w:b/>
          <w:sz w:val="24"/>
        </w:rPr>
        <w:t>含义。</w:t>
      </w:r>
      <w:r>
        <w:rPr>
          <w:b w:val="0"/>
          <w:sz w:val="24"/>
        </w:rPr>
        <w:t>条件解码是</w:t>
      </w:r>
      <w:r>
        <w:rPr>
          <w:b/>
          <w:sz w:val="24"/>
        </w:rPr>
        <w:t>双重消除而非核恢复</w:t>
      </w:r>
      <w:r>
        <w:rPr>
          <w:b w:val="0"/>
          <w:sz w:val="24"/>
        </w:rPr>
        <w:t>：不精确恢复 K，保留对侧竞争；恒等式对平衡与非平衡熵 OT 同形式成立（不具 UOT 特有性），是标准 Sinkhorn 结构的直接推论，本文不作新型归一化声明。该恒等式确立修复的代数通道；修复是否改善排序是经验问题，由第 5.2 节的预注册保留集回答。</w:t>
      </w:r>
    </w:p>
    <w:p>
      <w:pPr>
        <w:pStyle w:val="Heading2"/>
        <w:spacing w:before="200" w:after="120"/>
      </w:pPr>
      <w:r>
        <w:t>4.3 商空间分组与弃权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 xml:space="preserve">当逐对归属被证据欠定时，RC-UOT-Q 把共享桥事件键的候选归并为商空间分组 q = ([S_q], [T_q], E_q)，并按覆盖层级限定输出：A/B 层可高置信输出，C 层仅诊断，未覆盖弃权。弃权是 AML 安全特性：证据不足时保留匹配优于虚增召回 </w:t>
      </w:r>
      <w:r>
        <w:rPr>
          <w:b w:val="0"/>
          <w:sz w:val="24"/>
        </w:rPr>
        <w:t>[3]</w:t>
      </w:r>
      <w:r>
        <w:rPr>
          <w:b w:val="0"/>
          <w:sz w:val="24"/>
        </w:rPr>
        <w:t>。报告输出对应假设、层级化置信、所用/缺失证据、弃权原因与调查建议，并声明人工复核边界。Cross AML 原型（`tools/cross_aml/`）实现完整证据到报告管线。</w:t>
      </w:r>
    </w:p>
    <w:p>
      <w:pPr>
        <w:pStyle w:val="Heading1"/>
        <w:spacing w:before="280" w:after="160"/>
      </w:pPr>
      <w:r>
        <w:t>5 实验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实验围绕四个研究问题组织（RQ1–RQ4；表 1）；指标报告于固定划分与未参与模型/阈值选择的保留划分上。Celer 监督基准包含 7,296 个锚定交易对，聚合为 5,735 条 ETH 源流与 7,122 条 BNB 目标流、7,128 条监督流标签（一对一 72.32%、分流 27.51%、合流 0.17%；600/3600 秒替代窗口下流标签数扰动 ≤ ±1.1%）。</w:t>
      </w:r>
    </w:p>
    <w:p>
      <w:pPr>
        <w:spacing w:before="120" w:after="60"/>
        <w:jc w:val="center"/>
      </w:pPr>
      <w:r>
        <w:rPr>
          <w:b/>
          <w:sz w:val="21"/>
        </w:rPr>
        <w:t>表 1  研究问题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/>
            <w:r>
              <w:rPr>
                <w:b/>
                <w:sz w:val="21"/>
              </w:rPr>
              <w:t>编号</w:t>
            </w:r>
          </w:p>
        </w:tc>
        <w:tc>
          <w:tcPr>
            <w:tcW w:type="dxa" w:w="4479"/>
          </w:tcPr>
          <w:p>
            <w:r/>
            <w:r>
              <w:rPr>
                <w:b/>
                <w:sz w:val="21"/>
              </w:rPr>
              <w:t>研究问题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RQ1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非一对一对应是否要求比一对一匹配更丰富的表示？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RQ2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方向条件化解码能否修复原始传输计划的对应排序？（主实验）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RQ3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修复为何成立？哪些收益不归因于非平衡松弛？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RQ4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独立后开发期真实数据中，流级扇出问题是否存在？（仅数据审计）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</w:pPr>
      <w:r>
        <w:t>5.1 RQ1：非一对一对应是否需要更丰富的表示？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在 48 个模板 × 5 个种子（42–46）的半合成结构压力测试上（真实流提供特征锚，1→2/2→1/未匹配/诱饵结构施加其上）：RC-UOT 的密集解码计划以边包含口径覆盖真值边——分流 0.946 [0.907, 0.985]、合流 0.967 [0.913, 1.000]（表 2；图 3）；三桥忠实运行 0.950–1.000，两个一对一基线全为 0（补充材料表 S2）。{{TABLE_CAPTION:表 2  半合成压力下的边包含召回（48 模板 × 5 种子；非精确拓扑恢复）}}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b/>
                <w:sz w:val="21"/>
              </w:rPr>
              <w:t>指标</w:t>
            </w:r>
          </w:p>
        </w:tc>
        <w:tc>
          <w:tcPr>
            <w:tcW w:type="dxa" w:w="2986"/>
          </w:tcPr>
          <w:p>
            <w:r/>
            <w:r>
              <w:rPr>
                <w:b/>
                <w:sz w:val="21"/>
              </w:rPr>
              <w:t>均值</w:t>
            </w:r>
          </w:p>
        </w:tc>
        <w:tc>
          <w:tcPr>
            <w:tcW w:type="dxa" w:w="2986"/>
          </w:tcPr>
          <w:p>
            <w:r/>
            <w:r>
              <w:rPr>
                <w:b/>
                <w:sz w:val="21"/>
              </w:rPr>
              <w:t>95% CI</w:t>
            </w:r>
          </w:p>
        </w:tc>
      </w:tr>
      <w:tr>
        <w:tc>
          <w:tcPr>
            <w:tcW w:type="dxa" w:w="2986"/>
          </w:tcPr>
          <w:p>
            <w:r/>
            <w:r>
              <w:rPr>
                <w:sz w:val="21"/>
              </w:rPr>
              <w:t>分流边包含召回</w:t>
            </w:r>
          </w:p>
        </w:tc>
        <w:tc>
          <w:tcPr>
            <w:tcW w:type="dxa" w:w="2986"/>
          </w:tcPr>
          <w:p>
            <w:r/>
            <w:r>
              <w:rPr>
                <w:sz w:val="21"/>
              </w:rPr>
              <w:t>**0.946**</w:t>
            </w:r>
          </w:p>
        </w:tc>
        <w:tc>
          <w:tcPr>
            <w:tcW w:type="dxa" w:w="2986"/>
          </w:tcPr>
          <w:p>
            <w:r/>
            <w:r>
              <w:rPr>
                <w:sz w:val="21"/>
              </w:rPr>
              <w:t>[0.907, 0.985]</w:t>
            </w:r>
          </w:p>
        </w:tc>
      </w:tr>
      <w:tr>
        <w:tc>
          <w:tcPr>
            <w:tcW w:type="dxa" w:w="2986"/>
          </w:tcPr>
          <w:p>
            <w:r/>
            <w:r>
              <w:rPr>
                <w:sz w:val="21"/>
              </w:rPr>
              <w:t>合流边包含召回</w:t>
            </w:r>
          </w:p>
        </w:tc>
        <w:tc>
          <w:tcPr>
            <w:tcW w:type="dxa" w:w="2986"/>
          </w:tcPr>
          <w:p>
            <w:r/>
            <w:r>
              <w:rPr>
                <w:sz w:val="21"/>
              </w:rPr>
              <w:t>**0.967**</w:t>
            </w:r>
          </w:p>
        </w:tc>
        <w:tc>
          <w:tcPr>
            <w:tcW w:type="dxa" w:w="2986"/>
          </w:tcPr>
          <w:p>
            <w:r/>
            <w:r>
              <w:rPr>
                <w:sz w:val="21"/>
              </w:rPr>
              <w:t>[0.913, 1.000]</w:t>
            </w:r>
          </w:p>
        </w:tc>
      </w:tr>
      <w:tr>
        <w:tc>
          <w:tcPr>
            <w:tcW w:type="dxa" w:w="2986"/>
          </w:tcPr>
          <w:p>
            <w:r/>
            <w:r>
              <w:rPr>
                <w:sz w:val="21"/>
              </w:rPr>
              <w:t>每源目标命中前3率（Recall@3）</w:t>
            </w:r>
          </w:p>
        </w:tc>
        <w:tc>
          <w:tcPr>
            <w:tcW w:type="dxa" w:w="2986"/>
          </w:tcPr>
          <w:p>
            <w:r/>
            <w:r>
              <w:rPr>
                <w:sz w:val="21"/>
              </w:rPr>
              <w:t>0.481</w:t>
            </w:r>
          </w:p>
        </w:tc>
        <w:tc>
          <w:tcPr>
            <w:tcW w:type="dxa" w:w="2986"/>
          </w:tcPr>
          <w:p>
            <w:r/>
            <w:r>
              <w:rPr>
                <w:sz w:val="21"/>
              </w:rPr>
              <w:t>[0.418, 0.544]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*注：分流/合流指标在解码计划对真值边赋予正质量（≥1e-9）时即计为恢复——是密集计划上的边包含召回，非精确拓扑恢复；Recall@3 为按源宏平均的排序包含指标（完整定义见补充材料附录 D）。*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22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ructural_re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2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1"/>
        </w:rPr>
        <w:t>图 3  半合成压力下的结构表达（RQ1）：48 模板 × 5 种子的边包含召回均值与 95% CI；该指标为密集解码计划对真值边的包含，非精确拓扑恢复（表 3）。</w:t>
      </w:r>
    </w:p>
    <w:p>
      <w:pPr>
        <w:spacing w:after="120" w:line="360" w:lineRule="auto"/>
        <w:ind w:firstLine="480"/>
      </w:pPr>
      <w:r>
        <w:rPr>
          <w:b/>
          <w:sz w:val="24"/>
        </w:rPr>
        <w:t>该口径必须严格理解为边包含召回，不是精确拓扑恢复。</w:t>
      </w:r>
      <w:r>
        <w:rPr>
          <w:b w:val="0"/>
          <w:sz w:val="24"/>
        </w:rPr>
        <w:t>统一严格评估器（预测边集须与结构真值完全一致）下，五种方法在全部三桥的严格精确恢复均为 0.000；边级指标上全局校准阈值规则（F1 0.120–0.168）强于两种传输方法（≤ 0.040），RC-UOT-Q 每桥高于严格平衡 OT（精度 0.015–0.022 对 0.010–0.016）（表 3）。</w:t>
      </w:r>
    </w:p>
    <w:p>
      <w:pPr>
        <w:spacing w:before="120" w:after="60"/>
        <w:jc w:val="center"/>
      </w:pPr>
      <w:r>
        <w:rPr>
          <w:b/>
          <w:sz w:val="21"/>
        </w:rPr>
        <w:t>表 3  严格结构评估（三桥 × 五方法，48 模板 × 5 种子；精确恢复列全部为 0.000）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280"/>
          </w:tcPr>
          <w:p>
            <w:r/>
            <w:r>
              <w:rPr>
                <w:b/>
                <w:sz w:val="18"/>
              </w:rPr>
              <w:t>桥</w:t>
            </w:r>
          </w:p>
        </w:tc>
        <w:tc>
          <w:tcPr>
            <w:tcW w:type="dxa" w:w="12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1280"/>
          </w:tcPr>
          <w:p>
            <w:r/>
            <w:r>
              <w:rPr>
                <w:b/>
                <w:sz w:val="18"/>
              </w:rPr>
              <w:t>分流精确</w:t>
            </w:r>
          </w:p>
        </w:tc>
        <w:tc>
          <w:tcPr>
            <w:tcW w:type="dxa" w:w="1280"/>
          </w:tcPr>
          <w:p>
            <w:r/>
            <w:r>
              <w:rPr>
                <w:b/>
                <w:sz w:val="18"/>
              </w:rPr>
              <w:t>合流精确</w:t>
            </w:r>
          </w:p>
        </w:tc>
        <w:tc>
          <w:tcPr>
            <w:tcW w:type="dxa" w:w="1280"/>
          </w:tcPr>
          <w:p>
            <w:r/>
            <w:r>
              <w:rPr>
                <w:b/>
                <w:sz w:val="18"/>
              </w:rPr>
              <w:t>边精度</w:t>
            </w:r>
          </w:p>
        </w:tc>
        <w:tc>
          <w:tcPr>
            <w:tcW w:type="dxa" w:w="1280"/>
          </w:tcPr>
          <w:p>
            <w:r/>
            <w:r>
              <w:rPr>
                <w:b/>
                <w:sz w:val="18"/>
              </w:rPr>
              <w:t>边召回</w:t>
            </w:r>
          </w:p>
        </w:tc>
        <w:tc>
          <w:tcPr>
            <w:tcW w:type="dxa" w:w="1280"/>
          </w:tcPr>
          <w:p>
            <w:r/>
            <w:r>
              <w:rPr>
                <w:b/>
                <w:sz w:val="18"/>
              </w:rPr>
              <w:t>边 F1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Celer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Connector-style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0.026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0.026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Celer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ABCTracer-style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0.026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0.026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Celer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Threshold-MM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0.094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0.971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**0.168**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Celer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Balanced-OT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0.016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0.968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Celer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RC-UOT-Q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0.022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0.961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Multichain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Threshold-MM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0.075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0.844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**0.136**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Multichain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Balanced-OT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0.010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0.994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Multichain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RC-UOT-Q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0.015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0.983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PolyNetwork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Threshold-MM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0.065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0.997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**0.120**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PolyNetwork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Balanced-OT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0.013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1280"/>
          </w:tcPr>
          <w:p>
            <w:r/>
            <w:r>
              <w:rPr>
                <w:sz w:val="18"/>
              </w:rPr>
              <w:t>PolyNetwork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RC-UOT-Q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280"/>
          </w:tcPr>
          <w:p>
            <w:r/>
            <w:r>
              <w:rPr>
                <w:sz w:val="18"/>
              </w:rPr>
              <w:t>0.034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*注：本表为严格评估主表（一对一基线 Multichain/PolyNetwork 行与度数准确率/FP 列略，完整 15 行见补充材料表 S3）；阈值行加粗仅标注该表内边 F1 最高者，不构成对任何方法优劣的额外主张。*代码级能力审计（TEST A–F）确认：一对一解码器结构上不能输出 1→2 边集，而 RC-UOT-Q 可以，并能以质量销毁实现弃权（表 4）。</w:t>
      </w:r>
    </w:p>
    <w:p>
      <w:pPr>
        <w:spacing w:before="120" w:after="60"/>
        <w:jc w:val="center"/>
      </w:pPr>
      <w:r>
        <w:rPr>
          <w:b/>
          <w:sz w:val="21"/>
        </w:rPr>
        <w:t>表 4  方法能力表（代码级审计 + 构造测试 TEST A–F）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b/>
                <w:sz w:val="21"/>
              </w:rPr>
              <w:t>方法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分流 (1→2)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合流 (2→1)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全局分配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未匹配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Connector-style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否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部分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否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部分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ABCTracer-style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否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部分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否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部分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Threshold-MM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否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Balanced-OT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否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RC-UOT-Q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是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*注：一对一方法的"未匹配=部分"仅指拒绝级弃权；RC-UOT-Q 的"是"为质量级性质。*</w:t>
      </w:r>
    </w:p>
    <w:p>
      <w:pPr>
        <w:spacing w:after="120" w:line="360" w:lineRule="auto"/>
        <w:ind w:firstLine="480"/>
      </w:pPr>
      <w:r>
        <w:rPr>
          <w:b/>
          <w:sz w:val="24"/>
        </w:rPr>
        <w:t>结论：表示失配真实存在，运输表示弥补了它；但冻结解码点下的精确拓扑重建对所有方法都不可达，该实验证明的是表示能力，不是可操作的重建精度。</w:t>
      </w:r>
    </w:p>
    <w:p>
      <w:pPr>
        <w:pStyle w:val="Heading2"/>
        <w:spacing w:before="200" w:after="120"/>
      </w:pPr>
      <w:r>
        <w:t>5.2 RQ2（主实验）：方向条件化解码能否修复原始计划排序？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开发期诊断（种子 201–205）显示：无金额代价解码的宏边 F1 为 0.3172，而原始计划互选前 5 解码仅 0.2374，退化源于边际竞争与目标侧对偶缩放。据此预注册了条件解码器与五闸门决策树。在哈希锁定、一次性执行的未触碰保留集（种子 301–305，三桥，720 个配对模板实例；独立验证器全量重算、与执行器 1e-9 内一致）上：</w:t>
      </w:r>
    </w:p>
    <w:p>
      <w:pPr>
        <w:spacing w:after="120" w:line="360" w:lineRule="auto"/>
        <w:ind w:firstLine="480"/>
      </w:pPr>
      <w:r>
        <w:rPr>
          <w:b/>
          <w:sz w:val="24"/>
        </w:rPr>
        <w:t>主结果。</w:t>
      </w:r>
      <w:r>
        <w:rPr>
          <w:b w:val="0"/>
          <w:sz w:val="24"/>
        </w:rPr>
        <w:t>条件解码把宏平均边 F1 从 RAW_UOT_PLAN_D4 的</w:t>
      </w:r>
      <w:r>
        <w:rPr>
          <w:b/>
          <w:sz w:val="24"/>
        </w:rPr>
        <w:t>0.2350</w:t>
      </w:r>
      <w:r>
        <w:rPr>
          <w:b w:val="0"/>
          <w:sz w:val="24"/>
        </w:rPr>
        <w:t>提升到 CONDITIONAL_UOT_D4 的</w:t>
      </w:r>
      <w:r>
        <w:rPr>
          <w:b/>
          <w:sz w:val="24"/>
        </w:rPr>
        <w:t>0.3104</w:t>
      </w:r>
      <w:r>
        <w:rPr>
          <w:b w:val="0"/>
          <w:sz w:val="24"/>
        </w:rPr>
        <w:t>；</w:t>
      </w:r>
      <w:r>
        <w:rPr>
          <w:b/>
          <w:sz w:val="24"/>
        </w:rPr>
        <w:t>Δ_primary = +0.075413，配对 95% CI [0.070557, 0.080312]</w:t>
      </w:r>
      <w:r>
        <w:rPr>
          <w:b w:val="0"/>
          <w:sz w:val="24"/>
        </w:rPr>
        <w:t>，完全位于零之上（表 5；图 4）。</w:t>
      </w:r>
    </w:p>
    <w:p>
      <w:pPr>
        <w:spacing w:before="120" w:after="60"/>
        <w:jc w:val="center"/>
      </w:pPr>
      <w:r>
        <w:rPr>
          <w:b/>
          <w:sz w:val="21"/>
        </w:rPr>
        <w:t>表 5  预注册确认性保留集（种子 301–305；五个冻结解码方法）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b/>
                <w:sz w:val="21"/>
              </w:rPr>
              <w:t>方法</w:t>
            </w:r>
          </w:p>
        </w:tc>
        <w:tc>
          <w:tcPr>
            <w:tcW w:type="dxa" w:w="2239"/>
          </w:tcPr>
          <w:p>
            <w:r/>
            <w:r>
              <w:rPr>
                <w:b/>
                <w:sz w:val="21"/>
              </w:rPr>
              <w:t>边精度（宏）</w:t>
            </w:r>
          </w:p>
        </w:tc>
        <w:tc>
          <w:tcPr>
            <w:tcW w:type="dxa" w:w="2239"/>
          </w:tcPr>
          <w:p>
            <w:r/>
            <w:r>
              <w:rPr>
                <w:b/>
                <w:sz w:val="21"/>
              </w:rPr>
              <w:t>边召回（宏）</w:t>
            </w:r>
          </w:p>
        </w:tc>
        <w:tc>
          <w:tcPr>
            <w:tcW w:type="dxa" w:w="2239"/>
          </w:tcPr>
          <w:p>
            <w:r/>
            <w:r>
              <w:rPr>
                <w:b/>
                <w:sz w:val="21"/>
              </w:rPr>
              <w:t>边 F1（宏）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21"/>
              </w:rPr>
              <w:t>**RAW_UOT_PLAN_D4**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0.1476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0.5975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0.2350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21"/>
              </w:rPr>
              <w:t>**CONDITIONAL_UOT_D4**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0.1926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0.8009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0.3104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21"/>
              </w:rPr>
              <w:t>AMOUNT_FREE_COST_D4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0.1896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0.7882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0.3055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21"/>
              </w:rPr>
              <w:t>CONDITIONAL_BOT_D4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0.1927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0.8016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0.3106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21"/>
              </w:rPr>
              <w:t>SUPPORT_PLUS_K_D4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0.1862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0.7734</w:t>
            </w:r>
          </w:p>
        </w:tc>
        <w:tc>
          <w:tcPr>
            <w:tcW w:type="dxa" w:w="2239"/>
          </w:tcPr>
          <w:p>
            <w:r/>
            <w:r>
              <w:rPr>
                <w:sz w:val="21"/>
              </w:rPr>
              <w:t>0.2999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*注：主对比为 CONDITIONAL_UOT_D4 − RAW_UOT_PLAN_D4（加粗两行）；Δ_primary = +0.075413，配对 95% CI [0.070557, 0.080312]（B = 4,000，RandomState(20240101)）；CONDITIONAL_BOT_D4 与 CONDITIONAL_UOT_D4 相差 −0.0003、CI 含零。数字转录自冻结合并层记录，原始逐种子产物未访问。*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244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f_conditional_plan_confirma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4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1"/>
        </w:rPr>
        <w:t>图 4  预注册确认性保留集（RQ2，主结果）：(a) 五个冻结解码方法的宏边 F1，主对比 CONDITIONAL_UOT_D4 对 RAW_UOT_PLAN_D4（Δ = +0.0754 [0.0706, 0.0803]）；(b) 逐桥与宏配对 Δ 及 95% CI，全部为正；(c) 五项预注册机制方向变化全部指向修复方向。CONDITIONAL_BOT_D4 与 CONDITIONAL_UOT_D4 相差 −0.0003、CI 含零，本图不暗示 UOT 优于 BOT。</w:t>
      </w:r>
    </w:p>
    <w:p>
      <w:pPr>
        <w:spacing w:after="120" w:line="360" w:lineRule="auto"/>
        <w:ind w:firstLine="480"/>
      </w:pPr>
      <w:r>
        <w:rPr>
          <w:b/>
          <w:sz w:val="24"/>
        </w:rPr>
        <w:t>边界。</w:t>
      </w:r>
      <w:r>
        <w:rPr>
          <w:b w:val="0"/>
          <w:sz w:val="24"/>
        </w:rPr>
        <w:t>相对直接核/支撑解码的传输计划级增量为正但小（Δ_cost = +0.0048 [0.0013, 0.0089]；Δ_support = +0.0104 [0.0062, 0.0152]）——传输求解是表示机制而非相对自身核的大幅增益；TYPE A 是三桥宏分类（PolyNetwork 二级对比为负：−0.0043 [−0.0065, −0.0024]）。平衡与非平衡条件解码相差 −0.0003（未舍入 −0.0002688；95% CI [−0.0018, +0.0012] 含零）：</w:t>
      </w:r>
      <w:r>
        <w:rPr>
          <w:b/>
          <w:sz w:val="24"/>
        </w:rPr>
        <w:t>非平衡松弛本身的收益未建立。</w:t>
      </w:r>
    </w:p>
    <w:p>
      <w:pPr>
        <w:pStyle w:val="Heading2"/>
        <w:spacing w:before="200" w:after="120"/>
      </w:pPr>
      <w:r>
        <w:t>5.3 RQ3：修复为何成立，以及哪些收益不归因于 UOT？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机制证据（RQ2 的五项方向指标）与诊断（开发期均匀边际干预恢复代价上限）共同支持"条件归一化修复对偶缩放与边际压力相关的排序损伤"这一解释。组件压力阶梯（种子 101–103）进一步表明：时间因果与未匹配质量是所隔离项中最敏感的两项；非平衡松弛的优势表现为相对平衡 OT 的一致水平偏移（各压力级），而非斜率差异。风险项的孤立贡献未量化。</w:t>
      </w:r>
    </w:p>
    <w:p>
      <w:pPr>
        <w:pStyle w:val="Heading2"/>
        <w:spacing w:before="200" w:after="120"/>
      </w:pPr>
      <w:r>
        <w:t>5.4 RQ4：真实数据中问题是否存在（仅数据审计）？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独立后开发期 Celer 语料（2024-05-20 至 2025-05-19；协议原生关联 Send.transferId == Relay.srcTransferId；与 359,256 条历史交易身份零交集）仅做数据组装：32,905 个协议原生锚定、25,621 条唯一流级真值边、2,451 个 Tier-A 扇出单元（度 ≤ 5：2,425；&gt; 5：26）、85 个合流单元、359.98 天跨度（表 6）。</w:t>
      </w:r>
    </w:p>
    <w:p>
      <w:pPr>
        <w:spacing w:before="120" w:after="60"/>
        <w:jc w:val="center"/>
      </w:pPr>
      <w:r>
        <w:rPr>
          <w:b/>
          <w:sz w:val="21"/>
        </w:rPr>
        <w:t>表 6  独立时间数据审计（仅数据；未运行任何方法）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/>
            <w:r>
              <w:rPr>
                <w:b/>
                <w:sz w:val="21"/>
              </w:rPr>
              <w:t>量</w:t>
            </w:r>
          </w:p>
        </w:tc>
        <w:tc>
          <w:tcPr>
            <w:tcW w:type="dxa" w:w="4479"/>
          </w:tcPr>
          <w:p>
            <w:r/>
            <w:r>
              <w:rPr>
                <w:b/>
                <w:sz w:val="21"/>
              </w:rPr>
              <w:t>值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协议原生锚定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**32,905**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唯一流级真值边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**25,621**（重复唯一边 0）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Tier-A 源级扇出单元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**2,451**（度 ≤ 5：2,425；度 &gt; 5：26）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合流单元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**85**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时间跨度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**359.98 天**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独立主地址簇（G）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**7**（[910, 587, 452, 432, 60, 8, 2]）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最大簇占比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**0.371277**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预注册充分性门槛（G ≥ 8）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**未满足**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方法预测 / 性能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**无**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*注：v4 仅数据包；预测盲、按溯源归档、非评估总体；本表是数据审计而非验证排行榜。*这些单元集中于 7 个独立主地址簇（最大占比 0.371277），低于预注册充分性门槛 G ≥ 8。G 度量的是独立行为来源多样性而非流数量；门槛是预指定的保守充分性判据，不是普适统计阈值。由于 G = 7 &lt; 8，未生成任何方法预测，也未作外部性能声明；该审计是问题有效性证据，与 301–305 保留集是不同实验。完整论证见补充材料附录 B。</w:t>
      </w:r>
    </w:p>
    <w:p>
      <w:pPr>
        <w:pStyle w:val="Heading2"/>
        <w:spacing w:before="200" w:after="120"/>
      </w:pPr>
      <w:r>
        <w:t>5.5 基线与原型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在开发封存流压力保留集（292–311）上，RC-UOT-Q 相对两个风格适配诊断基线改善精度与 F1（0.192/0.316 对 0.113/0.195 与 0.100/0.181；点估计、无 CI、探索性；表 7）。</w:t>
      </w:r>
    </w:p>
    <w:p>
      <w:pPr>
        <w:spacing w:before="120" w:after="60"/>
        <w:jc w:val="center"/>
      </w:pPr>
      <w:r>
        <w:rPr>
          <w:b/>
          <w:sz w:val="21"/>
        </w:rPr>
        <w:t>表 7  开发封存流压力保留集上的基线对比（校准不对称已在正文披露）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b/>
                <w:sz w:val="21"/>
              </w:rPr>
              <w:t>方法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精度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召回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F1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ECE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**RC-UOT-Q**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**0.192**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0.900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**0.316**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0.028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启发式适配（Connector 启发）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0.113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0.718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0.195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0.060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风格适配（ABCTracer 启发）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0.100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0.975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0.181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0.018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*注：非原版系统运行；单一划分点估计；本表为诊断对照而非同预算排行榜。</w:t>
      </w:r>
      <w:r>
        <w:rPr>
          <w:b/>
          <w:sz w:val="24"/>
        </w:rPr>
        <w:t>*校准不对称披露：</w:t>
      </w:r>
      <w:r>
        <w:rPr>
          <w:b w:val="0"/>
          <w:sz w:val="24"/>
        </w:rPr>
        <w:t>拟议方法拥有开发调参预算（dev 52–71 训练重排序器、阈值 τ = 0.7796、解码器选择），两个适配基线为零预算（固定常量、无开发选择步骤）；因此该比较定位为诊断/结构/原生语义对照，不是同预算排行榜。原版 Connector 在原生闭集语义下 F1 0.9736（上界原生诊断，非开放世界检索；表 8 与补充材料附录 A）；</w:t>
      </w:r>
    </w:p>
    <w:p>
      <w:pPr>
        <w:spacing w:before="120" w:after="60"/>
        <w:jc w:val="center"/>
      </w:pPr>
      <w:r>
        <w:rPr>
          <w:b/>
          <w:sz w:val="21"/>
        </w:rPr>
        <w:t>表 8  Connector 原生闭集诊断与对称掩码适用性（摘要；完整梯子见补充材料表 S4）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b/>
                <w:sz w:val="21"/>
              </w:rPr>
              <w:t>掩码层级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Connector F1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Connector 状态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RC-UOT-Q 联合 F1</w:t>
            </w:r>
          </w:p>
        </w:tc>
        <w:tc>
          <w:tcPr>
            <w:tcW w:type="dxa" w:w="1792"/>
          </w:tcPr>
          <w:p>
            <w:r/>
            <w:r>
              <w:rPr>
                <w:b/>
                <w:sz w:val="21"/>
              </w:rPr>
              <w:t>RC-UOT-Q tx-CVR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full_native（闭集）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**0.9736**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接受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0.7085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id_anchor_masked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0.9736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接受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0.7086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no_receiver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N/A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阻塞（必需 receiver）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0.7001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no_amount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0.0000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金额掩码后零预测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0.3714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21"/>
              </w:rPr>
              <w:t>no_receiver_no_amount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N/A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阻塞（必需 receiver）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0.3752</w:t>
            </w:r>
          </w:p>
        </w:tc>
        <w:tc>
          <w:tcPr>
            <w:tcW w:type="dxa" w:w="1792"/>
          </w:tcPr>
          <w:p>
            <w:r/>
            <w:r>
              <w:rPr>
                <w:sz w:val="21"/>
              </w:rPr>
              <w:t>0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*注：Connector 候选池为闭集（7,296 个候选等于真值目标哈希集），故 full_native 分数为上界原生诊断而非开放世界检索；阻塞行（N/A）为适用性结果而非 F1 = 0；本表是适用性曲线而非排行榜。*在对称掩码梯子下，移除 receiver/amount 会使 Connector 阻塞或零预测，而 RC-UOT-Q 保持可评估且交易级时间因果违例率恒为 0。122 个覆盖保留对上的商空间一致性结果（P/R/F1 = 1.000）是同一协议原生 transferId 规则下的定义一致性核查，不是独立精度证据（补充材料表 S1）。Cross AML 原型完成 dry-run 证据到报告端到端验证。</w:t>
      </w:r>
    </w:p>
    <w:p>
      <w:pPr>
        <w:pStyle w:val="Heading1"/>
        <w:spacing w:before="280" w:after="160"/>
      </w:pPr>
      <w:r>
        <w:t>6 讨论</w:t>
      </w:r>
    </w:p>
    <w:p>
      <w:pPr>
        <w:pStyle w:val="Heading2"/>
        <w:spacing w:before="200" w:after="120"/>
      </w:pPr>
      <w:r>
        <w:t>6.1 结果确立了什么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三件事：其一，非一对一对应需要运输表示（RQ1）；其二，原始计划排序存在可诊断、可修复的失真，且修复在三桥预注册保留集上确认（RQ2，主结果）；其三，问题在独立真实数据中确实存在（RQ4）。同时确立的边界是：精确拓扑重建仍困难、结构点精度低、非平衡松弛无特有增益、外部方法性能未建立。</w:t>
      </w:r>
    </w:p>
    <w:p>
      <w:pPr>
        <w:pStyle w:val="Heading2"/>
        <w:spacing w:before="200" w:after="120"/>
      </w:pPr>
      <w:r>
        <w:t>6.2 取证含义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覆盖资质与弃权把"证据不足就不下结论"写进系统行为；高置信子集（联合时间可采过滤：精度 0.889、对 F1 0.708、覆盖 0.845、交易级时间因果违例率 0）可作为分诊输出供调查者复核，而流压力操作点（精度 0.192）只作为表示与排序卫生证据。v4 的扇出集中于少数聚合器账户这一观察，提示调查中可优先对这类账户取证（描述性观察，非泛化主张）。</w:t>
      </w:r>
    </w:p>
    <w:p>
      <w:pPr>
        <w:pStyle w:val="Heading2"/>
        <w:spacing w:before="200" w:after="120"/>
      </w:pPr>
      <w:r>
        <w:t>6.3 表示能力 vs 可操作重建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本文建立的是表示能力与解码排序修复，</w:t>
      </w:r>
      <w:r>
        <w:rPr>
          <w:b/>
          <w:sz w:val="24"/>
        </w:rPr>
        <w:t>不是</w:t>
      </w:r>
      <w:r>
        <w:rPr>
          <w:b w:val="0"/>
          <w:sz w:val="24"/>
        </w:rPr>
        <w:t>可部署的自动结构重建：高召回结构点解码精度约 0.02，严格精确恢复为 0，校准阈值规则在边 F1 上更强。与交易级追踪器是互补部署：召回导向检索拓宽候选池，RC-UOT-Q 排序并限定流级假设。</w:t>
      </w:r>
    </w:p>
    <w:p>
      <w:pPr>
        <w:pStyle w:val="Heading2"/>
        <w:spacing w:before="200" w:after="120"/>
      </w:pPr>
      <w:r>
        <w:t>6.4 为什么不断言 UOT 优越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平衡与非平衡条件解码差异 −0.0003（CI 含零）。非平衡松弛的动机是未匹配质量、部分/开放世界对应与弃权兼容建模，而非已被证明的排序优越性。</w:t>
      </w:r>
    </w:p>
    <w:p>
      <w:pPr>
        <w:pStyle w:val="Heading2"/>
        <w:spacing w:before="200" w:after="120"/>
      </w:pPr>
      <w:r>
        <w:t>6.5 外部有效性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v3 外部执行在取得有效性能前失败（实现缺陷与零边际求解器域缺陷），未重跑；修复仅在非测试数据上验证。v4 语料未达 G ≥ 8，未运行方法。因此</w:t>
      </w:r>
      <w:r>
        <w:rPr>
          <w:b/>
          <w:sz w:val="24"/>
        </w:rPr>
        <w:t>外部方法性能未建立</w:t>
      </w:r>
      <w:r>
        <w:rPr>
          <w:b w:val="0"/>
          <w:sz w:val="24"/>
        </w:rPr>
        <w:t>；完整执行历史见补充材料附录 C 与可复现性说明。</w:t>
      </w:r>
    </w:p>
    <w:p>
      <w:pPr>
        <w:pStyle w:val="Heading2"/>
        <w:spacing w:before="200" w:after="120"/>
      </w:pPr>
      <w:r>
        <w:t>6.6 局限与未来工作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局限：外部方法性能未建立；v4 仅 7 个独立簇；真实 N→1 证据有限（85 个合流单元）；半合成结构压力测试仍属必要；严格精确恢复为 0；解码器固定 k = 5；机制指标为观测性。未来方向：(1) 充分多样独立语料上的评估；(2) 更强的拓扑感知解码；(3) 跨协议证据融合；(4) 调查者在环的分诊研究。任何未来外部验证需新的独立科学问题与新预注册。</w:t>
      </w:r>
    </w:p>
    <w:p>
      <w:pPr>
        <w:pStyle w:val="Heading1"/>
        <w:spacing w:before="280" w:after="160"/>
      </w:pPr>
      <w:r>
        <w:t>7 结论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跨链取证要求把对应问题从"交易对"提升到"资金流"。本文提出 CSFFC 与 RC-UOT/RC-UOT-Q：以运输表示表达非一对一对应，以方向条件化解码修复原始计划排序失真（双重消除分析作为标准 Sinkhorn 结构的直接推论）。三桥预注册确认性保留集确认修复：宏平均边 F1 由 0.2350 提升至 0.3104（Δ = +0.075413，95% CI [0.070557, 0.080312]），三桥全为正；结构实验确认表示能力同时如实报告精确重建边界；独立数据审计确认问题真实性并保留外部性能未建立的边界。本文发布 Cross AML 原型作为分诊工具。面向充分多样独立语料的方法性能评估是明确的未来工作。</w:t>
      </w:r>
    </w:p>
    <w:p/>
    <w:p>
      <w:pPr>
        <w:pStyle w:val="Heading1"/>
        <w:spacing w:before="280" w:after="160"/>
      </w:pPr>
      <w:r>
        <w:t>补充材料（中文，与英文 Supplement 对应）</w:t>
      </w:r>
    </w:p>
    <w:p>
      <w:pPr>
        <w:pStyle w:val="Heading2"/>
        <w:spacing w:before="200" w:after="120"/>
      </w:pPr>
      <w:r>
        <w:t>表 S1 覆盖限定商空间核查（122 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/>
            <w:r>
              <w:rPr>
                <w:b/>
                <w:sz w:val="21"/>
              </w:rPr>
              <w:t>指标</w:t>
            </w:r>
          </w:p>
        </w:tc>
        <w:tc>
          <w:tcPr>
            <w:tcW w:type="dxa" w:w="4479"/>
          </w:tcPr>
          <w:p>
            <w:r/>
            <w:r>
              <w:rPr>
                <w:b/>
                <w:sz w:val="21"/>
              </w:rPr>
              <w:t>值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覆盖保留对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**122**（44 正 / 78 负）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覆盖精度 / 召回 / F1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**1.000 / 1.000 / 1.000**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覆盖 AUROC / AUPRC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1.000 / 1.000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ECE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0.000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事件支撑投影覆盖率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**≈0.792**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</w:pPr>
      <w:r>
        <w:rPr>
          <w:b w:val="0"/>
          <w:sz w:val="24"/>
        </w:rPr>
        <w:t>*该结果基于同一协议原生 transferId 关联规则：覆盖对标签与冻结桥转移键规则同键，P/R/F1 = 1.000 是覆盖商空间投影上的定义一致性核查，不作独立精度或外部性能证据；覆盖率 0.792 在闸门参照种子 52–57 上计算。*</w:t>
      </w:r>
    </w:p>
    <w:p>
      <w:pPr>
        <w:pStyle w:val="Heading2"/>
        <w:spacing w:before="200" w:after="120"/>
      </w:pPr>
      <w:r>
        <w:t>表 S3 严格评估全表（15 行）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在正文表 3 基础上补全一对一基线行（Multichain/PolyNetwork 各 2 行：Connector-style、ABCTracer-style，精确恢复与边 P/R/F1 均为 0.000）与度数准确率/FP 列（Celer：5.84/5.84/67.7/680.8/539.0；Multichain：6.00/5.80/71.0/1069.6/925.4；PolyNetwork：6.00/6.00/107.5/852.8/743.6，按表内方法顺序）。</w:t>
      </w:r>
    </w:p>
    <w:p>
      <w:pPr>
        <w:pStyle w:val="Heading2"/>
        <w:spacing w:before="200" w:after="120"/>
      </w:pPr>
      <w:r>
        <w:t>表 S4 对称掩码完整梯子（34 层中的代表性 5 层，同正文表 8）+ RC-UOT-Q 全部 34 层 tx-CVR = 0 的说明</w:t>
      </w:r>
    </w:p>
    <w:p>
      <w:pPr>
        <w:pStyle w:val="Heading2"/>
        <w:spacing w:before="200" w:after="120"/>
      </w:pPr>
      <w:r>
        <w:t>表 S6 机制阶梯数字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/>
            <w:r>
              <w:rPr>
                <w:b/>
                <w:sz w:val="21"/>
              </w:rPr>
              <w:t>阶梯 / 量</w:t>
            </w:r>
          </w:p>
        </w:tc>
        <w:tc>
          <w:tcPr>
            <w:tcW w:type="dxa" w:w="4479"/>
          </w:tcPr>
          <w:p>
            <w:r/>
            <w:r>
              <w:rPr>
                <w:b/>
                <w:sz w:val="21"/>
              </w:rPr>
              <w:t>关键值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干净条件（0% 失配）边 F1（Celer/Multi/Poly，平衡 vs RC-UOT-Q）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0.070 vs 0.110；0.032 vs 0.047；0.033 vs 0.045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质量失配（Celer 精度，平衡 vs RC-UOT-Q；阈值）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0.043→0.024；0.068→0.037；0.142→0.155（F1：0.070→0.044 vs 0.110→0.064）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未匹配比 40%（Celer 精度：阈值/平衡/RC-UOT-Q）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0.142→0.086；0.043→0.029；0.068→0.035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诱饵密度 k=1→8（Celer 每模板 FP；精度）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阈值 26.3→223.6（+750%，精度 0.182→0.061）；平衡 266→1006；RC-UOT-Q 211→714</w:t>
            </w:r>
          </w:p>
        </w:tc>
      </w:tr>
      <w:tr>
        <w:tc>
          <w:tcPr>
            <w:tcW w:type="dxa" w:w="4479"/>
          </w:tcPr>
          <w:p>
            <w:r/>
            <w:r>
              <w:rPr>
                <w:sz w:val="21"/>
              </w:rPr>
              <w:t>时间戳噪声 1–4×（Celer F1：阈值/平衡/RC-UOT-Q）</w:t>
            </w:r>
          </w:p>
        </w:tc>
        <w:tc>
          <w:tcPr>
            <w:tcW w:type="dxa" w:w="4479"/>
          </w:tcPr>
          <w:p>
            <w:r/>
            <w:r>
              <w:rPr>
                <w:sz w:val="21"/>
              </w:rPr>
              <w:t>0.242→0.241；0.070→0.065；0.110→0.101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</w:pPr>
      <w:r>
        <w:t>表 S7 固定延迟锚定审计（关键行）</w:t>
      </w:r>
    </w:p>
    <w:p>
      <w:pPr>
        <w:spacing w:after="120" w:line="360" w:lineRule="auto"/>
        <w:ind w:firstLine="480"/>
      </w:pPr>
      <w:r>
        <w:rPr>
          <w:b w:val="0"/>
          <w:sz w:val="24"/>
        </w:rPr>
        <w:t>联合时间可采过滤（高置信取证）：精度 0.889、对 F1 0.708、覆盖 0.845、弃权率 0.338、交易延迟中位数 196.000 秒、TP 4295、FP 534、弃权 2467、未恢复真值 3001；top3 救援：对 F1 0.590、tx-CVR 0.005、覆盖 0.996、延迟中位数 227.000 秒、TP 4297、FP 2985、弃权 14；原始投影：对 F1 0.589、top-3 召回 0.658、tx-CVR 0.338、延迟中位数 166.000 秒、TP 4295、FP 3001；置换标签对照全 0（top-3 0.002；TP 1、FP 7295）；五种实验（baseline/leave_key_out/leave_anchor_out_strict/fake_anchor_probe/permuted）数值一致、禁用特征残留 = 0。</w:t>
      </w:r>
    </w:p>
    <w:p>
      <w:pPr>
        <w:pStyle w:val="Heading2"/>
        <w:spacing w:before="200" w:after="120"/>
      </w:pPr>
      <w:r>
        <w:t>附录 A Connector 原生闭集诊断（F1 0.9736；6,954 预测/6,937 正确/342 无匹配；Route A v2 差异 0；v1 拒绝 0.9953）｜附录 B G ≥ 8 长版论证｜附录 C 度量定义（边包含召回/Recall@3/严格精确恢复/tx-CVR/覆盖与弃权分母/配对分层 CI）｜附录 D 确认性协议（候选 sha256、k=5、reg/reg_m、五闸门、1e-9 独立重算、FP/template 1.0511、FN/template 0.4945）｜附录 E v3/v4 外部验证历史｜附录 F 可复现性哈希｜附录 G 命题完整推导与零支撑修复｜附录 H 基线参数来源（Connector-style/ABCTracer-style = C、Threshold-MM = C 作者校准协议、BOT = B）｜附录 I 严格全零列的三个已审计原因｜附录 J 定位小结。以上各附录中文内容与 `3/tifs_reference_rebuild_r3/latex/supplementary_r3.tex` 一一对应（英文版为权威排版，中文为审阅对照）。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line="300" w:lineRule="auto" w:after="60"/>
        <w:ind w:left="420" w:hanging="420"/>
      </w:pPr>
      <w:r>
        <w:rPr>
          <w:sz w:val="21"/>
        </w:rPr>
        <w:t>[1] Chainalysis. 2024 Crypto Money Laundering Report. Industry report, 2024. https://www.chainalysis.com/blog/2024-crypto-money-laundering/.</w:t>
      </w:r>
    </w:p>
    <w:p>
      <w:pPr>
        <w:spacing w:line="300" w:lineRule="auto" w:after="60"/>
        <w:ind w:left="420" w:hanging="420"/>
      </w:pPr>
      <w:r>
        <w:rPr>
          <w:sz w:val="21"/>
        </w:rPr>
        <w:t>[2] Elliptic. The State of Cross-Chain Crime. Industry report, 2023. https://www.elliptic.co/resources/state-of-cross-chain-crime-2023.</w:t>
      </w:r>
    </w:p>
    <w:p>
      <w:pPr>
        <w:spacing w:line="300" w:lineRule="auto" w:after="60"/>
        <w:ind w:left="420" w:hanging="420"/>
      </w:pPr>
      <w:r>
        <w:rPr>
          <w:sz w:val="21"/>
        </w:rPr>
        <w:t>[3] Financial Action Task Force (FATF). Targeted Update on Implementation of the FATF Standards on Virtual Assets and Virtual Asset Service Providers. FATF, 2023. https://www.fatf-gafi.org/en/publications/Fatfrecommendations/Targeted-update-virtual-assets-vasps.html.</w:t>
      </w:r>
    </w:p>
    <w:p>
      <w:pPr>
        <w:spacing w:line="300" w:lineRule="auto" w:after="60"/>
        <w:ind w:left="420" w:hanging="420"/>
      </w:pPr>
      <w:r>
        <w:rPr>
          <w:sz w:val="21"/>
        </w:rPr>
        <w:t>[4] Lin, Dan, Wu, Jiajing, Su, Yuxin, Zheng, Ziye, Nan, Yuhong, Zhang, Qinnan, Song, Bowen, Zheng, Zibin. CONNECTOR: Enhancing the Traceability of Decentralized Bridge Applications via Automatic Cross-Chain Transaction Association. IEEE Transactions on Information Forensics and Security, 2025, 20: 7588--7601. DOI: 10.1109/TIFS.2025.3561234.</w:t>
      </w:r>
    </w:p>
    <w:p>
      <w:pPr>
        <w:spacing w:line="300" w:lineRule="auto" w:after="60"/>
        <w:ind w:left="420" w:hanging="420"/>
      </w:pPr>
      <w:r>
        <w:rPr>
          <w:sz w:val="21"/>
        </w:rPr>
        <w:t>[5] Lin, Dan, Zheng, Ziye, Wu, Jiajing, Yang, Jingjing, Lin, Kaixin, Xiao, Huan, Song, Bowen, Zheng, Zibin. Track and Trace: Automatically Uncovering Cross-Chain Transactions in the Multi-Blockchain Ecosystems. arXiv preprint arXiv:2504.01822, 2025. https://arxiv.org/abs/2504.01822.</w:t>
      </w:r>
    </w:p>
    <w:p>
      <w:pPr>
        <w:spacing w:line="300" w:lineRule="auto" w:after="60"/>
        <w:ind w:left="420" w:hanging="420"/>
      </w:pPr>
      <w:r>
        <w:rPr>
          <w:sz w:val="21"/>
        </w:rPr>
        <w:t>[6] Meiklejohn, Sarah, Pomarole, Marjori, Jordan, Grant, Levchenko, Kirill, McCoy, Damon, Voelker, Geoffrey M., Savage, Stefan. A Fistful of Bitcoins: Characterizing Payments Among Men with No Names. Proceedings of the 2013 Internet Measurement Conference (IMC), 2013, pp. 127--140. DOI: 10.1145/2504730.2504747.</w:t>
      </w:r>
    </w:p>
    <w:p>
      <w:pPr>
        <w:spacing w:line="300" w:lineRule="auto" w:after="60"/>
        <w:ind w:left="420" w:hanging="420"/>
      </w:pPr>
      <w:r>
        <w:rPr>
          <w:sz w:val="21"/>
        </w:rPr>
        <w:t>[7] Reid, Fergal, Harrigan, Martin. An Analysis of Anonymity in the Bitcoin System. Security and Privacy in Social Networks, 2013, pp. 197--223.</w:t>
      </w:r>
    </w:p>
    <w:p>
      <w:pPr>
        <w:spacing w:line="300" w:lineRule="auto" w:after="60"/>
        <w:ind w:left="420" w:hanging="420"/>
      </w:pPr>
      <w:r>
        <w:rPr>
          <w:sz w:val="21"/>
        </w:rPr>
        <w:t>[8] Androulaki, Elli, Karame, Ghassan O., Roeschlin, Marc, Scherer, Tobias, Capkun, Srdjan. Evaluating User Privacy in Bitcoin. Financial Cryptography and Data Security (FC), 2013, pp. 34--51.</w:t>
      </w:r>
    </w:p>
    <w:p>
      <w:pPr>
        <w:spacing w:line="300" w:lineRule="auto" w:after="60"/>
        <w:ind w:left="420" w:hanging="420"/>
      </w:pPr>
      <w:r>
        <w:rPr>
          <w:sz w:val="21"/>
        </w:rPr>
        <w:t>[9] Huang, Danny Yuxing, Aliapoulios, Maxwell Matthaios, Li, Vector Guo, Invernizzi, Luca, Bursztein, Elie, McRoberts, Kylie, Levin, Jonathan, Levchenko, Kirill, Snoeren, Alex C., McCoy, Damon. Tracking Ransomware End-to-end. IEEE Symposium on Security and Privacy (S\&amp;P), 2018.</w:t>
      </w:r>
    </w:p>
    <w:p>
      <w:pPr>
        <w:spacing w:line="300" w:lineRule="auto" w:after="60"/>
        <w:ind w:left="420" w:hanging="420"/>
      </w:pPr>
      <w:r>
        <w:rPr>
          <w:sz w:val="21"/>
        </w:rPr>
        <w:t>[10] . Sex, Drugs, and Bitcoin: How Much Illegal Activity Is Financed through Cryptocurrencies?. The Review of Financial Studies, 2019, 32(5): 1798--1853. DOI: 10.1093/rfs/hhz015.</w:t>
      </w:r>
    </w:p>
    <w:p>
      <w:pPr>
        <w:spacing w:line="300" w:lineRule="auto" w:after="60"/>
        <w:ind w:left="420" w:hanging="420"/>
      </w:pPr>
      <w:r>
        <w:rPr>
          <w:sz w:val="21"/>
        </w:rPr>
        <w:t>[11] Weber, Mark, Domeniconi, Giacomo, Chen, Jie, Weidele, Daniel Karl I., Bellei, Claudio, Robinson, Tom, Leiserson, Charles E.. Anti-Money Laundering in Bitcoin: Experimenting with Graph Convolutional Networks for Financial Forensics. Proceedings of the ACM SIGKDD Workshop on Anomaly Detection in Finance, 2019. arXiv: 1908.02591.</w:t>
      </w:r>
    </w:p>
    <w:p>
      <w:pPr>
        <w:spacing w:line="300" w:lineRule="auto" w:after="60"/>
        <w:ind w:left="420" w:hanging="420"/>
      </w:pPr>
      <w:r>
        <w:rPr>
          <w:sz w:val="21"/>
        </w:rPr>
        <w:t>[12] Pareja, Aldo, Domeniconi, Giacomo, Chen, Jie, Ma, Tengfei, Suzumura, Toyotaro, Kanezashi, Tim, Kaler, Tim, Schardl, Tao B., Leiserson, Charles E.. EvolveGCN: Evolving Graph Convolutional Networks for Dynamic Graphs. AAAI Conference on Artificial Intelligence, 2020: 5363--5370. DOI: 10.1609/aaai.v34i04.5984.</w:t>
      </w:r>
    </w:p>
    <w:p>
      <w:pPr>
        <w:spacing w:line="300" w:lineRule="auto" w:after="60"/>
        <w:ind w:left="420" w:hanging="420"/>
      </w:pPr>
      <w:r>
        <w:rPr>
          <w:sz w:val="21"/>
        </w:rPr>
        <w:t>[13] Weber, Mark, et al.. The Shape of Money Laundering: Subgraph Representation Learning on the Blockchain with the Elliptic2 Dataset. arXiv preprint arXiv:2404.19109, 2024. https://arxiv.org/abs/2404.19109.</w:t>
      </w:r>
    </w:p>
    <w:p>
      <w:pPr>
        <w:spacing w:line="300" w:lineRule="auto" w:after="60"/>
        <w:ind w:left="420" w:hanging="420"/>
      </w:pPr>
      <w:r>
        <w:rPr>
          <w:sz w:val="21"/>
        </w:rPr>
        <w:t>[14] Hamilton, Will, Ying, Zhitao, Leskovec, Jure. Inductive Representation Learning on Large Graphs. , 2017.</w:t>
      </w:r>
    </w:p>
    <w:p>
      <w:pPr>
        <w:spacing w:line="300" w:lineRule="auto" w:after="60"/>
        <w:ind w:left="420" w:hanging="420"/>
      </w:pPr>
      <w:r>
        <w:rPr>
          <w:sz w:val="21"/>
        </w:rPr>
        <w:t>[15] Wu, Zhiying, Liu, Jieli, Wu, Jiajing, Zheng, Zibin, Chen, Ting. TRacer: Scalable Graph-Based Transaction Tracing for Account-Based Blockchain Trading Systems. , 2023. DOI: 10.1109/TIFS.2023.3266162.</w:t>
      </w:r>
    </w:p>
    <w:p>
      <w:pPr>
        <w:spacing w:line="300" w:lineRule="auto" w:after="60"/>
        <w:ind w:left="420" w:hanging="420"/>
      </w:pPr>
      <w:r>
        <w:rPr>
          <w:sz w:val="21"/>
        </w:rPr>
        <w:t>[16] Chen, Weili, Guo, Xiongfeng, Chen, Zhiguang, Zheng, Zibin, Lu, Yutong. Phishing Scam Detection on Ethereum: Towards Financial Security for Blockchain Ecosystem. IJCAI, 2020.</w:t>
      </w:r>
    </w:p>
    <w:p>
      <w:pPr>
        <w:spacing w:line="300" w:lineRule="auto" w:after="60"/>
        <w:ind w:left="420" w:hanging="420"/>
      </w:pPr>
      <w:r>
        <w:rPr>
          <w:sz w:val="21"/>
        </w:rPr>
        <w:t>[17] Monamo, Pule, Marivate, Vukosi, Twala, Bhekisipho. Unsupervised Learning for Robust Bitcoin Fraud Detection. , 2016. DOI: 10.1109/AFRCON.2016.7535464.</w:t>
      </w:r>
    </w:p>
    <w:p>
      <w:pPr>
        <w:spacing w:line="300" w:lineRule="auto" w:after="60"/>
        <w:ind w:left="420" w:hanging="420"/>
      </w:pPr>
      <w:r>
        <w:rPr>
          <w:sz w:val="21"/>
        </w:rPr>
        <w:t>[18] Jourdan, Marc, Blandin, Sebastien, Wynter, Laura, Deshpande, Pralhad. Characterizing Entities in the Bitcoin Blockchain. arXiv preprint arXiv:1810.11956, 2018. arXiv: 1810.11956.</w:t>
      </w:r>
    </w:p>
    <w:p>
      <w:pPr>
        <w:spacing w:line="300" w:lineRule="auto" w:after="60"/>
        <w:ind w:left="420" w:hanging="420"/>
      </w:pPr>
      <w:r>
        <w:rPr>
          <w:sz w:val="21"/>
        </w:rPr>
        <w:t>[19] Zhang, Mengya, Zhang, Xiaokuan, Barbee, Josh, Zhang, Yinqian, Lin, Zhiqiang. SoK: Security of Cross-chain Bridges: Attack Surfaces, Defenses, and Open Problems. , 2023. arXiv: 2312.12573.</w:t>
      </w:r>
    </w:p>
    <w:p>
      <w:pPr>
        <w:spacing w:line="300" w:lineRule="auto" w:after="60"/>
        <w:ind w:left="420" w:hanging="420"/>
      </w:pPr>
      <w:r>
        <w:rPr>
          <w:sz w:val="21"/>
        </w:rPr>
        <w:t>[20] Zhou, Liyi, Xiong, Xihan, Ernstberger, Jens, Chaliasos, Stefanos, Wang, Zhipeng, Wang, Ye, Qin, Kaihua, Wattenhofer, Roger, Song, Dawn, Gervais, Arthur. SoK: Decentralized Finance (DeFi) Attacks. , 2023. arXiv: 2208.13035.</w:t>
      </w:r>
    </w:p>
    <w:p>
      <w:pPr>
        <w:spacing w:line="300" w:lineRule="auto" w:after="60"/>
        <w:ind w:left="420" w:hanging="420"/>
      </w:pPr>
      <w:r>
        <w:rPr>
          <w:sz w:val="21"/>
        </w:rPr>
        <w:t>[21] Qin, Kaihua, Zhou, Liyi, Gervais, Arthur. Quantifying Blockchain Extractable Value: How Dark Is the Forest?. IEEE Symposium on Security and Privacy (S\&amp;P), 2022.</w:t>
      </w:r>
    </w:p>
    <w:p>
      <w:pPr>
        <w:spacing w:line="300" w:lineRule="auto" w:after="60"/>
        <w:ind w:left="420" w:hanging="420"/>
      </w:pPr>
      <w:r>
        <w:rPr>
          <w:sz w:val="21"/>
        </w:rPr>
        <w:t>[22] Apostolaki, Maria, Zohar, Aviv, Vanbever, Laurent. Hijacking Bitcoin: Routing Attacks on Cryptocurrencies. IEEE Symposium on Security and Privacy (S\&amp;P), 2017, pp. 375--392. DOI: 10.1109/SP.2017.59.</w:t>
      </w:r>
    </w:p>
    <w:p>
      <w:pPr>
        <w:spacing w:line="300" w:lineRule="auto" w:after="60"/>
        <w:ind w:left="420" w:hanging="420"/>
      </w:pPr>
      <w:r>
        <w:rPr>
          <w:sz w:val="21"/>
        </w:rPr>
        <w:t>[23] Yousaf, Hamza, Kappos, George, Meiklejohn, Sarah. Tracing Transactions Across Cryptocurrency Ledgers. USENIX Security Symposium, 2019.</w:t>
      </w:r>
    </w:p>
    <w:p>
      <w:pPr>
        <w:spacing w:line="300" w:lineRule="auto" w:after="60"/>
        <w:ind w:left="420" w:hanging="420"/>
      </w:pPr>
      <w:r>
        <w:rPr>
          <w:sz w:val="21"/>
        </w:rPr>
        <w:t>[24] Celer Network. cBridge: Multi-Chain Asset Bridge Documentation and Protocol Design. , 2022. https://cbridge-docs.celer.network/.</w:t>
      </w:r>
    </w:p>
    <w:p>
      <w:pPr>
        <w:spacing w:line="300" w:lineRule="auto" w:after="60"/>
        <w:ind w:left="420" w:hanging="420"/>
      </w:pPr>
      <w:r>
        <w:rPr>
          <w:sz w:val="21"/>
        </w:rPr>
        <w:t>[25] Villani, C\'edric. Optimal Transport: Old and New. Springer, 2009.</w:t>
      </w:r>
    </w:p>
    <w:p>
      <w:pPr>
        <w:spacing w:line="300" w:lineRule="auto" w:after="60"/>
        <w:ind w:left="420" w:hanging="420"/>
      </w:pPr>
      <w:r>
        <w:rPr>
          <w:sz w:val="21"/>
        </w:rPr>
        <w:t>[26] Cuturi, Marco. Sinkhorn Distances: Lightspeed Computation of Optimal Transport. Advances in Neural Information Processing Systems (NeurIPS), 2013, pp. 2292--2300. https://papers.nips.cc/paper/4927-sinkhorn-distances-lightspeed-computation-of-optimal-transport.</w:t>
      </w:r>
    </w:p>
    <w:p>
      <w:pPr>
        <w:spacing w:line="300" w:lineRule="auto" w:after="60"/>
        <w:ind w:left="420" w:hanging="420"/>
      </w:pPr>
      <w:r>
        <w:rPr>
          <w:sz w:val="21"/>
        </w:rPr>
        <w:t>[27] . Unbalanced Optimal Transport: Dynamic and Kantorovich Formulations. Journal of Functional Analysis, 2018, 274(11): 3090--3123. DOI: 10.1016/j.jfa.2018.03.010.</w:t>
      </w:r>
    </w:p>
    <w:p>
      <w:pPr>
        <w:spacing w:line="300" w:lineRule="auto" w:after="60"/>
        <w:ind w:left="420" w:hanging="420"/>
      </w:pPr>
      <w:r>
        <w:rPr>
          <w:sz w:val="21"/>
        </w:rPr>
        <w:t>[28] . Scaling Algorithms for Unbalanced Optimal Transport Problems. Mathematics of Computation, 2018, 87(314): 2563--2609. DOI: 10.1090/mcom/3293.</w:t>
      </w:r>
    </w:p>
    <w:p>
      <w:pPr>
        <w:spacing w:line="300" w:lineRule="auto" w:after="60"/>
        <w:ind w:left="420" w:hanging="420"/>
      </w:pPr>
      <w:r>
        <w:rPr>
          <w:sz w:val="21"/>
        </w:rPr>
        <w:t>[29] Benamou, Jean-David, Carlier, Guillaume, Cuturi, Marco, Nenna, Luca, Peyr\'e, Gabriel. Iterative Bregman Projections for Regularized Transportation Problems. SIAM Journal on Scientific Computing, 2015, 37(2): A1111--A1138. DOI: 10.1137/141000439.</w:t>
      </w:r>
    </w:p>
    <w:p>
      <w:pPr>
        <w:spacing w:line="300" w:lineRule="auto" w:after="60"/>
        <w:ind w:left="420" w:hanging="420"/>
      </w:pPr>
      <w:r>
        <w:rPr>
          <w:sz w:val="21"/>
        </w:rPr>
        <w:t>[30] Frogner, Charlie, Zhang, Chiyuan, Mobahi, Hossein, Araya, Mauricio, Poggio, Tomaso. Learning with a Wasserstein Loss. NeurIPS, 2015.</w:t>
      </w:r>
    </w:p>
    <w:p>
      <w:pPr>
        <w:spacing w:line="300" w:lineRule="auto" w:after="60"/>
        <w:ind w:left="420" w:hanging="420"/>
      </w:pPr>
      <w:r>
        <w:rPr>
          <w:sz w:val="21"/>
        </w:rPr>
        <w:t>[31] . The Unbalanced Gromov-Wasserstein Distance: Conic Formulation and Relaxation. NeurIPS, 2021.</w:t>
      </w:r>
    </w:p>
    <w:p>
      <w:pPr>
        <w:spacing w:line="300" w:lineRule="auto" w:after="60"/>
        <w:ind w:left="420" w:hanging="420"/>
      </w:pPr>
      <w:r>
        <w:rPr>
          <w:sz w:val="21"/>
        </w:rPr>
        <w:t>[32] . Neighbourhood Consensus Networks. Advances in Neural Information Processing Systems (NeurIPS), 2018. arXiv: 1810.10510.</w:t>
      </w:r>
    </w:p>
    <w:p>
      <w:pPr>
        <w:spacing w:line="300" w:lineRule="auto" w:after="60"/>
        <w:ind w:left="420" w:hanging="420"/>
      </w:pPr>
      <w:r>
        <w:rPr>
          <w:sz w:val="21"/>
        </w:rPr>
        <w:t>[33] Sun, Jiaming, Shen, Zehong, Wang, Yuang, Bao, Hujun, Zhou, Xiaowei. LoFTR: Detector-Free Local Feature Matching with Transformers. IEEE/CVF Conference on Computer Vision and Pattern Recognition (CVPR), 2021, pp. 8922--8931. DOI: 10.1109/CVPR46437.2021.00881.</w:t>
      </w:r>
    </w:p>
    <w:p>
      <w:pPr>
        <w:spacing w:line="300" w:lineRule="auto" w:after="60"/>
        <w:ind w:left="420" w:hanging="420"/>
      </w:pPr>
      <w:r>
        <w:rPr>
          <w:sz w:val="21"/>
        </w:rPr>
        <w:t>[34] Sarlin, Paul-Edouard, DeTone, Daniel, Malisiewicz, Tomasz, Rabinovich, Andrew. SuperGlue: Learning Feature Matching with Graph Neural Networks. IEEE/CVF Conference on Computer Vision and Pattern Recognition (CVPR), 2020, pp. 4938--4947. DOI: 10.1109/CVPR42600.2020.00499.</w:t>
      </w:r>
    </w:p>
    <w:p>
      <w:pPr>
        <w:spacing w:line="300" w:lineRule="auto" w:after="60"/>
        <w:ind w:left="420" w:hanging="420"/>
      </w:pPr>
      <w:r>
        <w:rPr>
          <w:sz w:val="21"/>
        </w:rPr>
        <w:t>[35] Peyr\'e, Gabriel, Cuturi, Marco. Computational Optimal Transport. Foundations and Trends in Machine Learning, 2019, 11(5--6): 355--607. DOI: 10.1561/2200000073.</w:t>
      </w:r>
    </w:p>
    <w:p>
      <w:pPr>
        <w:spacing w:line="300" w:lineRule="auto" w:after="60"/>
        <w:ind w:left="420" w:hanging="420"/>
      </w:pPr>
      <w:r>
        <w:rPr>
          <w:sz w:val="21"/>
        </w:rPr>
        <w:t>[36] Financial Action Task Force (FATF). Updated Guidance for a Risk-Based Approach to Virtual Assets and Virtual Asset Service Providers. FATF, 2021. https://www.fatf-gafi.org/.</w:t>
      </w:r>
    </w:p>
    <w:p>
      <w:pPr>
        <w:spacing w:line="300" w:lineRule="auto" w:after="60"/>
        <w:ind w:left="420" w:hanging="420"/>
      </w:pPr>
      <w:r>
        <w:rPr>
          <w:sz w:val="21"/>
        </w:rPr>
        <w:t>[37] Rudin, Cynthia. Stop Explaining Black Box Machine Learning Models for High Stakes Decisions and Use Interpretable Models Instead. Nature Machine Intelligence, 2019, 1(5): 206--215. DOI: 10.1038/s42256-019-0048-x.</w:t>
      </w:r>
    </w:p>
    <w:p>
      <w:pPr>
        <w:spacing w:line="300" w:lineRule="auto" w:after="60"/>
        <w:ind w:left="420" w:hanging="420"/>
      </w:pPr>
      <w:r>
        <w:rPr>
          <w:sz w:val="21"/>
        </w:rPr>
        <w:t>[38] Arrieta, Alejandro Barrio, et al.. Explainable Artificial Intelligence (XAI): Concepts, Taxonomies, Opportunities and Challenges toward Responsible AI. Information Fusion, 2020, 58: 82--115. DOI: 10.1016/j.inffus.2019.12.012.</w:t>
      </w:r>
    </w:p>
    <w:p>
      <w:pPr>
        <w:spacing w:line="300" w:lineRule="auto" w:after="60"/>
        <w:ind w:left="420" w:hanging="420"/>
      </w:pPr>
      <w:r>
        <w:rPr>
          <w:sz w:val="21"/>
        </w:rPr>
        <w:t>[39] Adadi, Amina, Berrada, Mohammed. Peeking Inside the Black-Box: A Survey on Explainable Artificial Intelligence (XAI). IEEE Access, 2018, 6: 52138--52160. DOI: 10.1109/ACCESS.2018.2870052.</w:t>
      </w:r>
    </w:p>
    <w:p>
      <w:pPr>
        <w:spacing w:line="300" w:lineRule="auto" w:after="60"/>
        <w:ind w:left="420" w:hanging="420"/>
      </w:pPr>
      <w:r>
        <w:rPr>
          <w:sz w:val="21"/>
        </w:rPr>
        <w:t>[40] Pineau, Joelle, et al.. Improving Reproducibility in Machine Learning Research (A Report from the NeurIPS 2019 Reproducibility Program). Journal of Machine Learning Research, 2021, 22: 1--20.</w:t>
      </w:r>
    </w:p>
    <w:p>
      <w:pPr>
        <w:spacing w:line="300" w:lineRule="auto" w:after="60"/>
        <w:ind w:left="420" w:hanging="420"/>
      </w:pPr>
      <w:r>
        <w:rPr>
          <w:sz w:val="21"/>
        </w:rPr>
        <w:t>[41] Lamprecht, Anna-Lena, et al.. Towards FAIR Principles for Research Software. Data Science, 2020, 3(1): 37--59. DOI: 10.3233/DS-190026.</w:t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跨链资金流取证中的非一对一对应：运输表示与条件解码（R3 TIFS-style）</dc:title>
  <dc:subject>TIFS 中文母稿（Stage 1）；等待作者审核批准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