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5CD73A">
      <w:pPr>
        <w:widowControl/>
        <w:shd w:val="clear" w:color="auto" w:fill="FFFFFF"/>
        <w:jc w:val="center"/>
        <w:rPr>
          <w:rFonts w:ascii="方正小标宋简体" w:hAnsi="方正小标宋简体" w:eastAsia="方正小标宋简体" w:cs="方正小标宋简体"/>
          <w:b/>
          <w:sz w:val="44"/>
          <w:szCs w:val="44"/>
        </w:rPr>
      </w:pPr>
      <w:r>
        <w:rPr>
          <w:rFonts w:hint="eastAsia" w:ascii="方正小标宋简体" w:hAnsi="方正小标宋简体" w:eastAsia="方正小标宋简体" w:cs="方正小标宋简体"/>
          <w:b/>
          <w:sz w:val="44"/>
          <w:szCs w:val="44"/>
        </w:rPr>
        <w:t>华北理工大学冶金与能源学院</w:t>
      </w:r>
    </w:p>
    <w:p w14:paraId="24002BB4">
      <w:pPr>
        <w:widowControl/>
        <w:shd w:val="clear" w:color="auto" w:fill="FFFFFF"/>
        <w:spacing w:after="465" w:afterLines="100"/>
        <w:jc w:val="center"/>
        <w:rPr>
          <w:rFonts w:ascii="方正小标宋简体" w:hAnsi="方正小标宋简体" w:eastAsia="方正小标宋简体" w:cs="方正小标宋简体"/>
          <w:b/>
          <w:sz w:val="44"/>
          <w:szCs w:val="44"/>
        </w:rPr>
      </w:pPr>
      <w:r>
        <w:rPr>
          <w:rFonts w:hint="eastAsia" w:ascii="方正小标宋简体" w:hAnsi="方正小标宋简体" w:eastAsia="方正小标宋简体" w:cs="方正小标宋简体"/>
          <w:b/>
          <w:sz w:val="44"/>
          <w:szCs w:val="44"/>
        </w:rPr>
        <w:t>推荐优秀应届本科毕业生免试攻读研究生工作实施细则</w:t>
      </w:r>
    </w:p>
    <w:p w14:paraId="47D00E93">
      <w:pPr>
        <w:pStyle w:val="5"/>
        <w:tabs>
          <w:tab w:val="left" w:pos="1279"/>
          <w:tab w:val="left" w:pos="1919"/>
        </w:tabs>
        <w:jc w:val="center"/>
        <w:rPr>
          <w:rFonts w:ascii="黑体" w:eastAsia="黑体"/>
        </w:rPr>
      </w:pPr>
      <w:r>
        <w:rPr>
          <w:rFonts w:hint="eastAsia" w:ascii="黑体" w:eastAsia="黑体"/>
        </w:rPr>
        <w:t xml:space="preserve">第一章 </w:t>
      </w:r>
      <w:r>
        <w:rPr>
          <w:rFonts w:hint="eastAsia" w:ascii="黑体" w:eastAsia="黑体"/>
          <w:lang w:val="en-US"/>
        </w:rPr>
        <w:t xml:space="preserve"> </w:t>
      </w:r>
      <w:r>
        <w:rPr>
          <w:rFonts w:hint="eastAsia" w:ascii="黑体" w:eastAsia="黑体"/>
        </w:rPr>
        <w:t>总则</w:t>
      </w:r>
    </w:p>
    <w:p w14:paraId="1F251EDE">
      <w:pPr>
        <w:widowControl/>
        <w:spacing w:line="560" w:lineRule="exact"/>
        <w:ind w:firstLine="643" w:firstLineChars="200"/>
        <w:jc w:val="both"/>
        <w:rPr>
          <w:rFonts w:ascii="仿宋" w:hAnsi="仿宋" w:eastAsia="仿宋" w:cs="仿宋"/>
          <w:sz w:val="32"/>
          <w:szCs w:val="32"/>
        </w:rPr>
      </w:pPr>
      <w:r>
        <w:rPr>
          <w:rFonts w:hint="eastAsia" w:ascii="仿宋" w:hAnsi="仿宋" w:eastAsia="仿宋" w:cs="仿宋"/>
          <w:b/>
          <w:bCs/>
          <w:sz w:val="32"/>
          <w:szCs w:val="32"/>
        </w:rPr>
        <w:t>第一条</w:t>
      </w:r>
      <w:r>
        <w:rPr>
          <w:rFonts w:hint="eastAsia" w:ascii="仿宋" w:hAnsi="仿宋" w:eastAsia="仿宋" w:cs="仿宋"/>
          <w:sz w:val="32"/>
          <w:szCs w:val="32"/>
        </w:rPr>
        <w:t xml:space="preserve">  </w:t>
      </w:r>
      <w:r>
        <w:rPr>
          <w:rFonts w:hint="eastAsia" w:ascii="仿宋" w:hAnsi="仿宋" w:eastAsia="仿宋" w:cs="仿宋"/>
          <w:color w:val="000000"/>
          <w:kern w:val="0"/>
          <w:sz w:val="32"/>
          <w:szCs w:val="32"/>
          <w:lang w:bidi="ar"/>
        </w:rPr>
        <w:t>推荐优秀应届本科毕业生免试攻读研究生工作（以下简称“推免工作”）</w:t>
      </w:r>
      <w:r>
        <w:rPr>
          <w:rFonts w:hint="eastAsia" w:ascii="仿宋" w:hAnsi="仿宋" w:eastAsia="仿宋" w:cs="仿宋"/>
          <w:sz w:val="32"/>
          <w:szCs w:val="32"/>
        </w:rPr>
        <w:t>是研究生多元招生体系的重要组成部分，是激励本科生勤奋学习、加强创新拔尖人才选拔、提高研究生生源质量、培养德智体美劳全面发展的高素质人才的重要举措。为加强学院推免工作管理，根据《华北理工大学推荐优秀应届本科毕业生免试攻读研究生工作实施办法》（校字〔2025〕6号）文件精神，结合学院实际，制定本细则。</w:t>
      </w:r>
    </w:p>
    <w:p w14:paraId="6C94BFA3">
      <w:pPr>
        <w:spacing w:line="560" w:lineRule="exact"/>
        <w:ind w:firstLine="643" w:firstLineChars="200"/>
        <w:rPr>
          <w:rFonts w:ascii="仿宋" w:hAnsi="仿宋" w:eastAsia="仿宋" w:cs="仿宋"/>
          <w:sz w:val="32"/>
          <w:szCs w:val="32"/>
        </w:rPr>
      </w:pPr>
      <w:r>
        <w:rPr>
          <w:rFonts w:hint="eastAsia" w:ascii="仿宋" w:hAnsi="仿宋" w:eastAsia="仿宋" w:cs="仿宋"/>
          <w:b/>
          <w:bCs/>
          <w:sz w:val="32"/>
          <w:szCs w:val="32"/>
        </w:rPr>
        <w:t>第二条</w:t>
      </w:r>
      <w:r>
        <w:rPr>
          <w:rFonts w:hint="eastAsia" w:ascii="仿宋" w:hAnsi="仿宋" w:eastAsia="仿宋" w:cs="仿宋"/>
          <w:sz w:val="32"/>
          <w:szCs w:val="32"/>
        </w:rPr>
        <w:t xml:space="preserve">  学院推免工作坚持公开、公平、公正原则，坚持德智体美劳全面衡量，突出对学生学习成绩、创新意识、创新能力和专业能力倾向的考查，择优推荐，确保质量。</w:t>
      </w:r>
    </w:p>
    <w:p w14:paraId="7379F7FE">
      <w:pPr>
        <w:pStyle w:val="5"/>
        <w:tabs>
          <w:tab w:val="left" w:pos="1279"/>
          <w:tab w:val="left" w:pos="1919"/>
        </w:tabs>
        <w:jc w:val="center"/>
        <w:rPr>
          <w:rFonts w:ascii="黑体" w:eastAsia="黑体"/>
        </w:rPr>
      </w:pPr>
      <w:r>
        <w:rPr>
          <w:rFonts w:hint="eastAsia" w:ascii="黑体" w:eastAsia="黑体"/>
        </w:rPr>
        <w:t>第</w:t>
      </w:r>
      <w:r>
        <w:rPr>
          <w:rFonts w:hint="eastAsia" w:ascii="黑体" w:eastAsia="黑体"/>
          <w:lang w:val="en-US"/>
        </w:rPr>
        <w:t>二</w:t>
      </w:r>
      <w:r>
        <w:rPr>
          <w:rFonts w:hint="eastAsia" w:ascii="黑体" w:eastAsia="黑体"/>
        </w:rPr>
        <w:t xml:space="preserve">章 </w:t>
      </w:r>
      <w:r>
        <w:rPr>
          <w:rFonts w:hint="eastAsia" w:ascii="黑体" w:eastAsia="黑体"/>
          <w:lang w:val="en-US"/>
        </w:rPr>
        <w:t xml:space="preserve"> </w:t>
      </w:r>
      <w:r>
        <w:rPr>
          <w:rFonts w:hint="eastAsia" w:ascii="黑体" w:eastAsia="黑体"/>
        </w:rPr>
        <w:t>组织领导</w:t>
      </w:r>
    </w:p>
    <w:p w14:paraId="1ED91F8E">
      <w:pPr>
        <w:spacing w:line="560" w:lineRule="exact"/>
        <w:ind w:firstLine="643" w:firstLineChars="200"/>
        <w:rPr>
          <w:rFonts w:ascii="仿宋" w:hAnsi="仿宋" w:eastAsia="仿宋" w:cs="仿宋"/>
          <w:sz w:val="32"/>
          <w:szCs w:val="32"/>
        </w:rPr>
      </w:pPr>
      <w:r>
        <w:rPr>
          <w:rFonts w:hint="eastAsia" w:ascii="仿宋" w:hAnsi="仿宋" w:eastAsia="仿宋" w:cs="仿宋"/>
          <w:b/>
          <w:bCs/>
          <w:sz w:val="32"/>
          <w:szCs w:val="32"/>
        </w:rPr>
        <w:t>第三条</w:t>
      </w:r>
      <w:r>
        <w:rPr>
          <w:rFonts w:hint="eastAsia" w:ascii="仿宋" w:hAnsi="仿宋" w:eastAsia="仿宋" w:cs="仿宋"/>
          <w:sz w:val="32"/>
          <w:szCs w:val="32"/>
        </w:rPr>
        <w:t xml:space="preserve">  学院成立</w:t>
      </w:r>
      <w:bookmarkStart w:id="0" w:name="OLE_LINK1"/>
      <w:r>
        <w:rPr>
          <w:rFonts w:hint="eastAsia" w:ascii="仿宋" w:hAnsi="仿宋" w:eastAsia="仿宋" w:cs="仿宋"/>
          <w:sz w:val="32"/>
          <w:szCs w:val="32"/>
        </w:rPr>
        <w:t>推免工作小组</w:t>
      </w:r>
      <w:bookmarkEnd w:id="0"/>
      <w:r>
        <w:rPr>
          <w:rFonts w:hint="eastAsia" w:ascii="仿宋" w:hAnsi="仿宋" w:eastAsia="仿宋" w:cs="仿宋"/>
          <w:sz w:val="32"/>
          <w:szCs w:val="32"/>
        </w:rPr>
        <w:t>，全面负责学院推免工作，制定学院研究生推免工作实施细则（含综合评价加分认定实施细则）和工作计划，组织、协调本单位推免工作实施以及推免过程中的争议处理。</w:t>
      </w:r>
    </w:p>
    <w:p w14:paraId="11144713">
      <w:pPr>
        <w:spacing w:line="560" w:lineRule="exact"/>
        <w:ind w:firstLine="640" w:firstLineChars="200"/>
        <w:rPr>
          <w:rFonts w:ascii="仿宋" w:hAnsi="仿宋" w:eastAsia="仿宋" w:cs="仿宋"/>
          <w:sz w:val="32"/>
          <w:szCs w:val="32"/>
        </w:rPr>
      </w:pPr>
      <w:r>
        <w:rPr>
          <w:rFonts w:hint="eastAsia" w:ascii="仿宋" w:hAnsi="仿宋" w:eastAsia="仿宋" w:cs="仿宋"/>
          <w:sz w:val="32"/>
          <w:szCs w:val="32"/>
        </w:rPr>
        <w:t>学院同时成立专家审核小组，负责对申请推免资格学生的材料进行审核鉴定。</w:t>
      </w:r>
    </w:p>
    <w:p w14:paraId="4895A9CF">
      <w:pPr>
        <w:pStyle w:val="5"/>
        <w:tabs>
          <w:tab w:val="left" w:pos="1279"/>
          <w:tab w:val="left" w:pos="1919"/>
        </w:tabs>
        <w:jc w:val="center"/>
        <w:rPr>
          <w:rFonts w:ascii="黑体" w:eastAsia="黑体"/>
        </w:rPr>
      </w:pPr>
      <w:r>
        <w:rPr>
          <w:rFonts w:hint="eastAsia" w:ascii="黑体" w:eastAsia="黑体"/>
        </w:rPr>
        <w:t>第</w:t>
      </w:r>
      <w:r>
        <w:rPr>
          <w:rFonts w:hint="eastAsia" w:ascii="黑体" w:eastAsia="黑体"/>
          <w:lang w:val="en-US"/>
        </w:rPr>
        <w:t>三</w:t>
      </w:r>
      <w:r>
        <w:rPr>
          <w:rFonts w:hint="eastAsia" w:ascii="黑体" w:eastAsia="黑体"/>
        </w:rPr>
        <w:t xml:space="preserve">章 </w:t>
      </w:r>
      <w:r>
        <w:rPr>
          <w:rFonts w:hint="eastAsia" w:ascii="黑体" w:eastAsia="黑体"/>
          <w:lang w:val="en-US"/>
        </w:rPr>
        <w:t xml:space="preserve"> </w:t>
      </w:r>
      <w:r>
        <w:rPr>
          <w:rFonts w:hint="eastAsia" w:ascii="黑体" w:eastAsia="黑体"/>
        </w:rPr>
        <w:t>推免条件</w:t>
      </w:r>
    </w:p>
    <w:p w14:paraId="43B2F815">
      <w:pPr>
        <w:widowControl/>
        <w:spacing w:line="560" w:lineRule="exact"/>
        <w:ind w:firstLine="643" w:firstLineChars="200"/>
        <w:rPr>
          <w:rFonts w:ascii="仿宋" w:hAnsi="仿宋" w:eastAsia="仿宋" w:cs="仿宋"/>
          <w:sz w:val="32"/>
          <w:szCs w:val="32"/>
        </w:rPr>
      </w:pPr>
      <w:r>
        <w:rPr>
          <w:rFonts w:hint="eastAsia" w:ascii="仿宋" w:hAnsi="仿宋" w:eastAsia="仿宋" w:cs="仿宋"/>
          <w:b/>
          <w:bCs/>
          <w:sz w:val="32"/>
          <w:szCs w:val="32"/>
        </w:rPr>
        <w:t>第四条</w:t>
      </w:r>
      <w:r>
        <w:rPr>
          <w:rFonts w:hint="eastAsia" w:ascii="仿宋" w:hAnsi="仿宋" w:eastAsia="仿宋" w:cs="仿宋"/>
          <w:sz w:val="32"/>
          <w:szCs w:val="32"/>
        </w:rPr>
        <w:t xml:space="preserve">  推免对象为学校纳入国家普通本科招生计划录取的</w:t>
      </w:r>
      <w:r>
        <w:rPr>
          <w:rFonts w:hint="eastAsia" w:ascii="仿宋" w:hAnsi="仿宋" w:eastAsia="仿宋" w:cs="仿宋"/>
          <w:color w:val="000000"/>
          <w:kern w:val="0"/>
          <w:sz w:val="32"/>
          <w:szCs w:val="32"/>
          <w:lang w:bidi="ar"/>
        </w:rPr>
        <w:t>普通全日制应届本科毕业生</w:t>
      </w:r>
      <w:r>
        <w:rPr>
          <w:rFonts w:hint="eastAsia" w:ascii="仿宋" w:hAnsi="仿宋" w:eastAsia="仿宋" w:cs="仿宋"/>
          <w:sz w:val="32"/>
          <w:szCs w:val="32"/>
        </w:rPr>
        <w:t>（不含专接本、第二学士学位、独立学院等学生）。</w:t>
      </w:r>
    </w:p>
    <w:p w14:paraId="0A9D6F3E">
      <w:pPr>
        <w:spacing w:line="560" w:lineRule="exact"/>
        <w:ind w:firstLine="643" w:firstLineChars="200"/>
        <w:rPr>
          <w:rFonts w:ascii="仿宋" w:hAnsi="仿宋" w:eastAsia="仿宋" w:cs="仿宋"/>
          <w:sz w:val="32"/>
          <w:szCs w:val="32"/>
        </w:rPr>
      </w:pPr>
      <w:r>
        <w:rPr>
          <w:rFonts w:hint="eastAsia" w:ascii="仿宋" w:hAnsi="仿宋" w:eastAsia="仿宋" w:cs="仿宋"/>
          <w:b/>
          <w:bCs/>
          <w:sz w:val="32"/>
          <w:szCs w:val="32"/>
        </w:rPr>
        <w:t>第五条</w:t>
      </w:r>
      <w:r>
        <w:rPr>
          <w:rFonts w:hint="eastAsia" w:ascii="仿宋" w:hAnsi="仿宋" w:eastAsia="仿宋" w:cs="仿宋"/>
          <w:sz w:val="32"/>
          <w:szCs w:val="32"/>
        </w:rPr>
        <w:t xml:space="preserve">  推免生应具备下列基本条件：</w:t>
      </w:r>
    </w:p>
    <w:p w14:paraId="0C48D478">
      <w:pPr>
        <w:widowControl/>
        <w:spacing w:line="560" w:lineRule="exact"/>
        <w:ind w:firstLine="640" w:firstLineChars="200"/>
        <w:rPr>
          <w:rFonts w:ascii="仿宋" w:hAnsi="仿宋" w:eastAsia="仿宋" w:cs="仿宋"/>
          <w:sz w:val="32"/>
          <w:szCs w:val="32"/>
        </w:rPr>
      </w:pPr>
      <w:r>
        <w:rPr>
          <w:rFonts w:hint="eastAsia" w:ascii="仿宋" w:hAnsi="仿宋" w:eastAsia="仿宋" w:cs="仿宋"/>
          <w:sz w:val="32"/>
          <w:szCs w:val="32"/>
        </w:rPr>
        <w:t>（一）拥护中国共产党的领导</w:t>
      </w:r>
      <w:r>
        <w:rPr>
          <w:rFonts w:hint="eastAsia" w:ascii="仿宋" w:hAnsi="仿宋" w:eastAsia="仿宋" w:cs="仿宋"/>
          <w:color w:val="000000"/>
          <w:kern w:val="0"/>
          <w:sz w:val="32"/>
          <w:szCs w:val="32"/>
          <w:lang w:bidi="ar"/>
        </w:rPr>
        <w:t>，深入学习贯彻习近平新时代中国特色社会主义思想</w:t>
      </w:r>
      <w:r>
        <w:rPr>
          <w:rFonts w:hint="eastAsia" w:ascii="仿宋" w:hAnsi="仿宋" w:eastAsia="仿宋" w:cs="仿宋"/>
          <w:sz w:val="32"/>
          <w:szCs w:val="32"/>
        </w:rPr>
        <w:t>，具有高尚的爱国主义情操和集体主义精神，社会主义信念坚定，社会责任感强，思想积极向上，身心健康。</w:t>
      </w:r>
    </w:p>
    <w:p w14:paraId="7F833291">
      <w:pPr>
        <w:spacing w:line="560" w:lineRule="exact"/>
        <w:ind w:firstLine="640" w:firstLineChars="200"/>
        <w:rPr>
          <w:rFonts w:ascii="仿宋" w:hAnsi="仿宋" w:eastAsia="仿宋" w:cs="仿宋"/>
          <w:sz w:val="32"/>
          <w:szCs w:val="32"/>
        </w:rPr>
      </w:pPr>
      <w:r>
        <w:rPr>
          <w:rFonts w:hint="eastAsia" w:ascii="仿宋" w:hAnsi="仿宋" w:eastAsia="仿宋" w:cs="仿宋"/>
          <w:sz w:val="32"/>
          <w:szCs w:val="32"/>
        </w:rPr>
        <w:t>（二）热爱所学专业，学风端正，勤奋学习，刻苦钻研，成绩优秀，学术研究兴趣浓厚，有较强的创新意识和创新能力。</w:t>
      </w:r>
    </w:p>
    <w:p w14:paraId="157F71DB">
      <w:pPr>
        <w:spacing w:line="560" w:lineRule="exact"/>
        <w:ind w:firstLine="640" w:firstLineChars="200"/>
        <w:rPr>
          <w:rFonts w:ascii="仿宋" w:hAnsi="仿宋" w:eastAsia="仿宋" w:cs="仿宋"/>
          <w:sz w:val="32"/>
          <w:szCs w:val="32"/>
        </w:rPr>
      </w:pPr>
      <w:r>
        <w:rPr>
          <w:rFonts w:hint="eastAsia" w:ascii="仿宋" w:hAnsi="仿宋" w:eastAsia="仿宋" w:cs="仿宋"/>
          <w:sz w:val="32"/>
          <w:szCs w:val="32"/>
        </w:rPr>
        <w:t>（三）诚实守信，品行端正，无任何考试作弊和剽窃他人学术成果等学术不端行为。</w:t>
      </w:r>
    </w:p>
    <w:p w14:paraId="3DAE5177">
      <w:pPr>
        <w:widowControl/>
        <w:spacing w:line="560" w:lineRule="exact"/>
        <w:ind w:firstLine="640" w:firstLineChars="200"/>
        <w:rPr>
          <w:rFonts w:ascii="仿宋" w:hAnsi="仿宋" w:eastAsia="仿宋" w:cs="仿宋"/>
          <w:sz w:val="32"/>
          <w:szCs w:val="32"/>
        </w:rPr>
      </w:pPr>
      <w:r>
        <w:rPr>
          <w:rFonts w:hint="eastAsia" w:ascii="仿宋" w:hAnsi="仿宋" w:eastAsia="仿宋" w:cs="仿宋"/>
          <w:sz w:val="32"/>
          <w:szCs w:val="32"/>
        </w:rPr>
        <w:t>（四）</w:t>
      </w:r>
      <w:r>
        <w:rPr>
          <w:rFonts w:hint="eastAsia" w:ascii="仿宋" w:hAnsi="仿宋" w:eastAsia="仿宋" w:cs="仿宋"/>
          <w:color w:val="000000"/>
          <w:kern w:val="0"/>
          <w:sz w:val="32"/>
          <w:szCs w:val="32"/>
          <w:lang w:bidi="ar"/>
        </w:rPr>
        <w:t>学生无任何违法犯罪记录，未受到过任何校规校纪处分。</w:t>
      </w:r>
    </w:p>
    <w:p w14:paraId="25F41D4F">
      <w:pPr>
        <w:widowControl/>
        <w:spacing w:line="560" w:lineRule="exact"/>
        <w:ind w:firstLine="640" w:firstLineChars="200"/>
        <w:rPr>
          <w:rFonts w:ascii="仿宋" w:hAnsi="仿宋" w:eastAsia="仿宋" w:cs="仿宋"/>
          <w:sz w:val="32"/>
          <w:szCs w:val="32"/>
        </w:rPr>
      </w:pPr>
      <w:r>
        <w:rPr>
          <w:rFonts w:hint="eastAsia" w:ascii="仿宋" w:hAnsi="仿宋" w:eastAsia="仿宋" w:cs="仿宋"/>
          <w:sz w:val="32"/>
          <w:szCs w:val="32"/>
        </w:rPr>
        <w:t>（五）前三学年所有课程</w:t>
      </w:r>
      <w:r>
        <w:rPr>
          <w:rFonts w:hint="eastAsia" w:ascii="仿宋" w:hAnsi="仿宋" w:eastAsia="仿宋" w:cs="仿宋"/>
          <w:color w:val="000000"/>
          <w:kern w:val="0"/>
          <w:sz w:val="32"/>
          <w:szCs w:val="32"/>
          <w:lang w:bidi="ar"/>
        </w:rPr>
        <w:t>（不含辅修课程）须同时满足如下要求：</w:t>
      </w:r>
    </w:p>
    <w:p w14:paraId="0A5F8214">
      <w:pPr>
        <w:widowControl/>
        <w:spacing w:line="560" w:lineRule="exact"/>
        <w:ind w:firstLine="640" w:firstLineChars="200"/>
        <w:rPr>
          <w:rFonts w:ascii="仿宋" w:hAnsi="仿宋" w:eastAsia="仿宋" w:cs="仿宋"/>
          <w:sz w:val="32"/>
          <w:szCs w:val="32"/>
        </w:rPr>
      </w:pPr>
      <w:r>
        <w:rPr>
          <w:rFonts w:hint="eastAsia" w:ascii="仿宋" w:hAnsi="仿宋" w:eastAsia="仿宋" w:cs="仿宋"/>
          <w:color w:val="000000"/>
          <w:kern w:val="0"/>
          <w:sz w:val="32"/>
          <w:szCs w:val="32"/>
          <w:lang w:bidi="ar"/>
        </w:rPr>
        <w:t>1.不存在本专业应修未修的必修课程；</w:t>
      </w:r>
    </w:p>
    <w:p w14:paraId="135800F9">
      <w:pPr>
        <w:widowControl/>
        <w:spacing w:line="560" w:lineRule="exact"/>
        <w:ind w:firstLine="640" w:firstLineChars="200"/>
        <w:rPr>
          <w:rFonts w:ascii="仿宋" w:hAnsi="仿宋" w:eastAsia="仿宋" w:cs="仿宋"/>
          <w:sz w:val="32"/>
          <w:szCs w:val="32"/>
        </w:rPr>
      </w:pPr>
      <w:r>
        <w:rPr>
          <w:rFonts w:hint="eastAsia" w:ascii="仿宋" w:hAnsi="仿宋" w:eastAsia="仿宋" w:cs="仿宋"/>
          <w:color w:val="000000"/>
          <w:kern w:val="0"/>
          <w:sz w:val="32"/>
          <w:szCs w:val="32"/>
          <w:lang w:bidi="ar"/>
        </w:rPr>
        <w:t>2.课程成绩统计截至推免当年春季学期期末（不含推免当年9月份补考成绩）；</w:t>
      </w:r>
    </w:p>
    <w:p w14:paraId="761D6251">
      <w:pPr>
        <w:widowControl/>
        <w:spacing w:line="560" w:lineRule="exact"/>
        <w:ind w:firstLine="640" w:firstLineChars="200"/>
        <w:rPr>
          <w:rFonts w:ascii="仿宋" w:hAnsi="仿宋" w:eastAsia="仿宋" w:cs="仿宋"/>
          <w:sz w:val="32"/>
          <w:szCs w:val="32"/>
        </w:rPr>
      </w:pPr>
      <w:r>
        <w:rPr>
          <w:rFonts w:hint="eastAsia" w:ascii="仿宋" w:hAnsi="仿宋" w:eastAsia="仿宋" w:cs="仿宋"/>
          <w:color w:val="000000"/>
          <w:kern w:val="0"/>
          <w:sz w:val="32"/>
          <w:szCs w:val="32"/>
          <w:lang w:bidi="ar"/>
        </w:rPr>
        <w:t>3.无尚不及格课程；</w:t>
      </w:r>
    </w:p>
    <w:p w14:paraId="193B6F90">
      <w:pPr>
        <w:widowControl/>
        <w:spacing w:line="560" w:lineRule="exact"/>
        <w:ind w:firstLine="640" w:firstLineChars="200"/>
        <w:rPr>
          <w:rFonts w:ascii="仿宋" w:hAnsi="仿宋" w:eastAsia="仿宋" w:cs="仿宋"/>
          <w:sz w:val="32"/>
          <w:szCs w:val="32"/>
        </w:rPr>
      </w:pPr>
      <w:r>
        <w:rPr>
          <w:rFonts w:hint="eastAsia" w:ascii="仿宋" w:hAnsi="仿宋" w:eastAsia="仿宋" w:cs="仿宋"/>
          <w:color w:val="000000"/>
          <w:kern w:val="0"/>
          <w:sz w:val="32"/>
          <w:szCs w:val="32"/>
          <w:lang w:bidi="ar"/>
        </w:rPr>
        <w:t>4.曾不及格成绩记录不超过两个（选课但未修读记为零分的，也算作不及格课程记录）；</w:t>
      </w:r>
    </w:p>
    <w:p w14:paraId="4EC8FD84">
      <w:pPr>
        <w:widowControl/>
        <w:spacing w:line="560" w:lineRule="exact"/>
        <w:ind w:firstLine="640" w:firstLineChars="200"/>
        <w:rPr>
          <w:rFonts w:ascii="仿宋" w:hAnsi="仿宋" w:eastAsia="仿宋" w:cs="仿宋"/>
          <w:sz w:val="32"/>
          <w:szCs w:val="32"/>
        </w:rPr>
      </w:pPr>
      <w:r>
        <w:rPr>
          <w:rFonts w:hint="eastAsia" w:ascii="仿宋" w:hAnsi="仿宋" w:eastAsia="仿宋" w:cs="仿宋"/>
          <w:color w:val="000000"/>
          <w:kern w:val="0"/>
          <w:sz w:val="32"/>
          <w:szCs w:val="32"/>
          <w:lang w:bidi="ar"/>
        </w:rPr>
        <w:t>5.“推免研究生必修课加权平均成绩”位列本专业本届学生的前30%（含）。</w:t>
      </w:r>
    </w:p>
    <w:p w14:paraId="6AD89C77">
      <w:pPr>
        <w:widowControl/>
        <w:spacing w:line="560" w:lineRule="exact"/>
        <w:ind w:firstLine="640" w:firstLineChars="200"/>
        <w:rPr>
          <w:rFonts w:ascii="Times New Roman" w:hAnsi="Times New Roman" w:cs="Times New Roman"/>
          <w:sz w:val="28"/>
          <w:szCs w:val="28"/>
        </w:rPr>
      </w:pPr>
      <w:r>
        <w:rPr>
          <w:rFonts w:hint="eastAsia" w:ascii="仿宋" w:hAnsi="仿宋" w:eastAsia="仿宋" w:cs="仿宋"/>
          <w:sz w:val="32"/>
          <w:szCs w:val="32"/>
        </w:rPr>
        <w:t>（六）</w:t>
      </w:r>
      <w:r>
        <w:rPr>
          <w:rFonts w:hint="eastAsia" w:ascii="仿宋" w:hAnsi="仿宋" w:eastAsia="仿宋" w:cs="仿宋"/>
          <w:color w:val="000000"/>
          <w:kern w:val="0"/>
          <w:sz w:val="32"/>
          <w:szCs w:val="32"/>
          <w:lang w:bidi="ar"/>
        </w:rPr>
        <w:t>截至推免工作评定当年春季学期，学生在本专业的</w:t>
      </w:r>
      <w:r>
        <w:rPr>
          <w:rFonts w:hint="eastAsia" w:ascii="仿宋" w:hAnsi="仿宋" w:eastAsia="仿宋" w:cs="仿宋"/>
          <w:sz w:val="32"/>
          <w:szCs w:val="32"/>
        </w:rPr>
        <w:t>综合测评成绩</w:t>
      </w:r>
      <w:r>
        <w:rPr>
          <w:rFonts w:hint="eastAsia" w:ascii="仿宋" w:hAnsi="仿宋" w:eastAsia="仿宋" w:cs="仿宋"/>
          <w:sz w:val="32"/>
          <w:szCs w:val="32"/>
          <w:highlight w:val="none"/>
        </w:rPr>
        <w:t>平均分</w:t>
      </w:r>
      <w:r>
        <w:rPr>
          <w:rFonts w:hint="eastAsia" w:ascii="仿宋" w:hAnsi="仿宋" w:eastAsia="仿宋" w:cs="仿宋"/>
          <w:sz w:val="32"/>
          <w:szCs w:val="32"/>
        </w:rPr>
        <w:t>位列本专业毕业生的前30%（含）。</w:t>
      </w:r>
    </w:p>
    <w:p w14:paraId="266CFC45">
      <w:pPr>
        <w:pStyle w:val="5"/>
        <w:tabs>
          <w:tab w:val="left" w:pos="1279"/>
          <w:tab w:val="left" w:pos="1919"/>
        </w:tabs>
        <w:jc w:val="center"/>
        <w:rPr>
          <w:rFonts w:ascii="黑体" w:eastAsia="黑体"/>
          <w:lang w:val="en-US"/>
        </w:rPr>
      </w:pPr>
      <w:r>
        <w:rPr>
          <w:rFonts w:hint="eastAsia" w:ascii="黑体" w:eastAsia="黑体"/>
        </w:rPr>
        <w:t>第</w:t>
      </w:r>
      <w:r>
        <w:rPr>
          <w:rFonts w:hint="eastAsia" w:ascii="黑体" w:eastAsia="黑体"/>
          <w:lang w:val="en-US"/>
        </w:rPr>
        <w:t>四</w:t>
      </w:r>
      <w:r>
        <w:rPr>
          <w:rFonts w:hint="eastAsia" w:ascii="黑体" w:eastAsia="黑体"/>
        </w:rPr>
        <w:t xml:space="preserve">章 </w:t>
      </w:r>
      <w:r>
        <w:rPr>
          <w:rFonts w:hint="eastAsia" w:ascii="黑体" w:eastAsia="黑体"/>
          <w:lang w:val="en-US"/>
        </w:rPr>
        <w:t xml:space="preserve"> </w:t>
      </w:r>
      <w:r>
        <w:rPr>
          <w:rFonts w:hint="eastAsia" w:ascii="黑体" w:eastAsia="黑体"/>
        </w:rPr>
        <w:t>推免成绩计算</w:t>
      </w:r>
      <w:r>
        <w:rPr>
          <w:rFonts w:hint="eastAsia" w:ascii="黑体" w:eastAsia="黑体"/>
          <w:lang w:val="en-US"/>
        </w:rPr>
        <w:t>办法</w:t>
      </w:r>
    </w:p>
    <w:p w14:paraId="76E71917">
      <w:pPr>
        <w:widowControl/>
        <w:spacing w:line="560" w:lineRule="exact"/>
        <w:ind w:firstLine="643" w:firstLineChars="200"/>
        <w:rPr>
          <w:rFonts w:ascii="仿宋" w:hAnsi="仿宋" w:eastAsia="仿宋" w:cs="仿宋"/>
          <w:sz w:val="32"/>
          <w:szCs w:val="32"/>
        </w:rPr>
      </w:pPr>
      <w:r>
        <w:rPr>
          <w:rFonts w:hint="eastAsia" w:ascii="仿宋" w:hAnsi="仿宋" w:eastAsia="仿宋" w:cs="仿宋"/>
          <w:b/>
          <w:bCs/>
          <w:sz w:val="32"/>
          <w:szCs w:val="32"/>
        </w:rPr>
        <w:t>第六条</w:t>
      </w:r>
      <w:r>
        <w:rPr>
          <w:rFonts w:hint="eastAsia" w:ascii="仿宋" w:hAnsi="仿宋" w:eastAsia="仿宋" w:cs="仿宋"/>
          <w:sz w:val="32"/>
          <w:szCs w:val="32"/>
        </w:rPr>
        <w:t xml:space="preserve">  以本科生在学期间的学业综合成绩排名在专业内从高到低依次确定推免资格。学业综合成绩由</w:t>
      </w:r>
      <w:r>
        <w:rPr>
          <w:rFonts w:hint="eastAsia" w:ascii="仿宋" w:hAnsi="仿宋" w:eastAsia="仿宋" w:cs="仿宋"/>
          <w:color w:val="auto"/>
          <w:sz w:val="32"/>
          <w:szCs w:val="32"/>
          <w:highlight w:val="none"/>
        </w:rPr>
        <w:t>前三学年</w:t>
      </w:r>
      <w:r>
        <w:rPr>
          <w:rFonts w:hint="eastAsia" w:ascii="仿宋" w:hAnsi="仿宋" w:eastAsia="仿宋" w:cs="仿宋"/>
          <w:sz w:val="32"/>
          <w:szCs w:val="32"/>
        </w:rPr>
        <w:t>的</w:t>
      </w:r>
      <w:r>
        <w:rPr>
          <w:rFonts w:hint="eastAsia" w:ascii="仿宋" w:hAnsi="仿宋" w:eastAsia="仿宋" w:cs="仿宋"/>
          <w:color w:val="000000"/>
          <w:kern w:val="0"/>
          <w:sz w:val="32"/>
          <w:szCs w:val="32"/>
          <w:lang w:bidi="ar"/>
        </w:rPr>
        <w:t>“推免研究生必修课加权平均成绩”</w:t>
      </w:r>
      <w:r>
        <w:rPr>
          <w:rFonts w:hint="eastAsia" w:ascii="仿宋" w:hAnsi="仿宋" w:eastAsia="仿宋" w:cs="仿宋"/>
          <w:sz w:val="32"/>
          <w:szCs w:val="32"/>
        </w:rPr>
        <w:t>、综合评价加分两部分组成，计算公式：</w:t>
      </w:r>
    </w:p>
    <w:p w14:paraId="7D6C64A8">
      <w:pPr>
        <w:spacing w:line="560" w:lineRule="exact"/>
        <w:ind w:firstLine="640" w:firstLineChars="200"/>
        <w:jc w:val="center"/>
        <w:rPr>
          <w:rFonts w:ascii="仿宋" w:hAnsi="仿宋" w:eastAsia="仿宋" w:cs="仿宋"/>
          <w:sz w:val="32"/>
          <w:szCs w:val="32"/>
        </w:rPr>
      </w:pPr>
      <w:r>
        <w:rPr>
          <w:rFonts w:hint="eastAsia" w:ascii="仿宋" w:hAnsi="仿宋" w:eastAsia="仿宋" w:cs="仿宋"/>
          <w:sz w:val="32"/>
          <w:szCs w:val="32"/>
        </w:rPr>
        <w:t>学业综合成绩＝</w:t>
      </w:r>
      <w:r>
        <w:rPr>
          <w:rFonts w:hint="eastAsia" w:ascii="仿宋" w:hAnsi="仿宋" w:eastAsia="仿宋" w:cs="仿宋"/>
          <w:color w:val="000000"/>
          <w:kern w:val="0"/>
          <w:sz w:val="32"/>
          <w:szCs w:val="32"/>
          <w:lang w:bidi="ar"/>
        </w:rPr>
        <w:t>“推免研究生必修课加权平均成绩”</w:t>
      </w:r>
      <w:r>
        <w:rPr>
          <w:rFonts w:hint="eastAsia" w:ascii="仿宋" w:hAnsi="仿宋" w:eastAsia="仿宋" w:cs="仿宋"/>
          <w:sz w:val="32"/>
          <w:szCs w:val="32"/>
        </w:rPr>
        <w:t>×90% + 综合评价加分</w:t>
      </w:r>
    </w:p>
    <w:p w14:paraId="5792136D">
      <w:pPr>
        <w:spacing w:line="560" w:lineRule="exact"/>
        <w:ind w:firstLine="640" w:firstLineChars="200"/>
        <w:rPr>
          <w:rFonts w:ascii="仿宋" w:hAnsi="仿宋" w:eastAsia="仿宋" w:cs="仿宋"/>
          <w:sz w:val="32"/>
          <w:szCs w:val="32"/>
        </w:rPr>
      </w:pPr>
      <w:r>
        <w:rPr>
          <w:rFonts w:hint="eastAsia" w:ascii="仿宋" w:hAnsi="仿宋" w:eastAsia="仿宋" w:cs="仿宋"/>
          <w:sz w:val="32"/>
          <w:szCs w:val="32"/>
        </w:rPr>
        <w:t>其中：</w:t>
      </w:r>
    </w:p>
    <w:p w14:paraId="162CC3AD">
      <w:pPr>
        <w:spacing w:line="560" w:lineRule="exact"/>
        <w:ind w:firstLine="640" w:firstLineChars="200"/>
        <w:rPr>
          <w:rFonts w:ascii="仿宋" w:hAnsi="仿宋" w:eastAsia="仿宋" w:cs="仿宋"/>
          <w:sz w:val="32"/>
          <w:szCs w:val="32"/>
        </w:rPr>
      </w:pPr>
      <w:r>
        <w:rPr>
          <w:rFonts w:hint="eastAsia" w:ascii="仿宋" w:hAnsi="仿宋" w:eastAsia="仿宋" w:cs="仿宋"/>
          <w:sz w:val="32"/>
          <w:szCs w:val="32"/>
        </w:rPr>
        <w:t>（一）</w:t>
      </w:r>
      <w:r>
        <w:rPr>
          <w:rFonts w:hint="eastAsia" w:ascii="仿宋" w:hAnsi="仿宋" w:eastAsia="仿宋" w:cs="仿宋"/>
          <w:color w:val="000000"/>
          <w:kern w:val="0"/>
          <w:sz w:val="32"/>
          <w:szCs w:val="32"/>
          <w:lang w:bidi="ar"/>
        </w:rPr>
        <w:t>“推免研究生必修课加权平均成绩”核算的课程范围为相应学年内的主修专业全部必修课，辅修课程成绩不计入，且</w:t>
      </w:r>
      <w:r>
        <w:rPr>
          <w:rFonts w:hint="eastAsia" w:ascii="仿宋" w:hAnsi="仿宋" w:eastAsia="仿宋" w:cs="仿宋"/>
          <w:sz w:val="32"/>
          <w:szCs w:val="32"/>
        </w:rPr>
        <w:t>成绩为首次合格成绩，满分100分。</w:t>
      </w:r>
    </w:p>
    <w:p w14:paraId="6A70499B">
      <w:pPr>
        <w:spacing w:line="560" w:lineRule="exact"/>
        <w:ind w:firstLine="640" w:firstLineChars="200"/>
        <w:rPr>
          <w:rFonts w:ascii="仿宋" w:hAnsi="仿宋" w:eastAsia="仿宋" w:cs="仿宋"/>
          <w:sz w:val="32"/>
          <w:szCs w:val="32"/>
        </w:rPr>
      </w:pPr>
      <w:r>
        <w:rPr>
          <w:rFonts w:hint="eastAsia" w:ascii="仿宋" w:hAnsi="仿宋" w:eastAsia="仿宋" w:cs="仿宋"/>
          <w:sz w:val="32"/>
          <w:szCs w:val="32"/>
        </w:rPr>
        <w:t>（二）综合评价加分相关材料截止日期为推免工作评定当年8月31日（含），满分10分。</w:t>
      </w:r>
    </w:p>
    <w:p w14:paraId="2D3462D6">
      <w:pPr>
        <w:spacing w:line="560" w:lineRule="exact"/>
        <w:ind w:firstLine="643" w:firstLineChars="200"/>
        <w:rPr>
          <w:rFonts w:ascii="仿宋" w:hAnsi="仿宋" w:eastAsia="仿宋" w:cs="仿宋"/>
          <w:sz w:val="32"/>
          <w:szCs w:val="32"/>
        </w:rPr>
      </w:pPr>
      <w:r>
        <w:rPr>
          <w:rFonts w:hint="eastAsia" w:ascii="仿宋" w:hAnsi="仿宋" w:eastAsia="仿宋" w:cs="仿宋"/>
          <w:b/>
          <w:bCs/>
          <w:sz w:val="32"/>
          <w:szCs w:val="32"/>
        </w:rPr>
        <w:t>第七条</w:t>
      </w:r>
      <w:r>
        <w:rPr>
          <w:rFonts w:hint="eastAsia" w:ascii="仿宋" w:hAnsi="仿宋" w:eastAsia="仿宋" w:cs="仿宋"/>
          <w:sz w:val="32"/>
          <w:szCs w:val="32"/>
        </w:rPr>
        <w:t xml:space="preserve">  综合评价加分项包括参军入伍服兵役、参加志愿服务或到国际组织实习、个人荣誉称号、学科竞赛获奖、科研创新成果、突出贡献共六个方面，每个方面加分均设置上限。</w:t>
      </w:r>
    </w:p>
    <w:p w14:paraId="62464178">
      <w:pPr>
        <w:widowControl/>
        <w:spacing w:line="560" w:lineRule="exact"/>
        <w:ind w:firstLine="640" w:firstLineChars="200"/>
        <w:rPr>
          <w:rFonts w:ascii="仿宋" w:hAnsi="仿宋" w:eastAsia="仿宋" w:cs="仿宋"/>
          <w:sz w:val="32"/>
          <w:szCs w:val="32"/>
        </w:rPr>
      </w:pPr>
      <w:r>
        <w:rPr>
          <w:rFonts w:hint="eastAsia" w:ascii="仿宋" w:hAnsi="仿宋" w:eastAsia="仿宋" w:cs="仿宋"/>
          <w:sz w:val="32"/>
          <w:szCs w:val="32"/>
        </w:rPr>
        <w:t>本科生与直系亲属或学历、职称、职务明显高于本人者</w:t>
      </w:r>
      <w:r>
        <w:rPr>
          <w:rFonts w:hint="eastAsia" w:ascii="仿宋" w:hAnsi="仿宋" w:eastAsia="仿宋" w:cs="仿宋"/>
          <w:color w:val="000000"/>
          <w:kern w:val="0"/>
          <w:sz w:val="32"/>
          <w:szCs w:val="32"/>
          <w:lang w:bidi="ar"/>
        </w:rPr>
        <w:t>（本校学业导师、竞赛指导教师和已备案的校外实习基地带教老师、企业导师等本科人才培养指导体系内的人员除外）</w:t>
      </w:r>
      <w:r>
        <w:rPr>
          <w:rFonts w:hint="eastAsia" w:ascii="仿宋" w:hAnsi="仿宋" w:eastAsia="仿宋" w:cs="仿宋"/>
          <w:sz w:val="32"/>
          <w:szCs w:val="32"/>
        </w:rPr>
        <w:t>合作的竞赛获奖、科研创新成果等仅作为参考，不纳入本人综合评价加分体系，</w:t>
      </w:r>
      <w:r>
        <w:rPr>
          <w:rFonts w:hint="eastAsia" w:ascii="仿宋" w:hAnsi="仿宋" w:eastAsia="仿宋" w:cs="仿宋"/>
          <w:color w:val="000000"/>
          <w:kern w:val="0"/>
          <w:sz w:val="32"/>
          <w:szCs w:val="32"/>
          <w:lang w:bidi="ar"/>
        </w:rPr>
        <w:t>仅在其他条件相同的情况下，作为优先推荐的参考</w:t>
      </w:r>
      <w:r>
        <w:rPr>
          <w:rFonts w:hint="eastAsia" w:ascii="仿宋" w:hAnsi="仿宋" w:eastAsia="仿宋" w:cs="仿宋"/>
          <w:sz w:val="32"/>
          <w:szCs w:val="32"/>
        </w:rPr>
        <w:t>。</w:t>
      </w:r>
    </w:p>
    <w:p w14:paraId="2D14F93B">
      <w:pPr>
        <w:spacing w:line="560" w:lineRule="exact"/>
        <w:ind w:firstLine="643" w:firstLineChars="200"/>
        <w:rPr>
          <w:rFonts w:ascii="仿宋" w:hAnsi="仿宋" w:eastAsia="仿宋" w:cs="仿宋"/>
          <w:b/>
          <w:bCs/>
          <w:sz w:val="32"/>
          <w:szCs w:val="32"/>
        </w:rPr>
      </w:pPr>
      <w:r>
        <w:rPr>
          <w:rFonts w:hint="eastAsia" w:ascii="仿宋" w:hAnsi="仿宋" w:eastAsia="仿宋" w:cs="仿宋"/>
          <w:b/>
          <w:bCs/>
          <w:sz w:val="32"/>
          <w:szCs w:val="32"/>
        </w:rPr>
        <w:t>（一）参军入伍服兵役</w:t>
      </w:r>
    </w:p>
    <w:p w14:paraId="29ADC274">
      <w:pPr>
        <w:spacing w:line="560" w:lineRule="exact"/>
        <w:ind w:firstLine="640" w:firstLineChars="200"/>
        <w:rPr>
          <w:rFonts w:ascii="仿宋" w:hAnsi="仿宋" w:eastAsia="仿宋" w:cs="仿宋"/>
          <w:sz w:val="32"/>
          <w:szCs w:val="32"/>
        </w:rPr>
      </w:pPr>
      <w:r>
        <w:rPr>
          <w:rFonts w:hint="eastAsia" w:ascii="仿宋" w:hAnsi="仿宋" w:eastAsia="仿宋" w:cs="仿宋"/>
          <w:sz w:val="32"/>
          <w:szCs w:val="32"/>
        </w:rPr>
        <w:t>根据《教育部办公厅关于进一步做好高校学生参军入伍工作的通知》（教学厅〔2015〕3号）文件精神，</w:t>
      </w:r>
      <w:r>
        <w:rPr>
          <w:rFonts w:hint="eastAsia" w:ascii="仿宋" w:hAnsi="仿宋" w:eastAsia="仿宋" w:cs="仿宋"/>
          <w:color w:val="000000"/>
          <w:kern w:val="0"/>
          <w:sz w:val="32"/>
          <w:szCs w:val="32"/>
          <w:lang w:bidi="ar"/>
        </w:rPr>
        <w:t>结合学校本科生应征入伍实际情况，对按照规定的服役周期节点退出现役的学生，给予1分基础加分。对在部队获评“四有”优秀士兵、优秀士官的，每项再加1分；服役期间立功者，视立功情况再加6-8分。</w:t>
      </w:r>
    </w:p>
    <w:p w14:paraId="36C179C6">
      <w:pPr>
        <w:widowControl/>
        <w:spacing w:line="560" w:lineRule="exact"/>
        <w:ind w:firstLine="640" w:firstLineChars="200"/>
        <w:rPr>
          <w:rFonts w:ascii="仿宋" w:hAnsi="仿宋" w:eastAsia="仿宋" w:cs="仿宋"/>
          <w:sz w:val="32"/>
          <w:szCs w:val="32"/>
        </w:rPr>
      </w:pPr>
      <w:r>
        <w:rPr>
          <w:rFonts w:hint="eastAsia" w:ascii="仿宋" w:hAnsi="仿宋" w:eastAsia="仿宋" w:cs="仿宋"/>
          <w:color w:val="000000"/>
          <w:kern w:val="0"/>
          <w:sz w:val="32"/>
          <w:szCs w:val="32"/>
          <w:lang w:bidi="ar"/>
        </w:rPr>
        <w:t>同一年度多次获得荣誉称号或立功的，按本年度最高荣誉给予认定；个人多年度获得荣誉称号或立功的，可累计计分（需要提供“通令”或“嘉奖登记表”等相关证明材料）。</w:t>
      </w:r>
    </w:p>
    <w:p w14:paraId="5DAC1827">
      <w:pPr>
        <w:widowControl/>
        <w:spacing w:line="560" w:lineRule="exact"/>
        <w:ind w:firstLine="640" w:firstLineChars="200"/>
        <w:rPr>
          <w:rFonts w:ascii="仿宋" w:hAnsi="仿宋" w:eastAsia="仿宋" w:cs="仿宋"/>
          <w:sz w:val="32"/>
          <w:szCs w:val="32"/>
        </w:rPr>
      </w:pPr>
      <w:r>
        <w:rPr>
          <w:rFonts w:hint="eastAsia" w:ascii="仿宋" w:hAnsi="仿宋" w:eastAsia="仿宋" w:cs="仿宋"/>
          <w:color w:val="000000"/>
          <w:kern w:val="0"/>
          <w:sz w:val="32"/>
          <w:szCs w:val="32"/>
          <w:lang w:bidi="ar"/>
        </w:rPr>
        <w:t>该项指标的加分上限为8分。</w:t>
      </w:r>
    </w:p>
    <w:p w14:paraId="6669E450">
      <w:pPr>
        <w:spacing w:line="560" w:lineRule="exact"/>
        <w:ind w:firstLine="643" w:firstLineChars="200"/>
        <w:rPr>
          <w:rFonts w:ascii="仿宋" w:hAnsi="仿宋" w:eastAsia="仿宋" w:cs="仿宋"/>
          <w:b/>
          <w:bCs/>
          <w:sz w:val="32"/>
          <w:szCs w:val="32"/>
        </w:rPr>
      </w:pPr>
      <w:r>
        <w:rPr>
          <w:rFonts w:hint="eastAsia" w:ascii="仿宋" w:hAnsi="仿宋" w:eastAsia="仿宋" w:cs="仿宋"/>
          <w:b/>
          <w:bCs/>
          <w:sz w:val="32"/>
          <w:szCs w:val="32"/>
        </w:rPr>
        <w:t>（二）参加志愿服务或到国际组织实习</w:t>
      </w:r>
    </w:p>
    <w:p w14:paraId="4F31CD56">
      <w:pPr>
        <w:widowControl/>
        <w:spacing w:line="560" w:lineRule="exact"/>
        <w:ind w:firstLine="640" w:firstLineChars="200"/>
        <w:rPr>
          <w:rFonts w:ascii="仿宋" w:hAnsi="仿宋" w:eastAsia="仿宋" w:cs="仿宋"/>
          <w:sz w:val="32"/>
          <w:szCs w:val="32"/>
        </w:rPr>
      </w:pPr>
      <w:r>
        <w:rPr>
          <w:rFonts w:hint="eastAsia" w:ascii="仿宋" w:hAnsi="仿宋" w:eastAsia="仿宋" w:cs="仿宋"/>
          <w:color w:val="000000"/>
          <w:kern w:val="0"/>
          <w:sz w:val="32"/>
          <w:szCs w:val="32"/>
          <w:lang w:bidi="ar"/>
        </w:rPr>
        <w:t>本科生参加由学校团委招募的大型活动、赛事、会议的志愿服务累计满80小时并获得校级及以上表彰，或在学校团委招募下赴国际组织实习2周及以上且表现突出，可予以加分。服务或实习每类只认定一次，加分标准为0.5分/次。</w:t>
      </w:r>
    </w:p>
    <w:p w14:paraId="5F8ACCFC">
      <w:pPr>
        <w:widowControl/>
        <w:spacing w:line="560" w:lineRule="exact"/>
        <w:ind w:firstLine="640" w:firstLineChars="200"/>
        <w:rPr>
          <w:rFonts w:ascii="仿宋" w:hAnsi="仿宋" w:eastAsia="仿宋" w:cs="仿宋"/>
          <w:sz w:val="32"/>
          <w:szCs w:val="32"/>
        </w:rPr>
      </w:pPr>
      <w:r>
        <w:rPr>
          <w:rFonts w:hint="eastAsia" w:ascii="仿宋" w:hAnsi="仿宋" w:eastAsia="仿宋" w:cs="仿宋"/>
          <w:color w:val="000000"/>
          <w:kern w:val="0"/>
          <w:sz w:val="32"/>
          <w:szCs w:val="32"/>
          <w:lang w:bidi="ar"/>
        </w:rPr>
        <w:t>该项指标的加分上限为1分。</w:t>
      </w:r>
    </w:p>
    <w:p w14:paraId="1E8A8567">
      <w:pPr>
        <w:spacing w:line="560" w:lineRule="exact"/>
        <w:ind w:firstLine="643" w:firstLineChars="200"/>
        <w:rPr>
          <w:rFonts w:ascii="仿宋" w:hAnsi="仿宋" w:eastAsia="仿宋" w:cs="仿宋"/>
          <w:b/>
          <w:bCs/>
          <w:sz w:val="32"/>
          <w:szCs w:val="32"/>
          <w:highlight w:val="none"/>
        </w:rPr>
      </w:pPr>
      <w:r>
        <w:rPr>
          <w:rFonts w:hint="eastAsia" w:ascii="仿宋" w:hAnsi="仿宋" w:eastAsia="仿宋" w:cs="仿宋"/>
          <w:b/>
          <w:bCs/>
          <w:sz w:val="32"/>
          <w:szCs w:val="32"/>
          <w:highlight w:val="none"/>
        </w:rPr>
        <w:t>（三）获得</w:t>
      </w:r>
      <w:r>
        <w:rPr>
          <w:rFonts w:hint="eastAsia" w:ascii="仿宋" w:hAnsi="仿宋" w:eastAsia="仿宋" w:cs="仿宋"/>
          <w:b/>
          <w:bCs/>
          <w:sz w:val="32"/>
          <w:szCs w:val="32"/>
          <w:highlight w:val="none"/>
          <w:lang w:val="en-US" w:eastAsia="zh-CN"/>
        </w:rPr>
        <w:t>个人</w:t>
      </w:r>
      <w:r>
        <w:rPr>
          <w:rFonts w:hint="eastAsia" w:ascii="仿宋" w:hAnsi="仿宋" w:eastAsia="仿宋" w:cs="仿宋"/>
          <w:b/>
          <w:bCs/>
          <w:sz w:val="32"/>
          <w:szCs w:val="32"/>
          <w:highlight w:val="none"/>
        </w:rPr>
        <w:t>荣誉称号</w:t>
      </w:r>
    </w:p>
    <w:p w14:paraId="0AE5DD85">
      <w:pPr>
        <w:keepNext w:val="0"/>
        <w:keepLines w:val="0"/>
        <w:pageBreakBefore w:val="0"/>
        <w:kinsoku/>
        <w:wordWrap/>
        <w:overflowPunct/>
        <w:topLinePunct w:val="0"/>
        <w:autoSpaceDE/>
        <w:autoSpaceDN/>
        <w:bidi w:val="0"/>
        <w:adjustRightInd/>
        <w:spacing w:line="560" w:lineRule="exact"/>
        <w:ind w:firstLine="640" w:firstLineChars="200"/>
        <w:textAlignment w:val="auto"/>
        <w:rPr>
          <w:rFonts w:hint="eastAsia" w:ascii="仿宋" w:hAnsi="仿宋" w:eastAsia="仿宋" w:cs="仿宋"/>
          <w:color w:val="auto"/>
          <w:sz w:val="32"/>
          <w:szCs w:val="32"/>
          <w:highlight w:val="none"/>
          <w:u w:val="none"/>
        </w:rPr>
      </w:pPr>
      <w:r>
        <w:rPr>
          <w:rFonts w:hint="eastAsia" w:ascii="仿宋" w:hAnsi="仿宋" w:eastAsia="仿宋" w:cs="仿宋"/>
          <w:color w:val="auto"/>
          <w:sz w:val="32"/>
          <w:szCs w:val="32"/>
          <w:highlight w:val="none"/>
          <w:u w:val="none"/>
        </w:rPr>
        <w:t>本科生表现优秀获得由学校评选推荐的个人荣誉称号可予以加分，</w:t>
      </w:r>
      <w:r>
        <w:rPr>
          <w:rFonts w:hint="eastAsia" w:ascii="仿宋" w:hAnsi="仿宋" w:eastAsia="仿宋" w:cs="仿宋"/>
          <w:color w:val="auto"/>
          <w:sz w:val="32"/>
          <w:szCs w:val="32"/>
          <w:highlight w:val="none"/>
          <w:u w:val="none"/>
          <w:lang w:val="en-US" w:eastAsia="zh-CN"/>
        </w:rPr>
        <w:t>ABCD类</w:t>
      </w:r>
      <w:r>
        <w:rPr>
          <w:rFonts w:hint="eastAsia" w:ascii="仿宋" w:hAnsi="仿宋" w:eastAsia="仿宋" w:cs="仿宋"/>
          <w:color w:val="auto"/>
          <w:sz w:val="32"/>
          <w:szCs w:val="32"/>
          <w:highlight w:val="none"/>
          <w:u w:val="none"/>
        </w:rPr>
        <w:t>相同类别不同等级个人荣誉称号只取最高级别1项加分</w:t>
      </w:r>
      <w:r>
        <w:rPr>
          <w:rFonts w:hint="eastAsia" w:ascii="仿宋" w:hAnsi="仿宋" w:eastAsia="仿宋" w:cs="仿宋"/>
          <w:color w:val="auto"/>
          <w:sz w:val="32"/>
          <w:szCs w:val="32"/>
          <w:highlight w:val="none"/>
          <w:u w:val="none"/>
          <w:lang w:eastAsia="zh-CN"/>
        </w:rPr>
        <w:t>，</w:t>
      </w:r>
      <w:r>
        <w:rPr>
          <w:rFonts w:hint="eastAsia" w:ascii="仿宋" w:hAnsi="仿宋" w:eastAsia="仿宋" w:cs="仿宋"/>
          <w:color w:val="auto"/>
          <w:sz w:val="32"/>
          <w:szCs w:val="32"/>
          <w:highlight w:val="none"/>
          <w:u w:val="none"/>
          <w:lang w:val="en-US" w:eastAsia="zh-CN"/>
        </w:rPr>
        <w:t>ABCD</w:t>
      </w:r>
      <w:r>
        <w:rPr>
          <w:rFonts w:hint="eastAsia" w:ascii="仿宋" w:hAnsi="仿宋" w:eastAsia="仿宋" w:cs="仿宋"/>
          <w:color w:val="auto"/>
          <w:sz w:val="32"/>
          <w:szCs w:val="32"/>
          <w:highlight w:val="none"/>
          <w:u w:val="none"/>
          <w:lang w:eastAsia="zh-CN"/>
        </w:rPr>
        <w:t>不同类别之间可累计加分</w:t>
      </w:r>
      <w:r>
        <w:rPr>
          <w:rFonts w:hint="eastAsia" w:ascii="仿宋" w:hAnsi="仿宋" w:eastAsia="仿宋" w:cs="仿宋"/>
          <w:color w:val="auto"/>
          <w:sz w:val="32"/>
          <w:szCs w:val="32"/>
          <w:highlight w:val="none"/>
          <w:u w:val="none"/>
        </w:rPr>
        <w:t>。所有此类荣誉以证书为准，该项指标的加分上限为2.0分。荣誉称号认定以《推荐优秀本科生免试攻读研究生个人荣誉称号清单》为准。</w:t>
      </w:r>
    </w:p>
    <w:p w14:paraId="26AB32CD">
      <w:pPr>
        <w:keepNext w:val="0"/>
        <w:keepLines w:val="0"/>
        <w:pageBreakBefore w:val="0"/>
        <w:kinsoku/>
        <w:wordWrap/>
        <w:overflowPunct/>
        <w:topLinePunct w:val="0"/>
        <w:autoSpaceDE/>
        <w:autoSpaceDN/>
        <w:bidi w:val="0"/>
        <w:adjustRightInd/>
        <w:spacing w:line="560" w:lineRule="exact"/>
        <w:ind w:firstLine="640" w:firstLineChars="200"/>
        <w:textAlignment w:val="auto"/>
        <w:rPr>
          <w:rFonts w:hint="eastAsia" w:ascii="仿宋" w:hAnsi="仿宋" w:eastAsia="仿宋" w:cs="仿宋"/>
          <w:color w:val="auto"/>
          <w:sz w:val="32"/>
          <w:szCs w:val="32"/>
          <w:highlight w:val="none"/>
          <w:u w:val="none"/>
        </w:rPr>
      </w:pPr>
      <w:r>
        <w:rPr>
          <w:rFonts w:hint="eastAsia" w:ascii="仿宋" w:hAnsi="仿宋" w:eastAsia="仿宋" w:cs="仿宋"/>
          <w:color w:val="auto"/>
          <w:sz w:val="32"/>
          <w:szCs w:val="32"/>
          <w:highlight w:val="none"/>
          <w:u w:val="none"/>
        </w:rPr>
        <w:t>加分标准：国家级荣誉称号加2.0分；省级荣誉称号加1</w:t>
      </w:r>
      <w:r>
        <w:rPr>
          <w:rFonts w:hint="eastAsia" w:ascii="仿宋" w:hAnsi="仿宋" w:eastAsia="仿宋" w:cs="仿宋"/>
          <w:color w:val="auto"/>
          <w:sz w:val="32"/>
          <w:szCs w:val="32"/>
          <w:highlight w:val="none"/>
          <w:u w:val="none"/>
          <w:lang w:val="en-US" w:eastAsia="zh-CN"/>
        </w:rPr>
        <w:t>.0</w:t>
      </w:r>
      <w:r>
        <w:rPr>
          <w:rFonts w:hint="eastAsia" w:ascii="仿宋" w:hAnsi="仿宋" w:eastAsia="仿宋" w:cs="仿宋"/>
          <w:color w:val="auto"/>
          <w:sz w:val="32"/>
          <w:szCs w:val="32"/>
          <w:highlight w:val="none"/>
          <w:u w:val="none"/>
        </w:rPr>
        <w:t>分；市厅级荣誉称号加</w:t>
      </w:r>
      <w:r>
        <w:rPr>
          <w:rFonts w:hint="eastAsia" w:ascii="仿宋" w:hAnsi="仿宋" w:eastAsia="仿宋" w:cs="仿宋"/>
          <w:color w:val="auto"/>
          <w:sz w:val="32"/>
          <w:szCs w:val="32"/>
          <w:highlight w:val="none"/>
          <w:u w:val="none"/>
          <w:lang w:val="en-US" w:eastAsia="zh-CN"/>
        </w:rPr>
        <w:t>0.5</w:t>
      </w:r>
      <w:r>
        <w:rPr>
          <w:rFonts w:hint="eastAsia" w:ascii="仿宋" w:hAnsi="仿宋" w:eastAsia="仿宋" w:cs="仿宋"/>
          <w:color w:val="auto"/>
          <w:sz w:val="32"/>
          <w:szCs w:val="32"/>
          <w:highlight w:val="none"/>
          <w:u w:val="none"/>
        </w:rPr>
        <w:t>分，校级荣誉称号加0.</w:t>
      </w:r>
      <w:r>
        <w:rPr>
          <w:rFonts w:hint="eastAsia" w:ascii="仿宋" w:hAnsi="仿宋" w:eastAsia="仿宋" w:cs="仿宋"/>
          <w:color w:val="auto"/>
          <w:sz w:val="32"/>
          <w:szCs w:val="32"/>
          <w:highlight w:val="none"/>
          <w:u w:val="none"/>
          <w:lang w:val="en-US" w:eastAsia="zh-CN"/>
        </w:rPr>
        <w:t>3</w:t>
      </w:r>
      <w:r>
        <w:rPr>
          <w:rFonts w:hint="eastAsia" w:ascii="仿宋" w:hAnsi="仿宋" w:eastAsia="仿宋" w:cs="仿宋"/>
          <w:color w:val="auto"/>
          <w:sz w:val="32"/>
          <w:szCs w:val="32"/>
          <w:highlight w:val="none"/>
          <w:u w:val="none"/>
        </w:rPr>
        <w:t>分。</w:t>
      </w:r>
    </w:p>
    <w:p w14:paraId="3EDBF4F4">
      <w:pPr>
        <w:spacing w:line="560" w:lineRule="exact"/>
        <w:ind w:firstLine="643" w:firstLineChars="200"/>
        <w:rPr>
          <w:rFonts w:ascii="仿宋" w:hAnsi="仿宋" w:eastAsia="仿宋" w:cs="仿宋"/>
          <w:b/>
          <w:bCs/>
          <w:sz w:val="32"/>
          <w:szCs w:val="32"/>
        </w:rPr>
      </w:pPr>
      <w:r>
        <w:rPr>
          <w:rFonts w:hint="eastAsia" w:ascii="仿宋" w:hAnsi="仿宋" w:eastAsia="仿宋" w:cs="仿宋"/>
          <w:b/>
          <w:bCs/>
          <w:sz w:val="32"/>
          <w:szCs w:val="32"/>
        </w:rPr>
        <w:t>（四）学科竞赛获奖</w:t>
      </w:r>
    </w:p>
    <w:p w14:paraId="2EF8C134">
      <w:pPr>
        <w:widowControl/>
        <w:spacing w:line="560" w:lineRule="exact"/>
        <w:ind w:firstLine="640" w:firstLineChars="200"/>
        <w:jc w:val="both"/>
        <w:rPr>
          <w:rFonts w:ascii="仿宋" w:hAnsi="仿宋" w:eastAsia="仿宋" w:cs="仿宋"/>
          <w:sz w:val="32"/>
          <w:szCs w:val="32"/>
        </w:rPr>
      </w:pPr>
      <w:r>
        <w:rPr>
          <w:rFonts w:hint="eastAsia" w:ascii="仿宋" w:hAnsi="仿宋" w:eastAsia="仿宋" w:cs="仿宋"/>
          <w:sz w:val="32"/>
          <w:szCs w:val="32"/>
        </w:rPr>
        <w:t>本科生作为主力队员（证书/红头文件额定人员）参加《华北理工大学大学生竞赛指导目录》</w:t>
      </w:r>
      <w:r>
        <w:rPr>
          <w:rFonts w:hint="eastAsia" w:ascii="仿宋" w:hAnsi="仿宋" w:eastAsia="仿宋" w:cs="仿宋"/>
          <w:color w:val="000000"/>
          <w:kern w:val="0"/>
          <w:sz w:val="32"/>
          <w:szCs w:val="32"/>
          <w:lang w:bidi="ar"/>
        </w:rPr>
        <w:t>（简称《目录》）</w:t>
      </w:r>
      <w:r>
        <w:rPr>
          <w:rFonts w:hint="eastAsia" w:ascii="仿宋" w:hAnsi="仿宋" w:eastAsia="仿宋" w:cs="仿宋"/>
          <w:sz w:val="32"/>
          <w:szCs w:val="32"/>
        </w:rPr>
        <w:t>中的竞赛且获得三等奖及以上奖励予以加分，竞赛获奖等级以该项赛事当年的奖项设置为依据。</w:t>
      </w:r>
    </w:p>
    <w:p w14:paraId="746DB70F">
      <w:pPr>
        <w:spacing w:line="560" w:lineRule="exact"/>
        <w:ind w:firstLine="640" w:firstLineChars="200"/>
        <w:rPr>
          <w:rFonts w:ascii="仿宋" w:hAnsi="仿宋" w:eastAsia="仿宋" w:cs="仿宋"/>
          <w:color w:val="000000" w:themeColor="text1"/>
          <w:sz w:val="32"/>
          <w:szCs w:val="32"/>
          <w14:textFill>
            <w14:solidFill>
              <w14:schemeClr w14:val="tx1"/>
            </w14:solidFill>
          </w14:textFill>
        </w:rPr>
      </w:pPr>
      <w:r>
        <w:rPr>
          <w:rFonts w:hint="eastAsia" w:ascii="仿宋" w:hAnsi="仿宋" w:eastAsia="仿宋" w:cs="仿宋"/>
          <w:color w:val="000000" w:themeColor="text1"/>
          <w:sz w:val="32"/>
          <w:szCs w:val="32"/>
          <w14:textFill>
            <w14:solidFill>
              <w14:schemeClr w14:val="tx1"/>
            </w14:solidFill>
          </w14:textFill>
        </w:rPr>
        <w:t>省级及以上获奖可累计加分，但省级获奖不超3项，校级获奖不加分。同一项目在同一届次竞赛中获得国家级、省级奖励的，不累计加分，只就高认定加分1次。</w:t>
      </w:r>
    </w:p>
    <w:p w14:paraId="7ACDB865">
      <w:pPr>
        <w:spacing w:line="560" w:lineRule="exact"/>
        <w:ind w:firstLine="640" w:firstLineChars="200"/>
        <w:rPr>
          <w:rFonts w:ascii="仿宋" w:hAnsi="仿宋" w:eastAsia="仿宋" w:cs="仿宋"/>
          <w:color w:val="FF0000"/>
          <w:sz w:val="32"/>
          <w:szCs w:val="32"/>
        </w:rPr>
      </w:pPr>
      <w:r>
        <w:rPr>
          <w:rFonts w:hint="eastAsia" w:ascii="仿宋" w:hAnsi="仿宋" w:eastAsia="仿宋" w:cs="仿宋"/>
          <w:color w:val="000000" w:themeColor="text1"/>
          <w:sz w:val="32"/>
          <w:szCs w:val="32"/>
          <w14:textFill>
            <w14:solidFill>
              <w14:schemeClr w14:val="tx1"/>
            </w14:solidFill>
          </w14:textFill>
        </w:rPr>
        <w:t>该项指标的加分上限为4.0分。</w:t>
      </w:r>
    </w:p>
    <w:p w14:paraId="31072316">
      <w:pPr>
        <w:spacing w:line="560" w:lineRule="exact"/>
        <w:ind w:firstLine="640" w:firstLineChars="200"/>
        <w:rPr>
          <w:rFonts w:ascii="仿宋" w:hAnsi="仿宋" w:eastAsia="仿宋" w:cs="仿宋"/>
          <w:sz w:val="32"/>
          <w:szCs w:val="32"/>
        </w:rPr>
      </w:pPr>
      <w:r>
        <w:rPr>
          <w:rFonts w:hint="eastAsia" w:ascii="仿宋" w:hAnsi="仿宋" w:eastAsia="仿宋" w:cs="仿宋"/>
          <w:sz w:val="32"/>
          <w:szCs w:val="32"/>
        </w:rPr>
        <w:t>加分标准如表1所示。</w:t>
      </w:r>
    </w:p>
    <w:p w14:paraId="1AEC8280">
      <w:pPr>
        <w:spacing w:line="560" w:lineRule="exact"/>
        <w:jc w:val="center"/>
        <w:rPr>
          <w:rFonts w:ascii="仿宋" w:hAnsi="仿宋" w:eastAsia="仿宋" w:cs="仿宋"/>
          <w:sz w:val="32"/>
          <w:szCs w:val="32"/>
        </w:rPr>
      </w:pPr>
      <w:r>
        <w:rPr>
          <w:rFonts w:hint="eastAsia" w:ascii="仿宋" w:hAnsi="仿宋" w:eastAsia="仿宋" w:cs="仿宋"/>
          <w:sz w:val="32"/>
          <w:szCs w:val="32"/>
        </w:rPr>
        <w:t>表1  学科竞赛获奖加分标准</w:t>
      </w:r>
    </w:p>
    <w:tbl>
      <w:tblPr>
        <w:tblStyle w:val="10"/>
        <w:tblW w:w="499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58"/>
        <w:gridCol w:w="1724"/>
        <w:gridCol w:w="1830"/>
        <w:gridCol w:w="1834"/>
        <w:gridCol w:w="1957"/>
      </w:tblGrid>
      <w:tr w14:paraId="236D0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11" w:hRule="atLeast"/>
          <w:tblHeader/>
          <w:jc w:val="center"/>
        </w:trPr>
        <w:tc>
          <w:tcPr>
            <w:tcW w:w="1052" w:type="pct"/>
            <w:tcBorders>
              <w:tl2br w:val="single" w:color="auto" w:sz="4" w:space="0"/>
            </w:tcBorders>
            <w:vAlign w:val="center"/>
          </w:tcPr>
          <w:p w14:paraId="188BB849">
            <w:pPr>
              <w:snapToGrid w:val="0"/>
              <w:spacing w:line="560" w:lineRule="exact"/>
              <w:ind w:firstLine="960" w:firstLineChars="300"/>
              <w:rPr>
                <w:rFonts w:ascii="仿宋" w:hAnsi="仿宋" w:eastAsia="仿宋" w:cs="仿宋"/>
                <w:color w:val="000000" w:themeColor="text1"/>
                <w:sz w:val="32"/>
                <w:szCs w:val="32"/>
                <w14:textFill>
                  <w14:solidFill>
                    <w14:schemeClr w14:val="tx1"/>
                  </w14:solidFill>
                </w14:textFill>
              </w:rPr>
            </w:pPr>
            <w:r>
              <w:rPr>
                <w:rFonts w:hint="eastAsia" w:ascii="仿宋" w:hAnsi="仿宋" w:eastAsia="仿宋" w:cs="仿宋"/>
                <w:color w:val="000000" w:themeColor="text1"/>
                <w:sz w:val="32"/>
                <w:szCs w:val="32"/>
                <w14:textFill>
                  <w14:solidFill>
                    <w14:schemeClr w14:val="tx1"/>
                  </w14:solidFill>
                </w14:textFill>
              </w:rPr>
              <w:t>等级</w:t>
            </w:r>
          </w:p>
          <w:p w14:paraId="6521AC59">
            <w:pPr>
              <w:snapToGrid w:val="0"/>
              <w:spacing w:line="560" w:lineRule="exact"/>
              <w:rPr>
                <w:rFonts w:ascii="仿宋" w:hAnsi="仿宋" w:eastAsia="仿宋" w:cs="仿宋"/>
                <w:color w:val="000000" w:themeColor="text1"/>
                <w:sz w:val="32"/>
                <w:szCs w:val="32"/>
                <w14:textFill>
                  <w14:solidFill>
                    <w14:schemeClr w14:val="tx1"/>
                  </w14:solidFill>
                </w14:textFill>
              </w:rPr>
            </w:pPr>
            <w:r>
              <w:rPr>
                <w:rFonts w:hint="eastAsia" w:ascii="仿宋" w:hAnsi="仿宋" w:eastAsia="仿宋" w:cs="仿宋"/>
                <w:color w:val="000000" w:themeColor="text1"/>
                <w:sz w:val="32"/>
                <w:szCs w:val="32"/>
                <w14:textFill>
                  <w14:solidFill>
                    <w14:schemeClr w14:val="tx1"/>
                  </w14:solidFill>
                </w14:textFill>
              </w:rPr>
              <w:t>类别</w:t>
            </w:r>
          </w:p>
        </w:tc>
        <w:tc>
          <w:tcPr>
            <w:tcW w:w="926" w:type="pct"/>
            <w:vAlign w:val="center"/>
          </w:tcPr>
          <w:p w14:paraId="6AD8B164">
            <w:pPr>
              <w:snapToGrid w:val="0"/>
              <w:spacing w:line="560" w:lineRule="exact"/>
              <w:jc w:val="center"/>
              <w:rPr>
                <w:rFonts w:ascii="仿宋" w:hAnsi="仿宋" w:eastAsia="仿宋" w:cs="仿宋"/>
                <w:color w:val="000000" w:themeColor="text1"/>
                <w:sz w:val="32"/>
                <w:szCs w:val="32"/>
                <w14:textFill>
                  <w14:solidFill>
                    <w14:schemeClr w14:val="tx1"/>
                  </w14:solidFill>
                </w14:textFill>
              </w:rPr>
            </w:pPr>
            <w:r>
              <w:rPr>
                <w:rFonts w:hint="eastAsia" w:ascii="仿宋" w:hAnsi="仿宋" w:eastAsia="仿宋" w:cs="仿宋"/>
                <w:color w:val="000000" w:themeColor="text1"/>
                <w:sz w:val="32"/>
                <w:szCs w:val="32"/>
                <w14:textFill>
                  <w14:solidFill>
                    <w14:schemeClr w14:val="tx1"/>
                  </w14:solidFill>
                </w14:textFill>
              </w:rPr>
              <w:t>特等奖</w:t>
            </w:r>
          </w:p>
        </w:tc>
        <w:tc>
          <w:tcPr>
            <w:tcW w:w="983" w:type="pct"/>
            <w:vAlign w:val="center"/>
          </w:tcPr>
          <w:p w14:paraId="636F5A37">
            <w:pPr>
              <w:snapToGrid w:val="0"/>
              <w:spacing w:line="560" w:lineRule="exact"/>
              <w:jc w:val="center"/>
              <w:rPr>
                <w:rFonts w:ascii="仿宋" w:hAnsi="仿宋" w:eastAsia="仿宋" w:cs="仿宋"/>
                <w:color w:val="000000" w:themeColor="text1"/>
                <w:sz w:val="32"/>
                <w:szCs w:val="32"/>
                <w:lang w:val="zh-CN" w:bidi="zh-CN"/>
                <w14:textFill>
                  <w14:solidFill>
                    <w14:schemeClr w14:val="tx1"/>
                  </w14:solidFill>
                </w14:textFill>
              </w:rPr>
            </w:pPr>
            <w:r>
              <w:rPr>
                <w:rFonts w:hint="eastAsia" w:ascii="仿宋" w:hAnsi="仿宋" w:eastAsia="仿宋" w:cs="仿宋"/>
                <w:color w:val="000000" w:themeColor="text1"/>
                <w:sz w:val="32"/>
                <w:szCs w:val="32"/>
                <w14:textFill>
                  <w14:solidFill>
                    <w14:schemeClr w14:val="tx1"/>
                  </w14:solidFill>
                </w14:textFill>
              </w:rPr>
              <w:t>一等奖</w:t>
            </w:r>
          </w:p>
        </w:tc>
        <w:tc>
          <w:tcPr>
            <w:tcW w:w="985" w:type="pct"/>
            <w:vAlign w:val="center"/>
          </w:tcPr>
          <w:p w14:paraId="7D397635">
            <w:pPr>
              <w:snapToGrid w:val="0"/>
              <w:spacing w:line="560" w:lineRule="exact"/>
              <w:jc w:val="center"/>
              <w:rPr>
                <w:rFonts w:ascii="仿宋" w:hAnsi="仿宋" w:eastAsia="仿宋" w:cs="仿宋"/>
                <w:color w:val="000000" w:themeColor="text1"/>
                <w:sz w:val="32"/>
                <w:szCs w:val="32"/>
                <w:lang w:val="zh-CN" w:bidi="zh-CN"/>
                <w14:textFill>
                  <w14:solidFill>
                    <w14:schemeClr w14:val="tx1"/>
                  </w14:solidFill>
                </w14:textFill>
              </w:rPr>
            </w:pPr>
            <w:r>
              <w:rPr>
                <w:rFonts w:hint="eastAsia" w:ascii="仿宋" w:hAnsi="仿宋" w:eastAsia="仿宋" w:cs="仿宋"/>
                <w:color w:val="000000" w:themeColor="text1"/>
                <w:sz w:val="32"/>
                <w:szCs w:val="32"/>
                <w14:textFill>
                  <w14:solidFill>
                    <w14:schemeClr w14:val="tx1"/>
                  </w14:solidFill>
                </w14:textFill>
              </w:rPr>
              <w:t>二等奖</w:t>
            </w:r>
          </w:p>
        </w:tc>
        <w:tc>
          <w:tcPr>
            <w:tcW w:w="1051" w:type="pct"/>
            <w:vAlign w:val="center"/>
          </w:tcPr>
          <w:p w14:paraId="641FFC93">
            <w:pPr>
              <w:snapToGrid w:val="0"/>
              <w:spacing w:line="560" w:lineRule="exact"/>
              <w:jc w:val="center"/>
              <w:rPr>
                <w:rFonts w:ascii="仿宋" w:hAnsi="仿宋" w:eastAsia="仿宋" w:cs="仿宋"/>
                <w:color w:val="000000" w:themeColor="text1"/>
                <w:sz w:val="32"/>
                <w:szCs w:val="32"/>
                <w:lang w:val="zh-CN" w:bidi="zh-CN"/>
                <w14:textFill>
                  <w14:solidFill>
                    <w14:schemeClr w14:val="tx1"/>
                  </w14:solidFill>
                </w14:textFill>
              </w:rPr>
            </w:pPr>
            <w:r>
              <w:rPr>
                <w:rFonts w:hint="eastAsia" w:ascii="仿宋" w:hAnsi="仿宋" w:eastAsia="仿宋" w:cs="仿宋"/>
                <w:color w:val="000000" w:themeColor="text1"/>
                <w:sz w:val="32"/>
                <w:szCs w:val="32"/>
                <w14:textFill>
                  <w14:solidFill>
                    <w14:schemeClr w14:val="tx1"/>
                  </w14:solidFill>
                </w14:textFill>
              </w:rPr>
              <w:t>三等奖</w:t>
            </w:r>
          </w:p>
        </w:tc>
      </w:tr>
      <w:tr w14:paraId="6A00A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76" w:hRule="atLeast"/>
          <w:jc w:val="center"/>
        </w:trPr>
        <w:tc>
          <w:tcPr>
            <w:tcW w:w="1052" w:type="pct"/>
            <w:vAlign w:val="center"/>
          </w:tcPr>
          <w:p w14:paraId="28652B4C">
            <w:pPr>
              <w:snapToGrid w:val="0"/>
              <w:spacing w:line="560" w:lineRule="exact"/>
              <w:jc w:val="center"/>
              <w:rPr>
                <w:rFonts w:ascii="仿宋" w:hAnsi="仿宋" w:eastAsia="仿宋" w:cs="仿宋"/>
                <w:color w:val="000000" w:themeColor="text1"/>
                <w:sz w:val="32"/>
                <w:szCs w:val="32"/>
                <w:highlight w:val="none"/>
                <w14:textFill>
                  <w14:solidFill>
                    <w14:schemeClr w14:val="tx1"/>
                  </w14:solidFill>
                </w14:textFill>
              </w:rPr>
            </w:pPr>
            <w:r>
              <w:rPr>
                <w:rFonts w:hint="eastAsia" w:ascii="仿宋" w:hAnsi="仿宋" w:eastAsia="仿宋" w:cs="仿宋"/>
                <w:color w:val="000000" w:themeColor="text1"/>
                <w:sz w:val="32"/>
                <w:szCs w:val="32"/>
                <w:highlight w:val="none"/>
                <w14:textFill>
                  <w14:solidFill>
                    <w14:schemeClr w14:val="tx1"/>
                  </w14:solidFill>
                </w14:textFill>
              </w:rPr>
              <w:t>省级</w:t>
            </w:r>
          </w:p>
        </w:tc>
        <w:tc>
          <w:tcPr>
            <w:tcW w:w="926" w:type="pct"/>
            <w:vAlign w:val="center"/>
          </w:tcPr>
          <w:p w14:paraId="26BF51F0">
            <w:pPr>
              <w:snapToGrid w:val="0"/>
              <w:spacing w:line="560" w:lineRule="exact"/>
              <w:jc w:val="center"/>
              <w:rPr>
                <w:rFonts w:ascii="仿宋" w:hAnsi="仿宋" w:eastAsia="仿宋" w:cs="仿宋"/>
                <w:color w:val="000000" w:themeColor="text1"/>
                <w:sz w:val="32"/>
                <w:szCs w:val="32"/>
                <w:highlight w:val="none"/>
                <w14:textFill>
                  <w14:solidFill>
                    <w14:schemeClr w14:val="tx1"/>
                  </w14:solidFill>
                </w14:textFill>
              </w:rPr>
            </w:pPr>
            <w:r>
              <w:rPr>
                <w:rFonts w:hint="eastAsia" w:ascii="仿宋" w:hAnsi="仿宋" w:eastAsia="仿宋" w:cs="仿宋"/>
                <w:color w:val="000000" w:themeColor="text1"/>
                <w:sz w:val="32"/>
                <w:szCs w:val="32"/>
                <w:highlight w:val="none"/>
                <w14:textFill>
                  <w14:solidFill>
                    <w14:schemeClr w14:val="tx1"/>
                  </w14:solidFill>
                </w14:textFill>
              </w:rPr>
              <w:t>1.2</w:t>
            </w:r>
          </w:p>
        </w:tc>
        <w:tc>
          <w:tcPr>
            <w:tcW w:w="983" w:type="pct"/>
            <w:vAlign w:val="center"/>
          </w:tcPr>
          <w:p w14:paraId="318FFAA1">
            <w:pPr>
              <w:snapToGrid w:val="0"/>
              <w:spacing w:line="560" w:lineRule="exact"/>
              <w:jc w:val="center"/>
              <w:rPr>
                <w:rFonts w:ascii="仿宋" w:hAnsi="仿宋" w:eastAsia="仿宋" w:cs="仿宋"/>
                <w:color w:val="000000" w:themeColor="text1"/>
                <w:sz w:val="32"/>
                <w:szCs w:val="32"/>
                <w:highlight w:val="none"/>
                <w14:textFill>
                  <w14:solidFill>
                    <w14:schemeClr w14:val="tx1"/>
                  </w14:solidFill>
                </w14:textFill>
              </w:rPr>
            </w:pPr>
            <w:r>
              <w:rPr>
                <w:rFonts w:hint="eastAsia" w:ascii="仿宋" w:hAnsi="仿宋" w:eastAsia="仿宋" w:cs="仿宋"/>
                <w:color w:val="000000" w:themeColor="text1"/>
                <w:sz w:val="32"/>
                <w:szCs w:val="32"/>
                <w:highlight w:val="none"/>
                <w14:textFill>
                  <w14:solidFill>
                    <w14:schemeClr w14:val="tx1"/>
                  </w14:solidFill>
                </w14:textFill>
              </w:rPr>
              <w:t>1.0</w:t>
            </w:r>
          </w:p>
        </w:tc>
        <w:tc>
          <w:tcPr>
            <w:tcW w:w="985" w:type="pct"/>
            <w:vAlign w:val="center"/>
          </w:tcPr>
          <w:p w14:paraId="7CDAC295">
            <w:pPr>
              <w:snapToGrid w:val="0"/>
              <w:spacing w:line="560" w:lineRule="exact"/>
              <w:jc w:val="center"/>
              <w:rPr>
                <w:rFonts w:ascii="仿宋" w:hAnsi="仿宋" w:eastAsia="仿宋" w:cs="仿宋"/>
                <w:color w:val="000000" w:themeColor="text1"/>
                <w:sz w:val="32"/>
                <w:szCs w:val="32"/>
                <w:highlight w:val="none"/>
                <w14:textFill>
                  <w14:solidFill>
                    <w14:schemeClr w14:val="tx1"/>
                  </w14:solidFill>
                </w14:textFill>
              </w:rPr>
            </w:pPr>
            <w:r>
              <w:rPr>
                <w:rFonts w:hint="eastAsia" w:ascii="仿宋" w:hAnsi="仿宋" w:eastAsia="仿宋" w:cs="仿宋"/>
                <w:color w:val="000000" w:themeColor="text1"/>
                <w:sz w:val="32"/>
                <w:szCs w:val="32"/>
                <w:highlight w:val="none"/>
                <w14:textFill>
                  <w14:solidFill>
                    <w14:schemeClr w14:val="tx1"/>
                  </w14:solidFill>
                </w14:textFill>
              </w:rPr>
              <w:t>0.6</w:t>
            </w:r>
          </w:p>
        </w:tc>
        <w:tc>
          <w:tcPr>
            <w:tcW w:w="1051" w:type="pct"/>
            <w:vAlign w:val="center"/>
          </w:tcPr>
          <w:p w14:paraId="21314FE2">
            <w:pPr>
              <w:snapToGrid w:val="0"/>
              <w:spacing w:line="560" w:lineRule="exact"/>
              <w:jc w:val="center"/>
              <w:rPr>
                <w:rFonts w:ascii="仿宋" w:hAnsi="仿宋" w:eastAsia="仿宋" w:cs="仿宋"/>
                <w:color w:val="000000" w:themeColor="text1"/>
                <w:sz w:val="32"/>
                <w:szCs w:val="32"/>
                <w:highlight w:val="none"/>
                <w14:textFill>
                  <w14:solidFill>
                    <w14:schemeClr w14:val="tx1"/>
                  </w14:solidFill>
                </w14:textFill>
              </w:rPr>
            </w:pPr>
            <w:r>
              <w:rPr>
                <w:rFonts w:hint="eastAsia" w:ascii="仿宋" w:hAnsi="仿宋" w:eastAsia="仿宋" w:cs="仿宋"/>
                <w:color w:val="000000" w:themeColor="text1"/>
                <w:sz w:val="32"/>
                <w:szCs w:val="32"/>
                <w:highlight w:val="none"/>
                <w14:textFill>
                  <w14:solidFill>
                    <w14:schemeClr w14:val="tx1"/>
                  </w14:solidFill>
                </w14:textFill>
              </w:rPr>
              <w:t>0.4</w:t>
            </w:r>
          </w:p>
        </w:tc>
      </w:tr>
      <w:tr w14:paraId="311A6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76" w:hRule="atLeast"/>
          <w:jc w:val="center"/>
        </w:trPr>
        <w:tc>
          <w:tcPr>
            <w:tcW w:w="1052" w:type="pct"/>
            <w:vAlign w:val="center"/>
          </w:tcPr>
          <w:p w14:paraId="74923289">
            <w:pPr>
              <w:snapToGrid w:val="0"/>
              <w:spacing w:line="560" w:lineRule="exact"/>
              <w:jc w:val="center"/>
              <w:rPr>
                <w:rFonts w:ascii="仿宋" w:hAnsi="仿宋" w:eastAsia="仿宋" w:cs="仿宋"/>
                <w:color w:val="000000" w:themeColor="text1"/>
                <w:sz w:val="32"/>
                <w:szCs w:val="32"/>
                <w:highlight w:val="none"/>
                <w14:textFill>
                  <w14:solidFill>
                    <w14:schemeClr w14:val="tx1"/>
                  </w14:solidFill>
                </w14:textFill>
              </w:rPr>
            </w:pPr>
            <w:r>
              <w:rPr>
                <w:rFonts w:hint="eastAsia" w:ascii="仿宋" w:hAnsi="仿宋" w:eastAsia="仿宋" w:cs="仿宋"/>
                <w:color w:val="000000" w:themeColor="text1"/>
                <w:sz w:val="32"/>
                <w:szCs w:val="32"/>
                <w:highlight w:val="none"/>
                <w14:textFill>
                  <w14:solidFill>
                    <w14:schemeClr w14:val="tx1"/>
                  </w14:solidFill>
                </w14:textFill>
              </w:rPr>
              <w:t>全国</w:t>
            </w:r>
          </w:p>
        </w:tc>
        <w:tc>
          <w:tcPr>
            <w:tcW w:w="926" w:type="pct"/>
            <w:vAlign w:val="center"/>
          </w:tcPr>
          <w:p w14:paraId="35C6527D">
            <w:pPr>
              <w:snapToGrid w:val="0"/>
              <w:spacing w:line="560" w:lineRule="exact"/>
              <w:jc w:val="center"/>
              <w:rPr>
                <w:rFonts w:ascii="仿宋" w:hAnsi="仿宋" w:eastAsia="仿宋" w:cs="仿宋"/>
                <w:color w:val="000000" w:themeColor="text1"/>
                <w:sz w:val="32"/>
                <w:szCs w:val="32"/>
                <w:highlight w:val="none"/>
                <w14:textFill>
                  <w14:solidFill>
                    <w14:schemeClr w14:val="tx1"/>
                  </w14:solidFill>
                </w14:textFill>
              </w:rPr>
            </w:pPr>
            <w:r>
              <w:rPr>
                <w:rFonts w:hint="eastAsia" w:ascii="仿宋" w:hAnsi="仿宋" w:eastAsia="仿宋" w:cs="仿宋"/>
                <w:color w:val="000000" w:themeColor="text1"/>
                <w:sz w:val="32"/>
                <w:szCs w:val="32"/>
                <w:highlight w:val="none"/>
                <w14:textFill>
                  <w14:solidFill>
                    <w14:schemeClr w14:val="tx1"/>
                  </w14:solidFill>
                </w14:textFill>
              </w:rPr>
              <w:t>1.8</w:t>
            </w:r>
          </w:p>
        </w:tc>
        <w:tc>
          <w:tcPr>
            <w:tcW w:w="983" w:type="pct"/>
            <w:vAlign w:val="center"/>
          </w:tcPr>
          <w:p w14:paraId="18B783F5">
            <w:pPr>
              <w:snapToGrid w:val="0"/>
              <w:spacing w:line="560" w:lineRule="exact"/>
              <w:jc w:val="center"/>
              <w:rPr>
                <w:rFonts w:ascii="仿宋" w:hAnsi="仿宋" w:eastAsia="仿宋" w:cs="仿宋"/>
                <w:color w:val="000000" w:themeColor="text1"/>
                <w:sz w:val="32"/>
                <w:szCs w:val="32"/>
                <w:highlight w:val="none"/>
                <w14:textFill>
                  <w14:solidFill>
                    <w14:schemeClr w14:val="tx1"/>
                  </w14:solidFill>
                </w14:textFill>
              </w:rPr>
            </w:pPr>
            <w:r>
              <w:rPr>
                <w:rFonts w:hint="eastAsia" w:ascii="仿宋" w:hAnsi="仿宋" w:eastAsia="仿宋" w:cs="仿宋"/>
                <w:color w:val="000000" w:themeColor="text1"/>
                <w:sz w:val="32"/>
                <w:szCs w:val="32"/>
                <w:highlight w:val="none"/>
                <w14:textFill>
                  <w14:solidFill>
                    <w14:schemeClr w14:val="tx1"/>
                  </w14:solidFill>
                </w14:textFill>
              </w:rPr>
              <w:t>1.4</w:t>
            </w:r>
          </w:p>
        </w:tc>
        <w:tc>
          <w:tcPr>
            <w:tcW w:w="985" w:type="pct"/>
            <w:vAlign w:val="center"/>
          </w:tcPr>
          <w:p w14:paraId="4E0C0750">
            <w:pPr>
              <w:snapToGrid w:val="0"/>
              <w:spacing w:line="560" w:lineRule="exact"/>
              <w:jc w:val="center"/>
              <w:rPr>
                <w:rFonts w:ascii="仿宋" w:hAnsi="仿宋" w:eastAsia="仿宋" w:cs="仿宋"/>
                <w:color w:val="000000" w:themeColor="text1"/>
                <w:sz w:val="32"/>
                <w:szCs w:val="32"/>
                <w:highlight w:val="none"/>
                <w14:textFill>
                  <w14:solidFill>
                    <w14:schemeClr w14:val="tx1"/>
                  </w14:solidFill>
                </w14:textFill>
              </w:rPr>
            </w:pPr>
            <w:r>
              <w:rPr>
                <w:rFonts w:hint="eastAsia" w:ascii="仿宋" w:hAnsi="仿宋" w:eastAsia="仿宋" w:cs="仿宋"/>
                <w:color w:val="000000" w:themeColor="text1"/>
                <w:sz w:val="32"/>
                <w:szCs w:val="32"/>
                <w:highlight w:val="none"/>
                <w14:textFill>
                  <w14:solidFill>
                    <w14:schemeClr w14:val="tx1"/>
                  </w14:solidFill>
                </w14:textFill>
              </w:rPr>
              <w:t>1.0</w:t>
            </w:r>
          </w:p>
        </w:tc>
        <w:tc>
          <w:tcPr>
            <w:tcW w:w="1051" w:type="pct"/>
            <w:vAlign w:val="center"/>
          </w:tcPr>
          <w:p w14:paraId="48B50759">
            <w:pPr>
              <w:snapToGrid w:val="0"/>
              <w:spacing w:line="560" w:lineRule="exact"/>
              <w:jc w:val="center"/>
              <w:rPr>
                <w:rFonts w:ascii="仿宋" w:hAnsi="仿宋" w:eastAsia="仿宋" w:cs="仿宋"/>
                <w:color w:val="000000" w:themeColor="text1"/>
                <w:sz w:val="32"/>
                <w:szCs w:val="32"/>
                <w:highlight w:val="none"/>
                <w14:textFill>
                  <w14:solidFill>
                    <w14:schemeClr w14:val="tx1"/>
                  </w14:solidFill>
                </w14:textFill>
              </w:rPr>
            </w:pPr>
            <w:r>
              <w:rPr>
                <w:rFonts w:hint="eastAsia" w:ascii="仿宋" w:hAnsi="仿宋" w:eastAsia="仿宋" w:cs="仿宋"/>
                <w:color w:val="000000" w:themeColor="text1"/>
                <w:sz w:val="32"/>
                <w:szCs w:val="32"/>
                <w:highlight w:val="none"/>
                <w14:textFill>
                  <w14:solidFill>
                    <w14:schemeClr w14:val="tx1"/>
                  </w14:solidFill>
                </w14:textFill>
              </w:rPr>
              <w:t>0.6</w:t>
            </w:r>
          </w:p>
        </w:tc>
      </w:tr>
      <w:tr w14:paraId="1CE70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76" w:hRule="atLeast"/>
          <w:jc w:val="center"/>
        </w:trPr>
        <w:tc>
          <w:tcPr>
            <w:tcW w:w="1052" w:type="pct"/>
            <w:vAlign w:val="center"/>
          </w:tcPr>
          <w:p w14:paraId="7C053156">
            <w:pPr>
              <w:snapToGrid w:val="0"/>
              <w:spacing w:line="560" w:lineRule="exact"/>
              <w:jc w:val="center"/>
              <w:rPr>
                <w:rFonts w:ascii="仿宋" w:hAnsi="仿宋" w:eastAsia="仿宋" w:cs="仿宋"/>
                <w:color w:val="000000" w:themeColor="text1"/>
                <w:sz w:val="32"/>
                <w:szCs w:val="32"/>
                <w:highlight w:val="none"/>
                <w14:textFill>
                  <w14:solidFill>
                    <w14:schemeClr w14:val="tx1"/>
                  </w14:solidFill>
                </w14:textFill>
              </w:rPr>
            </w:pPr>
            <w:r>
              <w:rPr>
                <w:rFonts w:hint="eastAsia" w:ascii="仿宋" w:hAnsi="仿宋" w:eastAsia="仿宋" w:cs="仿宋"/>
                <w:color w:val="000000" w:themeColor="text1"/>
                <w:sz w:val="32"/>
                <w:szCs w:val="32"/>
                <w:highlight w:val="none"/>
                <w14:textFill>
                  <w14:solidFill>
                    <w14:schemeClr w14:val="tx1"/>
                  </w14:solidFill>
                </w14:textFill>
              </w:rPr>
              <w:t>国际</w:t>
            </w:r>
          </w:p>
        </w:tc>
        <w:tc>
          <w:tcPr>
            <w:tcW w:w="926" w:type="pct"/>
            <w:vAlign w:val="center"/>
          </w:tcPr>
          <w:p w14:paraId="4F1711CE">
            <w:pPr>
              <w:snapToGrid w:val="0"/>
              <w:spacing w:line="560" w:lineRule="exact"/>
              <w:jc w:val="center"/>
              <w:rPr>
                <w:rFonts w:ascii="仿宋" w:hAnsi="仿宋" w:eastAsia="仿宋" w:cs="仿宋"/>
                <w:color w:val="000000" w:themeColor="text1"/>
                <w:sz w:val="32"/>
                <w:szCs w:val="32"/>
                <w:highlight w:val="none"/>
                <w14:textFill>
                  <w14:solidFill>
                    <w14:schemeClr w14:val="tx1"/>
                  </w14:solidFill>
                </w14:textFill>
              </w:rPr>
            </w:pPr>
            <w:r>
              <w:rPr>
                <w:rFonts w:hint="eastAsia" w:ascii="仿宋" w:hAnsi="仿宋" w:eastAsia="仿宋" w:cs="仿宋"/>
                <w:color w:val="000000" w:themeColor="text1"/>
                <w:sz w:val="32"/>
                <w:szCs w:val="32"/>
                <w:highlight w:val="none"/>
                <w14:textFill>
                  <w14:solidFill>
                    <w14:schemeClr w14:val="tx1"/>
                  </w14:solidFill>
                </w14:textFill>
              </w:rPr>
              <w:t>2.0</w:t>
            </w:r>
          </w:p>
        </w:tc>
        <w:tc>
          <w:tcPr>
            <w:tcW w:w="983" w:type="pct"/>
            <w:vAlign w:val="center"/>
          </w:tcPr>
          <w:p w14:paraId="254DB15C">
            <w:pPr>
              <w:snapToGrid w:val="0"/>
              <w:spacing w:line="560" w:lineRule="exact"/>
              <w:jc w:val="center"/>
              <w:rPr>
                <w:rFonts w:ascii="仿宋" w:hAnsi="仿宋" w:eastAsia="仿宋" w:cs="仿宋"/>
                <w:color w:val="000000" w:themeColor="text1"/>
                <w:sz w:val="32"/>
                <w:szCs w:val="32"/>
                <w:highlight w:val="none"/>
                <w14:textFill>
                  <w14:solidFill>
                    <w14:schemeClr w14:val="tx1"/>
                  </w14:solidFill>
                </w14:textFill>
              </w:rPr>
            </w:pPr>
            <w:r>
              <w:rPr>
                <w:rFonts w:hint="eastAsia" w:ascii="仿宋" w:hAnsi="仿宋" w:eastAsia="仿宋" w:cs="仿宋"/>
                <w:color w:val="000000" w:themeColor="text1"/>
                <w:sz w:val="32"/>
                <w:szCs w:val="32"/>
                <w:highlight w:val="none"/>
                <w14:textFill>
                  <w14:solidFill>
                    <w14:schemeClr w14:val="tx1"/>
                  </w14:solidFill>
                </w14:textFill>
              </w:rPr>
              <w:t>1.8</w:t>
            </w:r>
          </w:p>
        </w:tc>
        <w:tc>
          <w:tcPr>
            <w:tcW w:w="985" w:type="pct"/>
            <w:vAlign w:val="center"/>
          </w:tcPr>
          <w:p w14:paraId="43ED1637">
            <w:pPr>
              <w:snapToGrid w:val="0"/>
              <w:spacing w:line="560" w:lineRule="exact"/>
              <w:jc w:val="center"/>
              <w:rPr>
                <w:rFonts w:ascii="仿宋" w:hAnsi="仿宋" w:eastAsia="仿宋" w:cs="仿宋"/>
                <w:color w:val="000000" w:themeColor="text1"/>
                <w:sz w:val="32"/>
                <w:szCs w:val="32"/>
                <w:highlight w:val="none"/>
                <w14:textFill>
                  <w14:solidFill>
                    <w14:schemeClr w14:val="tx1"/>
                  </w14:solidFill>
                </w14:textFill>
              </w:rPr>
            </w:pPr>
            <w:r>
              <w:rPr>
                <w:rFonts w:hint="eastAsia" w:ascii="仿宋" w:hAnsi="仿宋" w:eastAsia="仿宋" w:cs="仿宋"/>
                <w:color w:val="000000" w:themeColor="text1"/>
                <w:sz w:val="32"/>
                <w:szCs w:val="32"/>
                <w:highlight w:val="none"/>
                <w14:textFill>
                  <w14:solidFill>
                    <w14:schemeClr w14:val="tx1"/>
                  </w14:solidFill>
                </w14:textFill>
              </w:rPr>
              <w:t>1.4</w:t>
            </w:r>
          </w:p>
        </w:tc>
        <w:tc>
          <w:tcPr>
            <w:tcW w:w="1051" w:type="pct"/>
            <w:vAlign w:val="center"/>
          </w:tcPr>
          <w:p w14:paraId="5929281F">
            <w:pPr>
              <w:snapToGrid w:val="0"/>
              <w:spacing w:line="560" w:lineRule="exact"/>
              <w:jc w:val="center"/>
              <w:rPr>
                <w:rFonts w:ascii="仿宋" w:hAnsi="仿宋" w:eastAsia="仿宋" w:cs="仿宋"/>
                <w:color w:val="000000" w:themeColor="text1"/>
                <w:sz w:val="32"/>
                <w:szCs w:val="32"/>
                <w:highlight w:val="none"/>
                <w14:textFill>
                  <w14:solidFill>
                    <w14:schemeClr w14:val="tx1"/>
                  </w14:solidFill>
                </w14:textFill>
              </w:rPr>
            </w:pPr>
            <w:r>
              <w:rPr>
                <w:rFonts w:hint="eastAsia" w:ascii="仿宋" w:hAnsi="仿宋" w:eastAsia="仿宋" w:cs="仿宋"/>
                <w:color w:val="000000" w:themeColor="text1"/>
                <w:sz w:val="32"/>
                <w:szCs w:val="32"/>
                <w:highlight w:val="none"/>
                <w14:textFill>
                  <w14:solidFill>
                    <w14:schemeClr w14:val="tx1"/>
                  </w14:solidFill>
                </w14:textFill>
              </w:rPr>
              <w:t>1.0</w:t>
            </w:r>
          </w:p>
        </w:tc>
      </w:tr>
    </w:tbl>
    <w:p w14:paraId="295E8761">
      <w:pPr>
        <w:spacing w:line="560" w:lineRule="exact"/>
        <w:ind w:firstLine="640" w:firstLineChars="200"/>
        <w:rPr>
          <w:rFonts w:ascii="仿宋" w:hAnsi="仿宋" w:eastAsia="仿宋" w:cs="仿宋"/>
          <w:sz w:val="32"/>
          <w:szCs w:val="32"/>
        </w:rPr>
      </w:pPr>
      <w:r>
        <w:rPr>
          <w:rFonts w:hint="eastAsia" w:ascii="仿宋" w:hAnsi="仿宋" w:eastAsia="仿宋" w:cs="仿宋"/>
          <w:sz w:val="32"/>
          <w:szCs w:val="32"/>
        </w:rPr>
        <w:t>说明：</w:t>
      </w:r>
      <w:bookmarkStart w:id="7" w:name="_GoBack"/>
      <w:bookmarkEnd w:id="7"/>
    </w:p>
    <w:p w14:paraId="0277579D">
      <w:pPr>
        <w:spacing w:line="560" w:lineRule="exact"/>
        <w:ind w:firstLine="640" w:firstLineChars="200"/>
        <w:rPr>
          <w:rFonts w:ascii="仿宋" w:hAnsi="仿宋" w:eastAsia="仿宋" w:cs="仿宋"/>
          <w:sz w:val="32"/>
          <w:szCs w:val="32"/>
        </w:rPr>
      </w:pPr>
      <w:r>
        <w:rPr>
          <w:rFonts w:hint="eastAsia" w:ascii="仿宋" w:hAnsi="仿宋" w:eastAsia="仿宋" w:cs="仿宋"/>
          <w:sz w:val="32"/>
          <w:szCs w:val="32"/>
        </w:rPr>
        <w:t>①竞赛加分仅限于学生以华北理工大学为第一单位参加的竞赛活动。</w:t>
      </w:r>
    </w:p>
    <w:p w14:paraId="3C1958AD">
      <w:pPr>
        <w:spacing w:line="560" w:lineRule="exact"/>
        <w:ind w:firstLine="640" w:firstLineChars="200"/>
        <w:rPr>
          <w:rFonts w:ascii="仿宋" w:hAnsi="仿宋" w:eastAsia="仿宋" w:cs="仿宋"/>
          <w:sz w:val="32"/>
          <w:szCs w:val="32"/>
        </w:rPr>
      </w:pPr>
      <w:r>
        <w:rPr>
          <w:rFonts w:hint="eastAsia" w:ascii="仿宋" w:hAnsi="仿宋" w:eastAsia="仿宋" w:cs="仿宋"/>
          <w:sz w:val="32"/>
          <w:szCs w:val="32"/>
        </w:rPr>
        <w:t>②多人参加同一竞赛获奖，加分值按照加分标准分值/排名计算。</w:t>
      </w:r>
    </w:p>
    <w:p w14:paraId="74DD67A8">
      <w:pPr>
        <w:spacing w:line="560" w:lineRule="exact"/>
        <w:ind w:firstLine="640" w:firstLineChars="200"/>
        <w:rPr>
          <w:rFonts w:ascii="仿宋" w:hAnsi="仿宋" w:eastAsia="仿宋" w:cs="仿宋"/>
          <w:color w:val="000000" w:themeColor="text1"/>
          <w:sz w:val="32"/>
          <w:szCs w:val="32"/>
          <w14:textFill>
            <w14:solidFill>
              <w14:schemeClr w14:val="tx1"/>
            </w14:solidFill>
          </w14:textFill>
        </w:rPr>
      </w:pPr>
      <w:r>
        <w:rPr>
          <w:rFonts w:hint="eastAsia" w:ascii="仿宋" w:hAnsi="仿宋" w:eastAsia="仿宋" w:cs="仿宋"/>
          <w:color w:val="000000" w:themeColor="text1"/>
          <w:sz w:val="32"/>
          <w:szCs w:val="32"/>
          <w14:textFill>
            <w14:solidFill>
              <w14:schemeClr w14:val="tx1"/>
            </w14:solidFill>
          </w14:textFill>
        </w:rPr>
        <w:t>③美国大学生数学建模竞赛Successful奖不在认定级别范围之内。</w:t>
      </w:r>
    </w:p>
    <w:p w14:paraId="6F09F9FB">
      <w:pPr>
        <w:spacing w:line="560" w:lineRule="exact"/>
        <w:ind w:firstLine="640" w:firstLineChars="200"/>
        <w:rPr>
          <w:rFonts w:ascii="仿宋" w:hAnsi="仿宋" w:eastAsia="仿宋" w:cs="仿宋"/>
          <w:sz w:val="32"/>
          <w:szCs w:val="32"/>
        </w:rPr>
      </w:pPr>
      <w:r>
        <w:rPr>
          <w:rFonts w:hint="eastAsia" w:ascii="仿宋" w:hAnsi="仿宋" w:eastAsia="仿宋" w:cs="仿宋"/>
          <w:color w:val="000000" w:themeColor="text1"/>
          <w:sz w:val="32"/>
          <w:szCs w:val="32"/>
          <w14:textFill>
            <w14:solidFill>
              <w14:schemeClr w14:val="tx1"/>
            </w14:solidFill>
          </w14:textFill>
        </w:rPr>
        <w:t>④特殊情况上报学院推免工作领导小组研究决定。</w:t>
      </w:r>
    </w:p>
    <w:p w14:paraId="42A5EFF5">
      <w:pPr>
        <w:spacing w:line="560" w:lineRule="exact"/>
        <w:ind w:firstLine="643" w:firstLineChars="200"/>
        <w:rPr>
          <w:rFonts w:ascii="仿宋" w:hAnsi="仿宋" w:eastAsia="仿宋" w:cs="仿宋"/>
          <w:b/>
          <w:bCs/>
          <w:sz w:val="32"/>
          <w:szCs w:val="32"/>
        </w:rPr>
      </w:pPr>
      <w:r>
        <w:rPr>
          <w:rFonts w:hint="eastAsia" w:ascii="仿宋" w:hAnsi="仿宋" w:eastAsia="仿宋" w:cs="仿宋"/>
          <w:b/>
          <w:bCs/>
          <w:sz w:val="32"/>
          <w:szCs w:val="32"/>
        </w:rPr>
        <w:t>（五）科研创新成果</w:t>
      </w:r>
    </w:p>
    <w:p w14:paraId="146C0B81">
      <w:pPr>
        <w:spacing w:line="560" w:lineRule="exact"/>
        <w:ind w:firstLine="640" w:firstLineChars="200"/>
        <w:rPr>
          <w:rFonts w:ascii="仿宋" w:hAnsi="仿宋" w:eastAsia="仿宋" w:cs="仿宋"/>
          <w:sz w:val="32"/>
          <w:szCs w:val="32"/>
        </w:rPr>
      </w:pPr>
      <w:r>
        <w:rPr>
          <w:rFonts w:hint="eastAsia" w:ascii="仿宋" w:hAnsi="仿宋" w:eastAsia="仿宋" w:cs="仿宋"/>
          <w:sz w:val="32"/>
          <w:szCs w:val="32"/>
        </w:rPr>
        <w:t>本科生取得的科研创新成果包括：（1）在学校认定期刊上发表与所学专业相关的学术论文；（2）以发明人身份获得华北理工大学拥有专利授权且与所学专业相关的发明专利；（3）经有关部门验收结题的大学生创新创业训练计划项目或科研项目。科研创新成果的评价加分重点聚焦到创新质量和个人贡献。</w:t>
      </w:r>
    </w:p>
    <w:p w14:paraId="590F3B67">
      <w:pPr>
        <w:spacing w:line="560" w:lineRule="exact"/>
        <w:ind w:firstLine="640" w:firstLineChars="200"/>
        <w:rPr>
          <w:rFonts w:ascii="仿宋" w:hAnsi="仿宋" w:eastAsia="仿宋" w:cs="仿宋"/>
          <w:sz w:val="32"/>
          <w:szCs w:val="32"/>
        </w:rPr>
      </w:pPr>
      <w:r>
        <w:rPr>
          <w:rFonts w:hint="eastAsia" w:ascii="仿宋" w:hAnsi="仿宋" w:eastAsia="仿宋" w:cs="仿宋"/>
          <w:sz w:val="32"/>
          <w:szCs w:val="32"/>
        </w:rPr>
        <w:t>本科生取得的每类科研创新成果只取最高加分项加分1次，其中学术论文的加分上限为2.0分，发明专利的加分上限为1.0分，大学生创新创业训练项目或科研项目的加分上限为1.0分。该项指标的加分上限为4.0分。各类成果加分标准如表2至表5所示。</w:t>
      </w:r>
    </w:p>
    <w:p w14:paraId="3D1D97C3">
      <w:pPr>
        <w:widowControl/>
        <w:spacing w:line="560" w:lineRule="exact"/>
        <w:jc w:val="center"/>
        <w:rPr>
          <w:rFonts w:ascii="仿宋" w:hAnsi="仿宋" w:eastAsia="仿宋" w:cs="仿宋"/>
          <w:kern w:val="0"/>
          <w:sz w:val="32"/>
          <w:szCs w:val="32"/>
          <w:lang w:bidi="ar"/>
        </w:rPr>
      </w:pPr>
      <w:r>
        <w:rPr>
          <w:rFonts w:hint="eastAsia" w:ascii="仿宋" w:hAnsi="仿宋" w:eastAsia="仿宋" w:cs="仿宋"/>
          <w:kern w:val="0"/>
          <w:sz w:val="32"/>
          <w:szCs w:val="32"/>
          <w:lang w:bidi="ar"/>
        </w:rPr>
        <w:t>表2  学术论文加分</w:t>
      </w:r>
      <w:r>
        <w:rPr>
          <w:rFonts w:hint="eastAsia" w:ascii="仿宋" w:hAnsi="仿宋" w:eastAsia="仿宋" w:cs="仿宋"/>
          <w:sz w:val="32"/>
          <w:szCs w:val="32"/>
        </w:rPr>
        <w:t>标准</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56"/>
        <w:gridCol w:w="1046"/>
        <w:gridCol w:w="1028"/>
        <w:gridCol w:w="1028"/>
        <w:gridCol w:w="1046"/>
        <w:gridCol w:w="2322"/>
        <w:gridCol w:w="1784"/>
      </w:tblGrid>
      <w:tr w14:paraId="5A4E6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6" w:hRule="atLeast"/>
        </w:trPr>
        <w:tc>
          <w:tcPr>
            <w:tcW w:w="567" w:type="pct"/>
            <w:vAlign w:val="center"/>
          </w:tcPr>
          <w:p w14:paraId="509620AD">
            <w:pPr>
              <w:widowControl/>
              <w:spacing w:line="560" w:lineRule="exact"/>
              <w:jc w:val="center"/>
              <w:rPr>
                <w:rFonts w:ascii="仿宋" w:hAnsi="仿宋" w:eastAsia="仿宋" w:cs="仿宋"/>
                <w:kern w:val="0"/>
                <w:sz w:val="32"/>
                <w:szCs w:val="32"/>
                <w:lang w:bidi="ar"/>
              </w:rPr>
            </w:pPr>
            <w:r>
              <w:rPr>
                <w:rFonts w:hint="eastAsia" w:ascii="仿宋" w:hAnsi="仿宋" w:eastAsia="仿宋" w:cs="仿宋"/>
                <w:kern w:val="0"/>
                <w:sz w:val="32"/>
                <w:szCs w:val="32"/>
                <w:lang w:bidi="ar"/>
              </w:rPr>
              <w:t>级别</w:t>
            </w:r>
          </w:p>
        </w:tc>
        <w:tc>
          <w:tcPr>
            <w:tcW w:w="562" w:type="pct"/>
            <w:vAlign w:val="center"/>
          </w:tcPr>
          <w:p w14:paraId="164A8AB7">
            <w:pPr>
              <w:widowControl/>
              <w:spacing w:line="560" w:lineRule="exact"/>
              <w:jc w:val="center"/>
              <w:rPr>
                <w:rFonts w:ascii="仿宋" w:hAnsi="仿宋" w:eastAsia="仿宋" w:cs="仿宋"/>
                <w:kern w:val="0"/>
                <w:sz w:val="32"/>
                <w:szCs w:val="32"/>
                <w:lang w:bidi="ar"/>
              </w:rPr>
            </w:pPr>
            <w:r>
              <w:rPr>
                <w:rFonts w:hint="eastAsia" w:ascii="仿宋" w:hAnsi="仿宋" w:eastAsia="仿宋" w:cs="仿宋"/>
                <w:kern w:val="0"/>
                <w:sz w:val="32"/>
                <w:szCs w:val="32"/>
                <w:lang w:bidi="ar"/>
              </w:rPr>
              <w:t>A档</w:t>
            </w:r>
          </w:p>
        </w:tc>
        <w:tc>
          <w:tcPr>
            <w:tcW w:w="552" w:type="pct"/>
            <w:vAlign w:val="center"/>
          </w:tcPr>
          <w:p w14:paraId="5803CA5E">
            <w:pPr>
              <w:widowControl/>
              <w:spacing w:line="560" w:lineRule="exact"/>
              <w:jc w:val="center"/>
              <w:rPr>
                <w:rFonts w:ascii="仿宋" w:hAnsi="仿宋" w:eastAsia="仿宋" w:cs="仿宋"/>
                <w:kern w:val="0"/>
                <w:sz w:val="32"/>
                <w:szCs w:val="32"/>
                <w:lang w:bidi="ar"/>
              </w:rPr>
            </w:pPr>
            <w:r>
              <w:rPr>
                <w:rFonts w:hint="eastAsia" w:ascii="仿宋" w:hAnsi="仿宋" w:eastAsia="仿宋" w:cs="仿宋"/>
                <w:kern w:val="0"/>
                <w:sz w:val="32"/>
                <w:szCs w:val="32"/>
                <w:lang w:bidi="ar"/>
              </w:rPr>
              <w:t>B档</w:t>
            </w:r>
          </w:p>
        </w:tc>
        <w:tc>
          <w:tcPr>
            <w:tcW w:w="552" w:type="pct"/>
            <w:vAlign w:val="center"/>
          </w:tcPr>
          <w:p w14:paraId="530B6380">
            <w:pPr>
              <w:widowControl/>
              <w:spacing w:line="560" w:lineRule="exact"/>
              <w:jc w:val="center"/>
              <w:rPr>
                <w:rFonts w:ascii="仿宋" w:hAnsi="仿宋" w:eastAsia="仿宋" w:cs="仿宋"/>
                <w:kern w:val="0"/>
                <w:sz w:val="32"/>
                <w:szCs w:val="32"/>
                <w:lang w:bidi="ar"/>
              </w:rPr>
            </w:pPr>
            <w:r>
              <w:rPr>
                <w:rFonts w:hint="eastAsia" w:ascii="仿宋" w:hAnsi="仿宋" w:eastAsia="仿宋" w:cs="仿宋"/>
                <w:kern w:val="0"/>
                <w:sz w:val="32"/>
                <w:szCs w:val="32"/>
                <w:lang w:bidi="ar"/>
              </w:rPr>
              <w:t>C档</w:t>
            </w:r>
          </w:p>
        </w:tc>
        <w:tc>
          <w:tcPr>
            <w:tcW w:w="562" w:type="pct"/>
            <w:vAlign w:val="center"/>
          </w:tcPr>
          <w:p w14:paraId="34672912">
            <w:pPr>
              <w:widowControl/>
              <w:spacing w:line="560" w:lineRule="exact"/>
              <w:jc w:val="center"/>
              <w:rPr>
                <w:rFonts w:ascii="仿宋" w:hAnsi="仿宋" w:eastAsia="仿宋" w:cs="仿宋"/>
                <w:kern w:val="0"/>
                <w:sz w:val="32"/>
                <w:szCs w:val="32"/>
                <w:lang w:bidi="ar"/>
              </w:rPr>
            </w:pPr>
            <w:r>
              <w:rPr>
                <w:rFonts w:hint="eastAsia" w:ascii="仿宋" w:hAnsi="仿宋" w:eastAsia="仿宋" w:cs="仿宋"/>
                <w:kern w:val="0"/>
                <w:sz w:val="32"/>
                <w:szCs w:val="32"/>
                <w:lang w:bidi="ar"/>
              </w:rPr>
              <w:t>D档</w:t>
            </w:r>
          </w:p>
        </w:tc>
        <w:tc>
          <w:tcPr>
            <w:tcW w:w="1247" w:type="pct"/>
            <w:vAlign w:val="center"/>
          </w:tcPr>
          <w:p w14:paraId="0DFFE774">
            <w:pPr>
              <w:widowControl/>
              <w:spacing w:line="560" w:lineRule="exact"/>
              <w:jc w:val="center"/>
              <w:rPr>
                <w:rFonts w:ascii="仿宋" w:hAnsi="仿宋" w:eastAsia="仿宋" w:cs="仿宋"/>
                <w:kern w:val="0"/>
                <w:sz w:val="32"/>
                <w:szCs w:val="32"/>
                <w:lang w:bidi="ar"/>
              </w:rPr>
            </w:pPr>
            <w:r>
              <w:rPr>
                <w:rFonts w:hint="eastAsia" w:ascii="仿宋" w:hAnsi="仿宋" w:eastAsia="仿宋" w:cs="仿宋"/>
                <w:kern w:val="0"/>
                <w:sz w:val="32"/>
                <w:szCs w:val="32"/>
                <w:lang w:bidi="ar"/>
              </w:rPr>
              <w:t>EI期刊/EI会议</w:t>
            </w:r>
          </w:p>
        </w:tc>
        <w:tc>
          <w:tcPr>
            <w:tcW w:w="958" w:type="pct"/>
            <w:vAlign w:val="center"/>
          </w:tcPr>
          <w:p w14:paraId="0F537719">
            <w:pPr>
              <w:widowControl/>
              <w:spacing w:line="560" w:lineRule="exact"/>
              <w:jc w:val="center"/>
              <w:rPr>
                <w:rFonts w:ascii="仿宋" w:hAnsi="仿宋" w:eastAsia="仿宋" w:cs="仿宋"/>
                <w:kern w:val="0"/>
                <w:sz w:val="32"/>
                <w:szCs w:val="32"/>
                <w:lang w:bidi="ar"/>
              </w:rPr>
            </w:pPr>
            <w:r>
              <w:rPr>
                <w:rFonts w:hint="eastAsia" w:ascii="仿宋" w:hAnsi="仿宋" w:eastAsia="仿宋" w:cs="仿宋"/>
                <w:kern w:val="0"/>
                <w:sz w:val="32"/>
                <w:szCs w:val="32"/>
                <w:lang w:bidi="ar"/>
              </w:rPr>
              <w:t>核心期刊</w:t>
            </w:r>
          </w:p>
        </w:tc>
      </w:tr>
      <w:tr w14:paraId="33207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6" w:hRule="atLeast"/>
        </w:trPr>
        <w:tc>
          <w:tcPr>
            <w:tcW w:w="567" w:type="pct"/>
            <w:vAlign w:val="center"/>
          </w:tcPr>
          <w:p w14:paraId="4BB71A03">
            <w:pPr>
              <w:widowControl/>
              <w:spacing w:line="560" w:lineRule="exact"/>
              <w:jc w:val="center"/>
              <w:rPr>
                <w:rFonts w:ascii="仿宋" w:hAnsi="仿宋" w:eastAsia="仿宋" w:cs="仿宋"/>
                <w:kern w:val="0"/>
                <w:sz w:val="32"/>
                <w:szCs w:val="32"/>
                <w:lang w:bidi="ar"/>
              </w:rPr>
            </w:pPr>
            <w:r>
              <w:rPr>
                <w:rFonts w:hint="eastAsia" w:ascii="仿宋" w:hAnsi="仿宋" w:eastAsia="仿宋" w:cs="仿宋"/>
                <w:kern w:val="0"/>
                <w:sz w:val="32"/>
                <w:szCs w:val="32"/>
                <w:lang w:bidi="ar"/>
              </w:rPr>
              <w:t>分值</w:t>
            </w:r>
          </w:p>
        </w:tc>
        <w:tc>
          <w:tcPr>
            <w:tcW w:w="562" w:type="pct"/>
            <w:vAlign w:val="center"/>
          </w:tcPr>
          <w:p w14:paraId="2998642F">
            <w:pPr>
              <w:widowControl/>
              <w:spacing w:line="560" w:lineRule="exact"/>
              <w:jc w:val="center"/>
              <w:rPr>
                <w:rFonts w:ascii="仿宋" w:hAnsi="仿宋" w:eastAsia="仿宋" w:cs="仿宋"/>
                <w:kern w:val="0"/>
                <w:sz w:val="32"/>
                <w:szCs w:val="32"/>
                <w:lang w:bidi="ar"/>
              </w:rPr>
            </w:pPr>
            <w:r>
              <w:rPr>
                <w:rFonts w:hint="eastAsia" w:ascii="仿宋" w:hAnsi="仿宋" w:eastAsia="仿宋" w:cs="仿宋"/>
                <w:kern w:val="0"/>
                <w:sz w:val="32"/>
                <w:szCs w:val="32"/>
                <w:lang w:bidi="ar"/>
              </w:rPr>
              <w:t>2.0</w:t>
            </w:r>
          </w:p>
        </w:tc>
        <w:tc>
          <w:tcPr>
            <w:tcW w:w="552" w:type="pct"/>
            <w:vAlign w:val="center"/>
          </w:tcPr>
          <w:p w14:paraId="1FE75F79">
            <w:pPr>
              <w:widowControl/>
              <w:spacing w:line="560" w:lineRule="exact"/>
              <w:jc w:val="center"/>
              <w:rPr>
                <w:rFonts w:ascii="仿宋" w:hAnsi="仿宋" w:eastAsia="仿宋" w:cs="仿宋"/>
                <w:kern w:val="0"/>
                <w:sz w:val="32"/>
                <w:szCs w:val="32"/>
                <w:lang w:bidi="ar"/>
              </w:rPr>
            </w:pPr>
            <w:r>
              <w:rPr>
                <w:rFonts w:hint="eastAsia" w:ascii="仿宋" w:hAnsi="仿宋" w:eastAsia="仿宋" w:cs="仿宋"/>
                <w:kern w:val="0"/>
                <w:sz w:val="32"/>
                <w:szCs w:val="32"/>
                <w:lang w:bidi="ar"/>
              </w:rPr>
              <w:t>1.8</w:t>
            </w:r>
          </w:p>
        </w:tc>
        <w:tc>
          <w:tcPr>
            <w:tcW w:w="552" w:type="pct"/>
            <w:vAlign w:val="center"/>
          </w:tcPr>
          <w:p w14:paraId="64388AED">
            <w:pPr>
              <w:widowControl/>
              <w:spacing w:line="560" w:lineRule="exact"/>
              <w:jc w:val="center"/>
              <w:rPr>
                <w:rFonts w:ascii="仿宋" w:hAnsi="仿宋" w:eastAsia="仿宋" w:cs="仿宋"/>
                <w:kern w:val="0"/>
                <w:sz w:val="32"/>
                <w:szCs w:val="32"/>
                <w:lang w:bidi="ar"/>
              </w:rPr>
            </w:pPr>
            <w:r>
              <w:rPr>
                <w:rFonts w:hint="eastAsia" w:ascii="仿宋" w:hAnsi="仿宋" w:eastAsia="仿宋" w:cs="仿宋"/>
                <w:kern w:val="0"/>
                <w:sz w:val="32"/>
                <w:szCs w:val="32"/>
                <w:lang w:bidi="ar"/>
              </w:rPr>
              <w:t>1.5</w:t>
            </w:r>
          </w:p>
        </w:tc>
        <w:tc>
          <w:tcPr>
            <w:tcW w:w="562" w:type="pct"/>
            <w:vAlign w:val="center"/>
          </w:tcPr>
          <w:p w14:paraId="6BFAD146">
            <w:pPr>
              <w:widowControl/>
              <w:spacing w:line="560" w:lineRule="exact"/>
              <w:jc w:val="center"/>
              <w:rPr>
                <w:rFonts w:ascii="仿宋" w:hAnsi="仿宋" w:eastAsia="仿宋" w:cs="仿宋"/>
                <w:kern w:val="0"/>
                <w:sz w:val="32"/>
                <w:szCs w:val="32"/>
                <w:lang w:bidi="ar"/>
              </w:rPr>
            </w:pPr>
            <w:r>
              <w:rPr>
                <w:rFonts w:hint="eastAsia" w:ascii="仿宋" w:hAnsi="仿宋" w:eastAsia="仿宋" w:cs="仿宋"/>
                <w:kern w:val="0"/>
                <w:sz w:val="32"/>
                <w:szCs w:val="32"/>
                <w:lang w:bidi="ar"/>
              </w:rPr>
              <w:t>1.0</w:t>
            </w:r>
          </w:p>
        </w:tc>
        <w:tc>
          <w:tcPr>
            <w:tcW w:w="1247" w:type="pct"/>
            <w:vAlign w:val="center"/>
          </w:tcPr>
          <w:p w14:paraId="4B205DA6">
            <w:pPr>
              <w:widowControl/>
              <w:spacing w:line="560" w:lineRule="exact"/>
              <w:jc w:val="center"/>
              <w:rPr>
                <w:rFonts w:ascii="仿宋" w:hAnsi="仿宋" w:eastAsia="仿宋" w:cs="仿宋"/>
                <w:kern w:val="0"/>
                <w:sz w:val="32"/>
                <w:szCs w:val="32"/>
                <w:lang w:bidi="ar"/>
              </w:rPr>
            </w:pPr>
            <w:r>
              <w:rPr>
                <w:rFonts w:hint="eastAsia" w:ascii="仿宋" w:hAnsi="仿宋" w:eastAsia="仿宋" w:cs="仿宋"/>
                <w:kern w:val="0"/>
                <w:sz w:val="32"/>
                <w:szCs w:val="32"/>
                <w:lang w:bidi="ar"/>
              </w:rPr>
              <w:t>0.8</w:t>
            </w:r>
          </w:p>
        </w:tc>
        <w:tc>
          <w:tcPr>
            <w:tcW w:w="958" w:type="pct"/>
            <w:vAlign w:val="center"/>
          </w:tcPr>
          <w:p w14:paraId="43A47F26">
            <w:pPr>
              <w:widowControl/>
              <w:spacing w:line="560" w:lineRule="exact"/>
              <w:jc w:val="center"/>
              <w:rPr>
                <w:rFonts w:ascii="仿宋" w:hAnsi="仿宋" w:eastAsia="仿宋" w:cs="仿宋"/>
                <w:kern w:val="0"/>
                <w:sz w:val="32"/>
                <w:szCs w:val="32"/>
                <w:lang w:bidi="ar"/>
              </w:rPr>
            </w:pPr>
            <w:r>
              <w:rPr>
                <w:rFonts w:hint="eastAsia" w:ascii="仿宋" w:hAnsi="仿宋" w:eastAsia="仿宋" w:cs="仿宋"/>
                <w:kern w:val="0"/>
                <w:sz w:val="32"/>
                <w:szCs w:val="32"/>
                <w:lang w:bidi="ar"/>
              </w:rPr>
              <w:t>0.5</w:t>
            </w:r>
          </w:p>
        </w:tc>
      </w:tr>
      <w:tr w14:paraId="54276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6" w:hRule="atLeast"/>
        </w:trPr>
        <w:tc>
          <w:tcPr>
            <w:tcW w:w="5000" w:type="pct"/>
            <w:gridSpan w:val="7"/>
            <w:vAlign w:val="center"/>
          </w:tcPr>
          <w:p w14:paraId="5BD99A6F">
            <w:pPr>
              <w:widowControl/>
              <w:spacing w:line="560" w:lineRule="exact"/>
              <w:jc w:val="left"/>
              <w:rPr>
                <w:rFonts w:ascii="仿宋" w:hAnsi="仿宋" w:eastAsia="仿宋" w:cs="仿宋"/>
                <w:kern w:val="0"/>
                <w:sz w:val="32"/>
                <w:szCs w:val="32"/>
                <w:lang w:bidi="ar"/>
              </w:rPr>
            </w:pPr>
            <w:r>
              <w:rPr>
                <w:rFonts w:hint="eastAsia" w:ascii="仿宋" w:hAnsi="仿宋" w:eastAsia="仿宋" w:cs="仿宋"/>
                <w:kern w:val="0"/>
                <w:sz w:val="32"/>
                <w:szCs w:val="32"/>
                <w:lang w:bidi="ar"/>
              </w:rPr>
              <w:t>注1：认定的论文要求第一单位为华北理工大学；</w:t>
            </w:r>
          </w:p>
          <w:p w14:paraId="5E3F35DB">
            <w:pPr>
              <w:widowControl/>
              <w:spacing w:line="560" w:lineRule="exact"/>
              <w:rPr>
                <w:rFonts w:ascii="仿宋" w:hAnsi="仿宋" w:eastAsia="仿宋" w:cs="仿宋"/>
                <w:kern w:val="0"/>
                <w:sz w:val="32"/>
                <w:szCs w:val="32"/>
                <w:lang w:bidi="ar"/>
              </w:rPr>
            </w:pPr>
            <w:r>
              <w:rPr>
                <w:rFonts w:hint="eastAsia" w:ascii="仿宋" w:hAnsi="仿宋" w:eastAsia="仿宋" w:cs="仿宋"/>
                <w:kern w:val="0"/>
                <w:sz w:val="32"/>
                <w:szCs w:val="32"/>
                <w:lang w:bidi="ar"/>
              </w:rPr>
              <w:t>注2：多人合作的论文取学生排名前三位，</w:t>
            </w:r>
            <w:r>
              <w:rPr>
                <w:rFonts w:hint="eastAsia" w:ascii="仿宋" w:hAnsi="仿宋" w:eastAsia="仿宋" w:cs="仿宋"/>
                <w:sz w:val="32"/>
                <w:szCs w:val="32"/>
              </w:rPr>
              <w:t>加分值为</w:t>
            </w:r>
            <w:r>
              <w:rPr>
                <w:rFonts w:hint="eastAsia" w:ascii="仿宋" w:hAnsi="仿宋" w:eastAsia="仿宋" w:cs="仿宋"/>
                <w:kern w:val="0"/>
                <w:sz w:val="32"/>
                <w:szCs w:val="32"/>
                <w:lang w:bidi="ar"/>
              </w:rPr>
              <w:t>表2各档分值</w:t>
            </w:r>
            <w:bookmarkStart w:id="1" w:name="OLE_LINK5"/>
            <w:r>
              <w:rPr>
                <w:rFonts w:hint="eastAsia" w:ascii="仿宋" w:hAnsi="仿宋" w:eastAsia="仿宋" w:cs="仿宋"/>
                <w:kern w:val="0"/>
                <w:sz w:val="32"/>
                <w:szCs w:val="32"/>
                <w:lang w:bidi="ar"/>
              </w:rPr>
              <w:t>/论文中排名</w:t>
            </w:r>
            <w:bookmarkEnd w:id="1"/>
            <w:r>
              <w:rPr>
                <w:rFonts w:hint="eastAsia" w:ascii="仿宋" w:hAnsi="仿宋" w:eastAsia="仿宋" w:cs="仿宋"/>
                <w:kern w:val="0"/>
                <w:sz w:val="32"/>
                <w:szCs w:val="32"/>
                <w:lang w:bidi="ar"/>
              </w:rPr>
              <w:t>；</w:t>
            </w:r>
          </w:p>
          <w:p w14:paraId="54EE9204">
            <w:pPr>
              <w:widowControl/>
              <w:spacing w:line="560" w:lineRule="exact"/>
              <w:rPr>
                <w:rFonts w:ascii="仿宋" w:hAnsi="仿宋" w:eastAsia="仿宋" w:cs="仿宋"/>
                <w:kern w:val="0"/>
                <w:sz w:val="32"/>
                <w:szCs w:val="32"/>
                <w:lang w:bidi="ar"/>
              </w:rPr>
            </w:pPr>
            <w:r>
              <w:rPr>
                <w:rFonts w:hint="eastAsia" w:ascii="仿宋" w:hAnsi="仿宋" w:eastAsia="仿宋" w:cs="仿宋"/>
                <w:kern w:val="0"/>
                <w:sz w:val="32"/>
                <w:szCs w:val="32"/>
                <w:lang w:bidi="ar"/>
              </w:rPr>
              <w:t>注3</w:t>
            </w:r>
            <w:r>
              <w:rPr>
                <w:rFonts w:hint="eastAsia" w:ascii="仿宋" w:hAnsi="仿宋" w:eastAsia="仿宋" w:cs="仿宋"/>
                <w:kern w:val="0"/>
                <w:sz w:val="32"/>
                <w:szCs w:val="32"/>
                <w:lang w:eastAsia="zh-CN" w:bidi="ar"/>
              </w:rPr>
              <w:t>：</w:t>
            </w:r>
            <w:r>
              <w:rPr>
                <w:rFonts w:hint="eastAsia" w:ascii="仿宋" w:hAnsi="仿宋" w:eastAsia="仿宋" w:cs="仿宋"/>
                <w:kern w:val="0"/>
                <w:sz w:val="32"/>
                <w:szCs w:val="32"/>
                <w:lang w:bidi="ar"/>
              </w:rPr>
              <w:t>EI期刊和核心期刊是指学校认定的ABCD档之外的期刊论文；</w:t>
            </w:r>
          </w:p>
          <w:p w14:paraId="7D0C41EA">
            <w:pPr>
              <w:widowControl/>
              <w:spacing w:line="560" w:lineRule="exact"/>
              <w:rPr>
                <w:rFonts w:ascii="仿宋" w:hAnsi="仿宋" w:eastAsia="仿宋" w:cs="仿宋"/>
                <w:kern w:val="0"/>
                <w:sz w:val="32"/>
                <w:szCs w:val="32"/>
                <w:lang w:bidi="ar"/>
              </w:rPr>
            </w:pPr>
            <w:r>
              <w:rPr>
                <w:rFonts w:hint="eastAsia" w:ascii="仿宋" w:hAnsi="仿宋" w:eastAsia="仿宋" w:cs="仿宋"/>
                <w:kern w:val="0"/>
                <w:sz w:val="32"/>
                <w:szCs w:val="32"/>
                <w:lang w:bidi="ar"/>
              </w:rPr>
              <w:t>注4：核心期刊以论文发表当年的北大中文核心期刊库为准；</w:t>
            </w:r>
          </w:p>
          <w:p w14:paraId="13DB0926">
            <w:pPr>
              <w:widowControl/>
              <w:spacing w:line="560" w:lineRule="exact"/>
              <w:rPr>
                <w:rFonts w:ascii="仿宋" w:hAnsi="仿宋" w:eastAsia="仿宋" w:cs="仿宋"/>
                <w:kern w:val="0"/>
                <w:sz w:val="32"/>
                <w:szCs w:val="32"/>
                <w:lang w:bidi="ar"/>
              </w:rPr>
            </w:pPr>
            <w:r>
              <w:rPr>
                <w:rFonts w:hint="eastAsia" w:ascii="仿宋" w:hAnsi="仿宋" w:eastAsia="仿宋" w:cs="仿宋"/>
                <w:kern w:val="0"/>
                <w:sz w:val="32"/>
                <w:szCs w:val="32"/>
                <w:lang w:bidi="ar"/>
              </w:rPr>
              <w:t>注5：论文A-D档按照</w:t>
            </w:r>
            <w:r>
              <w:rPr>
                <w:rFonts w:hint="eastAsia" w:ascii="仿宋" w:hAnsi="仿宋" w:eastAsia="仿宋" w:cs="仿宋"/>
                <w:kern w:val="0"/>
                <w:sz w:val="32"/>
                <w:szCs w:val="32"/>
                <w:lang w:eastAsia="zh-CN" w:bidi="ar"/>
              </w:rPr>
              <w:t>《</w:t>
            </w:r>
            <w:r>
              <w:rPr>
                <w:rFonts w:hint="eastAsia" w:ascii="仿宋" w:hAnsi="仿宋" w:eastAsia="仿宋" w:cs="仿宋"/>
                <w:kern w:val="0"/>
                <w:sz w:val="32"/>
                <w:szCs w:val="32"/>
                <w:lang w:bidi="ar"/>
              </w:rPr>
              <w:t>华北理工大学高质量论文期刊分档目录</w:t>
            </w:r>
            <w:r>
              <w:rPr>
                <w:rFonts w:hint="eastAsia" w:ascii="仿宋" w:hAnsi="仿宋" w:eastAsia="仿宋" w:cs="仿宋"/>
                <w:kern w:val="0"/>
                <w:sz w:val="32"/>
                <w:szCs w:val="32"/>
                <w:lang w:eastAsia="zh-CN" w:bidi="ar"/>
              </w:rPr>
              <w:t>》（</w:t>
            </w:r>
            <w:r>
              <w:rPr>
                <w:rFonts w:hint="eastAsia" w:ascii="仿宋" w:hAnsi="仿宋" w:eastAsia="仿宋" w:cs="仿宋"/>
                <w:kern w:val="0"/>
                <w:sz w:val="32"/>
                <w:szCs w:val="32"/>
                <w:lang w:bidi="ar"/>
              </w:rPr>
              <w:t>旧</w:t>
            </w:r>
            <w:r>
              <w:rPr>
                <w:rFonts w:hint="eastAsia" w:ascii="仿宋" w:hAnsi="仿宋" w:eastAsia="仿宋" w:cs="仿宋"/>
                <w:kern w:val="0"/>
                <w:sz w:val="32"/>
                <w:szCs w:val="32"/>
                <w:lang w:eastAsia="zh-CN" w:bidi="ar"/>
              </w:rPr>
              <w:t>版）、《</w:t>
            </w:r>
            <w:r>
              <w:rPr>
                <w:rFonts w:hint="eastAsia" w:ascii="仿宋" w:hAnsi="仿宋" w:eastAsia="仿宋" w:cs="仿宋"/>
                <w:kern w:val="0"/>
                <w:sz w:val="32"/>
                <w:szCs w:val="32"/>
                <w:lang w:bidi="ar"/>
              </w:rPr>
              <w:t>华北理工大学新版高质量论文期刊分档目录</w:t>
            </w:r>
            <w:r>
              <w:rPr>
                <w:rFonts w:hint="eastAsia" w:ascii="仿宋" w:hAnsi="仿宋" w:eastAsia="仿宋" w:cs="仿宋"/>
                <w:kern w:val="0"/>
                <w:sz w:val="32"/>
                <w:szCs w:val="32"/>
                <w:lang w:eastAsia="zh-CN" w:bidi="ar"/>
              </w:rPr>
              <w:t>》（</w:t>
            </w:r>
            <w:r>
              <w:rPr>
                <w:rFonts w:hint="eastAsia" w:ascii="仿宋" w:hAnsi="仿宋" w:eastAsia="仿宋" w:cs="仿宋"/>
                <w:kern w:val="0"/>
                <w:sz w:val="32"/>
                <w:szCs w:val="32"/>
                <w:lang w:bidi="ar"/>
              </w:rPr>
              <w:t>新</w:t>
            </w:r>
            <w:r>
              <w:rPr>
                <w:rFonts w:hint="eastAsia" w:ascii="仿宋" w:hAnsi="仿宋" w:eastAsia="仿宋" w:cs="仿宋"/>
                <w:kern w:val="0"/>
                <w:sz w:val="32"/>
                <w:szCs w:val="32"/>
                <w:lang w:eastAsia="zh-CN" w:bidi="ar"/>
              </w:rPr>
              <w:t>版）和</w:t>
            </w:r>
            <w:r>
              <w:rPr>
                <w:rFonts w:hint="eastAsia" w:ascii="仿宋" w:hAnsi="仿宋" w:eastAsia="仿宋" w:cs="仿宋"/>
                <w:kern w:val="0"/>
                <w:sz w:val="32"/>
                <w:szCs w:val="32"/>
                <w:lang w:bidi="ar"/>
              </w:rPr>
              <w:t>《华北理工大学成果分级认定标准》进行认定，其中，2023年1月1日之前出版的论文，按旧</w:t>
            </w:r>
            <w:r>
              <w:rPr>
                <w:rFonts w:hint="eastAsia" w:ascii="仿宋" w:hAnsi="仿宋" w:eastAsia="仿宋" w:cs="仿宋"/>
                <w:kern w:val="0"/>
                <w:sz w:val="32"/>
                <w:szCs w:val="32"/>
                <w:lang w:eastAsia="zh-CN" w:bidi="ar"/>
              </w:rPr>
              <w:t>版</w:t>
            </w:r>
            <w:r>
              <w:rPr>
                <w:rFonts w:hint="eastAsia" w:ascii="仿宋" w:hAnsi="仿宋" w:eastAsia="仿宋" w:cs="仿宋"/>
                <w:kern w:val="0"/>
                <w:sz w:val="32"/>
                <w:szCs w:val="32"/>
                <w:lang w:bidi="ar"/>
              </w:rPr>
              <w:t>认定；2023年1月1日至2023年12月31日为过渡期，期间出版的论文按“新版+旧版就高原则”认定；2024年1月1日至2024年10月8日出版的论文，按新</w:t>
            </w:r>
            <w:r>
              <w:rPr>
                <w:rFonts w:hint="eastAsia" w:ascii="仿宋" w:hAnsi="仿宋" w:eastAsia="仿宋" w:cs="仿宋"/>
                <w:kern w:val="0"/>
                <w:sz w:val="32"/>
                <w:szCs w:val="32"/>
                <w:lang w:eastAsia="zh-CN" w:bidi="ar"/>
              </w:rPr>
              <w:t>版</w:t>
            </w:r>
            <w:r>
              <w:rPr>
                <w:rFonts w:hint="eastAsia" w:ascii="仿宋" w:hAnsi="仿宋" w:eastAsia="仿宋" w:cs="仿宋"/>
                <w:kern w:val="0"/>
                <w:sz w:val="32"/>
                <w:szCs w:val="32"/>
                <w:lang w:bidi="ar"/>
              </w:rPr>
              <w:t>认定；2024年10月9日之后出版的论文，按《华北理工大学成果分级认定标准》认定，特殊情况上报学院专家评审小组研究确定；</w:t>
            </w:r>
          </w:p>
          <w:p w14:paraId="1CF95386">
            <w:pPr>
              <w:widowControl/>
              <w:spacing w:line="560" w:lineRule="exact"/>
              <w:rPr>
                <w:rFonts w:ascii="仿宋" w:hAnsi="仿宋" w:eastAsia="仿宋" w:cs="仿宋"/>
                <w:kern w:val="0"/>
                <w:sz w:val="32"/>
                <w:szCs w:val="32"/>
                <w:lang w:bidi="ar"/>
              </w:rPr>
            </w:pPr>
            <w:bookmarkStart w:id="2" w:name="OLE_LINK8"/>
            <w:r>
              <w:rPr>
                <w:rFonts w:hint="eastAsia" w:ascii="仿宋" w:hAnsi="仿宋" w:eastAsia="仿宋" w:cs="仿宋"/>
                <w:kern w:val="0"/>
                <w:sz w:val="32"/>
                <w:szCs w:val="32"/>
                <w:lang w:bidi="ar"/>
              </w:rPr>
              <w:t>注</w:t>
            </w:r>
            <w:r>
              <w:rPr>
                <w:rFonts w:hint="eastAsia" w:ascii="仿宋" w:hAnsi="仿宋" w:eastAsia="仿宋" w:cs="仿宋"/>
                <w:kern w:val="0"/>
                <w:sz w:val="32"/>
                <w:szCs w:val="32"/>
                <w:lang w:val="en-US" w:eastAsia="zh-CN" w:bidi="ar"/>
              </w:rPr>
              <w:t>6</w:t>
            </w:r>
            <w:r>
              <w:rPr>
                <w:rFonts w:hint="eastAsia" w:ascii="仿宋" w:hAnsi="仿宋" w:eastAsia="仿宋" w:cs="仿宋"/>
                <w:kern w:val="0"/>
                <w:sz w:val="32"/>
                <w:szCs w:val="32"/>
                <w:lang w:bidi="ar"/>
              </w:rPr>
              <w:t>：英文期刊论文接收时间以</w:t>
            </w:r>
            <w:bookmarkStart w:id="3" w:name="OLE_LINK7"/>
            <w:r>
              <w:rPr>
                <w:rFonts w:hint="eastAsia" w:ascii="仿宋" w:hAnsi="仿宋" w:eastAsia="仿宋" w:cs="仿宋"/>
                <w:kern w:val="0"/>
                <w:sz w:val="32"/>
                <w:szCs w:val="32"/>
                <w:lang w:bidi="ar"/>
              </w:rPr>
              <w:t>online或</w:t>
            </w:r>
            <w:bookmarkEnd w:id="3"/>
            <w:r>
              <w:rPr>
                <w:rFonts w:hint="eastAsia" w:ascii="仿宋" w:hAnsi="仿宋" w:eastAsia="仿宋" w:cs="仿宋"/>
                <w:kern w:val="0"/>
                <w:sz w:val="32"/>
                <w:szCs w:val="32"/>
                <w:lang w:bidi="ar"/>
              </w:rPr>
              <w:t>出版为准，期间的论文按“就高原则”认定；中文期刊以编辑部出具正式录用通知为准。</w:t>
            </w:r>
            <w:bookmarkEnd w:id="2"/>
          </w:p>
        </w:tc>
      </w:tr>
    </w:tbl>
    <w:p w14:paraId="0E9DE091">
      <w:pPr>
        <w:widowControl/>
        <w:spacing w:line="560" w:lineRule="exact"/>
        <w:jc w:val="center"/>
        <w:rPr>
          <w:rFonts w:hint="eastAsia" w:ascii="仿宋" w:hAnsi="仿宋" w:eastAsia="仿宋" w:cs="仿宋"/>
          <w:kern w:val="0"/>
          <w:sz w:val="32"/>
          <w:szCs w:val="32"/>
          <w:lang w:bidi="ar"/>
        </w:rPr>
      </w:pPr>
    </w:p>
    <w:p w14:paraId="1EE359E5">
      <w:pPr>
        <w:widowControl/>
        <w:spacing w:line="560" w:lineRule="exact"/>
        <w:jc w:val="center"/>
        <w:rPr>
          <w:rFonts w:ascii="仿宋" w:hAnsi="仿宋" w:eastAsia="仿宋" w:cs="仿宋"/>
          <w:kern w:val="0"/>
          <w:sz w:val="32"/>
          <w:szCs w:val="32"/>
          <w:lang w:bidi="ar"/>
        </w:rPr>
      </w:pPr>
      <w:r>
        <w:rPr>
          <w:rFonts w:hint="eastAsia" w:ascii="仿宋" w:hAnsi="仿宋" w:eastAsia="仿宋" w:cs="仿宋"/>
          <w:kern w:val="0"/>
          <w:sz w:val="32"/>
          <w:szCs w:val="32"/>
          <w:lang w:bidi="ar"/>
        </w:rPr>
        <w:t>表3  专利加分</w:t>
      </w:r>
      <w:r>
        <w:rPr>
          <w:rFonts w:hint="eastAsia" w:ascii="仿宋" w:hAnsi="仿宋" w:eastAsia="仿宋" w:cs="仿宋"/>
          <w:sz w:val="32"/>
          <w:szCs w:val="32"/>
        </w:rPr>
        <w:t>标准</w:t>
      </w:r>
    </w:p>
    <w:tbl>
      <w:tblPr>
        <w:tblStyle w:val="11"/>
        <w:tblW w:w="499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6"/>
        <w:gridCol w:w="7777"/>
      </w:tblGrid>
      <w:tr w14:paraId="1D604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6" w:hRule="atLeast"/>
        </w:trPr>
        <w:tc>
          <w:tcPr>
            <w:tcW w:w="820" w:type="pct"/>
            <w:vAlign w:val="center"/>
          </w:tcPr>
          <w:p w14:paraId="553F3171">
            <w:pPr>
              <w:widowControl/>
              <w:spacing w:line="560" w:lineRule="exact"/>
              <w:jc w:val="center"/>
              <w:rPr>
                <w:rFonts w:ascii="仿宋" w:hAnsi="仿宋" w:eastAsia="仿宋" w:cs="仿宋"/>
                <w:kern w:val="0"/>
                <w:sz w:val="32"/>
                <w:szCs w:val="32"/>
                <w:lang w:bidi="ar"/>
              </w:rPr>
            </w:pPr>
            <w:r>
              <w:rPr>
                <w:rFonts w:hint="eastAsia" w:ascii="仿宋" w:hAnsi="仿宋" w:eastAsia="仿宋" w:cs="仿宋"/>
                <w:kern w:val="0"/>
                <w:sz w:val="32"/>
                <w:szCs w:val="32"/>
                <w:lang w:bidi="ar"/>
              </w:rPr>
              <w:t>级别</w:t>
            </w:r>
          </w:p>
        </w:tc>
        <w:tc>
          <w:tcPr>
            <w:tcW w:w="4179" w:type="pct"/>
            <w:vAlign w:val="center"/>
          </w:tcPr>
          <w:p w14:paraId="16ECE1E9">
            <w:pPr>
              <w:widowControl/>
              <w:spacing w:line="560" w:lineRule="exact"/>
              <w:jc w:val="center"/>
              <w:rPr>
                <w:rFonts w:ascii="仿宋" w:hAnsi="仿宋" w:eastAsia="仿宋" w:cs="仿宋"/>
                <w:kern w:val="0"/>
                <w:sz w:val="32"/>
                <w:szCs w:val="32"/>
                <w:lang w:bidi="ar"/>
              </w:rPr>
            </w:pPr>
            <w:r>
              <w:rPr>
                <w:rFonts w:hint="eastAsia" w:ascii="仿宋" w:hAnsi="仿宋" w:eastAsia="仿宋" w:cs="仿宋"/>
                <w:kern w:val="0"/>
                <w:sz w:val="32"/>
                <w:szCs w:val="32"/>
                <w:lang w:bidi="ar"/>
              </w:rPr>
              <w:t>发明专利</w:t>
            </w:r>
          </w:p>
        </w:tc>
      </w:tr>
      <w:tr w14:paraId="6B06B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6" w:hRule="atLeast"/>
        </w:trPr>
        <w:tc>
          <w:tcPr>
            <w:tcW w:w="820" w:type="pct"/>
            <w:vAlign w:val="center"/>
          </w:tcPr>
          <w:p w14:paraId="0BBA2B3A">
            <w:pPr>
              <w:widowControl/>
              <w:spacing w:line="560" w:lineRule="exact"/>
              <w:jc w:val="center"/>
              <w:rPr>
                <w:rFonts w:ascii="仿宋" w:hAnsi="仿宋" w:eastAsia="仿宋" w:cs="仿宋"/>
                <w:kern w:val="0"/>
                <w:sz w:val="32"/>
                <w:szCs w:val="32"/>
                <w:lang w:bidi="ar"/>
              </w:rPr>
            </w:pPr>
            <w:r>
              <w:rPr>
                <w:rFonts w:hint="eastAsia" w:ascii="仿宋" w:hAnsi="仿宋" w:eastAsia="仿宋" w:cs="仿宋"/>
                <w:kern w:val="0"/>
                <w:sz w:val="32"/>
                <w:szCs w:val="32"/>
                <w:lang w:bidi="ar"/>
              </w:rPr>
              <w:t>分值</w:t>
            </w:r>
          </w:p>
        </w:tc>
        <w:tc>
          <w:tcPr>
            <w:tcW w:w="4179" w:type="pct"/>
            <w:vAlign w:val="center"/>
          </w:tcPr>
          <w:p w14:paraId="15AEE353">
            <w:pPr>
              <w:widowControl/>
              <w:spacing w:line="560" w:lineRule="exact"/>
              <w:jc w:val="center"/>
              <w:rPr>
                <w:rFonts w:ascii="仿宋" w:hAnsi="仿宋" w:eastAsia="仿宋" w:cs="仿宋"/>
                <w:kern w:val="0"/>
                <w:sz w:val="32"/>
                <w:szCs w:val="32"/>
                <w:lang w:bidi="ar"/>
              </w:rPr>
            </w:pPr>
            <w:r>
              <w:rPr>
                <w:rFonts w:hint="eastAsia" w:ascii="仿宋" w:hAnsi="仿宋" w:eastAsia="仿宋" w:cs="仿宋"/>
                <w:kern w:val="0"/>
                <w:sz w:val="32"/>
                <w:szCs w:val="32"/>
                <w:lang w:bidi="ar"/>
              </w:rPr>
              <w:t>1.0</w:t>
            </w:r>
          </w:p>
        </w:tc>
      </w:tr>
      <w:tr w14:paraId="7756C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6" w:hRule="atLeast"/>
        </w:trPr>
        <w:tc>
          <w:tcPr>
            <w:tcW w:w="5000" w:type="pct"/>
            <w:gridSpan w:val="2"/>
            <w:vAlign w:val="center"/>
          </w:tcPr>
          <w:p w14:paraId="24883BBA">
            <w:pPr>
              <w:widowControl/>
              <w:spacing w:line="560" w:lineRule="exact"/>
              <w:jc w:val="left"/>
              <w:rPr>
                <w:rFonts w:ascii="仿宋" w:hAnsi="仿宋" w:eastAsia="仿宋" w:cs="仿宋"/>
                <w:kern w:val="0"/>
                <w:sz w:val="32"/>
                <w:szCs w:val="32"/>
                <w:lang w:bidi="ar"/>
              </w:rPr>
            </w:pPr>
            <w:r>
              <w:rPr>
                <w:rFonts w:hint="eastAsia" w:ascii="仿宋" w:hAnsi="仿宋" w:eastAsia="仿宋" w:cs="仿宋"/>
                <w:kern w:val="0"/>
                <w:sz w:val="32"/>
                <w:szCs w:val="32"/>
                <w:lang w:bidi="ar"/>
              </w:rPr>
              <w:t>注1：专利要求第一单位为华北理工大学；</w:t>
            </w:r>
          </w:p>
          <w:p w14:paraId="6D697C17">
            <w:pPr>
              <w:widowControl/>
              <w:spacing w:line="560" w:lineRule="exact"/>
              <w:jc w:val="left"/>
              <w:rPr>
                <w:rFonts w:ascii="仿宋" w:hAnsi="仿宋" w:eastAsia="仿宋" w:cs="仿宋"/>
                <w:kern w:val="0"/>
                <w:sz w:val="32"/>
                <w:szCs w:val="32"/>
                <w:lang w:bidi="ar"/>
              </w:rPr>
            </w:pPr>
            <w:bookmarkStart w:id="4" w:name="OLE_LINK2"/>
            <w:r>
              <w:rPr>
                <w:rFonts w:hint="eastAsia" w:ascii="仿宋" w:hAnsi="仿宋" w:eastAsia="仿宋" w:cs="仿宋"/>
                <w:kern w:val="0"/>
                <w:sz w:val="32"/>
                <w:szCs w:val="32"/>
                <w:lang w:bidi="ar"/>
              </w:rPr>
              <w:t>注2：多人合作的专利取学生排名前三位，</w:t>
            </w:r>
            <w:r>
              <w:rPr>
                <w:rFonts w:hint="eastAsia" w:ascii="仿宋" w:hAnsi="仿宋" w:eastAsia="仿宋" w:cs="仿宋"/>
                <w:sz w:val="32"/>
                <w:szCs w:val="32"/>
              </w:rPr>
              <w:t>加分值按照加分标准分值/排名计算</w:t>
            </w:r>
            <w:r>
              <w:rPr>
                <w:rFonts w:hint="eastAsia" w:ascii="仿宋" w:hAnsi="仿宋" w:eastAsia="仿宋" w:cs="仿宋"/>
                <w:kern w:val="0"/>
                <w:sz w:val="32"/>
                <w:szCs w:val="32"/>
                <w:lang w:bidi="ar"/>
              </w:rPr>
              <w:t>。</w:t>
            </w:r>
            <w:bookmarkEnd w:id="4"/>
          </w:p>
        </w:tc>
      </w:tr>
    </w:tbl>
    <w:p w14:paraId="1F3026AE">
      <w:pPr>
        <w:widowControl/>
        <w:spacing w:line="560" w:lineRule="exact"/>
        <w:jc w:val="center"/>
        <w:rPr>
          <w:rFonts w:hint="eastAsia" w:ascii="仿宋" w:hAnsi="仿宋" w:eastAsia="仿宋" w:cs="仿宋"/>
          <w:kern w:val="0"/>
          <w:sz w:val="32"/>
          <w:szCs w:val="32"/>
          <w:lang w:bidi="ar"/>
        </w:rPr>
      </w:pPr>
    </w:p>
    <w:p w14:paraId="14C4B053">
      <w:pPr>
        <w:widowControl/>
        <w:spacing w:line="560" w:lineRule="exact"/>
        <w:jc w:val="center"/>
        <w:rPr>
          <w:rFonts w:ascii="仿宋" w:hAnsi="仿宋" w:eastAsia="仿宋" w:cs="仿宋"/>
          <w:kern w:val="0"/>
          <w:sz w:val="32"/>
          <w:szCs w:val="32"/>
          <w:lang w:bidi="ar"/>
        </w:rPr>
      </w:pPr>
      <w:r>
        <w:rPr>
          <w:rFonts w:hint="eastAsia" w:ascii="仿宋" w:hAnsi="仿宋" w:eastAsia="仿宋" w:cs="仿宋"/>
          <w:kern w:val="0"/>
          <w:sz w:val="32"/>
          <w:szCs w:val="32"/>
          <w:lang w:bidi="ar"/>
        </w:rPr>
        <w:t xml:space="preserve">表4  </w:t>
      </w:r>
      <w:bookmarkStart w:id="5" w:name="OLE_LINK3"/>
      <w:r>
        <w:rPr>
          <w:rFonts w:hint="eastAsia" w:ascii="仿宋" w:hAnsi="仿宋" w:eastAsia="仿宋" w:cs="仿宋"/>
          <w:kern w:val="0"/>
          <w:sz w:val="32"/>
          <w:szCs w:val="32"/>
          <w:lang w:bidi="ar"/>
        </w:rPr>
        <w:t>大学生创新创业训练项目</w:t>
      </w:r>
      <w:bookmarkEnd w:id="5"/>
      <w:r>
        <w:rPr>
          <w:rFonts w:hint="eastAsia" w:ascii="仿宋" w:hAnsi="仿宋" w:eastAsia="仿宋" w:cs="仿宋"/>
          <w:kern w:val="0"/>
          <w:sz w:val="32"/>
          <w:szCs w:val="32"/>
          <w:lang w:bidi="ar"/>
        </w:rPr>
        <w:t>加分</w:t>
      </w:r>
      <w:r>
        <w:rPr>
          <w:rFonts w:hint="eastAsia" w:ascii="仿宋" w:hAnsi="仿宋" w:eastAsia="仿宋" w:cs="仿宋"/>
          <w:sz w:val="32"/>
          <w:szCs w:val="32"/>
        </w:rPr>
        <w:t>标准</w:t>
      </w:r>
    </w:p>
    <w:tbl>
      <w:tblPr>
        <w:tblStyle w:val="1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14"/>
        <w:gridCol w:w="696"/>
        <w:gridCol w:w="870"/>
        <w:gridCol w:w="870"/>
        <w:gridCol w:w="1175"/>
        <w:gridCol w:w="1485"/>
      </w:tblGrid>
      <w:tr w14:paraId="79F4F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6" w:hRule="atLeast"/>
          <w:jc w:val="center"/>
        </w:trPr>
        <w:tc>
          <w:tcPr>
            <w:tcW w:w="2268" w:type="pct"/>
            <w:vMerge w:val="restart"/>
            <w:tcBorders>
              <w:top w:val="single" w:color="auto" w:sz="4" w:space="0"/>
              <w:left w:val="single" w:color="auto" w:sz="4" w:space="0"/>
              <w:bottom w:val="single" w:color="auto" w:sz="4" w:space="0"/>
              <w:right w:val="single" w:color="auto" w:sz="4" w:space="0"/>
            </w:tcBorders>
            <w:vAlign w:val="center"/>
          </w:tcPr>
          <w:p w14:paraId="1FE55187">
            <w:pPr>
              <w:spacing w:line="560" w:lineRule="exact"/>
              <w:jc w:val="center"/>
              <w:rPr>
                <w:rFonts w:ascii="仿宋" w:hAnsi="仿宋" w:eastAsia="仿宋" w:cs="仿宋"/>
                <w:sz w:val="32"/>
                <w:szCs w:val="32"/>
              </w:rPr>
            </w:pPr>
            <w:r>
              <w:rPr>
                <w:rFonts w:hint="eastAsia" w:ascii="仿宋" w:hAnsi="仿宋" w:eastAsia="仿宋" w:cs="仿宋"/>
                <w:sz w:val="32"/>
                <w:szCs w:val="32"/>
              </w:rPr>
              <w:t>项目级别、排名、分值</w:t>
            </w:r>
          </w:p>
        </w:tc>
        <w:tc>
          <w:tcPr>
            <w:tcW w:w="2731" w:type="pct"/>
            <w:gridSpan w:val="5"/>
            <w:tcBorders>
              <w:top w:val="single" w:color="auto" w:sz="4" w:space="0"/>
              <w:left w:val="single" w:color="auto" w:sz="4" w:space="0"/>
              <w:bottom w:val="single" w:color="auto" w:sz="4" w:space="0"/>
              <w:right w:val="single" w:color="auto" w:sz="4" w:space="0"/>
            </w:tcBorders>
            <w:vAlign w:val="center"/>
          </w:tcPr>
          <w:p w14:paraId="094ECD13">
            <w:pPr>
              <w:spacing w:line="560" w:lineRule="exact"/>
              <w:jc w:val="center"/>
              <w:rPr>
                <w:rFonts w:ascii="仿宋" w:hAnsi="仿宋" w:eastAsia="仿宋" w:cs="仿宋"/>
                <w:sz w:val="32"/>
                <w:szCs w:val="32"/>
              </w:rPr>
            </w:pPr>
            <w:r>
              <w:rPr>
                <w:rFonts w:hint="eastAsia" w:ascii="仿宋" w:hAnsi="仿宋" w:eastAsia="仿宋" w:cs="仿宋"/>
                <w:sz w:val="32"/>
                <w:szCs w:val="32"/>
              </w:rPr>
              <w:t>项目组成员排名、分值</w:t>
            </w:r>
          </w:p>
        </w:tc>
      </w:tr>
      <w:tr w14:paraId="42B32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6" w:hRule="atLeast"/>
          <w:jc w:val="center"/>
        </w:trPr>
        <w:tc>
          <w:tcPr>
            <w:tcW w:w="2268" w:type="pct"/>
            <w:vMerge w:val="continue"/>
            <w:tcBorders>
              <w:top w:val="single" w:color="auto" w:sz="4" w:space="0"/>
              <w:left w:val="single" w:color="auto" w:sz="4" w:space="0"/>
              <w:bottom w:val="single" w:color="auto" w:sz="4" w:space="0"/>
              <w:right w:val="single" w:color="auto" w:sz="4" w:space="0"/>
            </w:tcBorders>
            <w:vAlign w:val="center"/>
          </w:tcPr>
          <w:p w14:paraId="72A789B3">
            <w:pPr>
              <w:spacing w:line="560" w:lineRule="exact"/>
              <w:jc w:val="center"/>
              <w:rPr>
                <w:rFonts w:ascii="仿宋" w:hAnsi="仿宋" w:eastAsia="仿宋" w:cs="仿宋"/>
                <w:sz w:val="32"/>
                <w:szCs w:val="32"/>
              </w:rPr>
            </w:pPr>
          </w:p>
        </w:tc>
        <w:tc>
          <w:tcPr>
            <w:tcW w:w="350" w:type="pct"/>
            <w:tcBorders>
              <w:top w:val="single" w:color="auto" w:sz="4" w:space="0"/>
              <w:left w:val="single" w:color="auto" w:sz="4" w:space="0"/>
              <w:bottom w:val="single" w:color="auto" w:sz="4" w:space="0"/>
              <w:right w:val="single" w:color="auto" w:sz="4" w:space="0"/>
            </w:tcBorders>
            <w:vAlign w:val="center"/>
          </w:tcPr>
          <w:p w14:paraId="33DBF46E">
            <w:pPr>
              <w:spacing w:line="560" w:lineRule="exact"/>
              <w:jc w:val="center"/>
              <w:rPr>
                <w:rFonts w:ascii="仿宋" w:hAnsi="仿宋" w:eastAsia="仿宋" w:cs="仿宋"/>
                <w:sz w:val="32"/>
                <w:szCs w:val="32"/>
              </w:rPr>
            </w:pPr>
            <w:r>
              <w:rPr>
                <w:rFonts w:hint="eastAsia" w:ascii="仿宋" w:hAnsi="仿宋" w:eastAsia="仿宋" w:cs="仿宋"/>
                <w:sz w:val="32"/>
                <w:szCs w:val="32"/>
              </w:rPr>
              <w:t>一</w:t>
            </w:r>
          </w:p>
        </w:tc>
        <w:tc>
          <w:tcPr>
            <w:tcW w:w="472" w:type="pct"/>
            <w:tcBorders>
              <w:top w:val="single" w:color="auto" w:sz="4" w:space="0"/>
              <w:left w:val="single" w:color="auto" w:sz="4" w:space="0"/>
              <w:bottom w:val="single" w:color="auto" w:sz="4" w:space="0"/>
              <w:right w:val="single" w:color="auto" w:sz="4" w:space="0"/>
            </w:tcBorders>
            <w:vAlign w:val="center"/>
          </w:tcPr>
          <w:p w14:paraId="1D8E3BDE">
            <w:pPr>
              <w:spacing w:line="560" w:lineRule="exact"/>
              <w:jc w:val="center"/>
              <w:rPr>
                <w:rFonts w:ascii="仿宋" w:hAnsi="仿宋" w:eastAsia="仿宋" w:cs="仿宋"/>
                <w:sz w:val="32"/>
                <w:szCs w:val="32"/>
              </w:rPr>
            </w:pPr>
            <w:r>
              <w:rPr>
                <w:rFonts w:hint="eastAsia" w:ascii="仿宋" w:hAnsi="仿宋" w:eastAsia="仿宋" w:cs="仿宋"/>
                <w:sz w:val="32"/>
                <w:szCs w:val="32"/>
              </w:rPr>
              <w:t>二</w:t>
            </w:r>
          </w:p>
        </w:tc>
        <w:tc>
          <w:tcPr>
            <w:tcW w:w="472" w:type="pct"/>
            <w:tcBorders>
              <w:top w:val="single" w:color="auto" w:sz="4" w:space="0"/>
              <w:left w:val="single" w:color="auto" w:sz="4" w:space="0"/>
              <w:bottom w:val="single" w:color="auto" w:sz="4" w:space="0"/>
              <w:right w:val="single" w:color="auto" w:sz="4" w:space="0"/>
            </w:tcBorders>
            <w:vAlign w:val="center"/>
          </w:tcPr>
          <w:p w14:paraId="6F626C83">
            <w:pPr>
              <w:spacing w:line="560" w:lineRule="exact"/>
              <w:jc w:val="center"/>
              <w:rPr>
                <w:rFonts w:ascii="仿宋" w:hAnsi="仿宋" w:eastAsia="仿宋" w:cs="仿宋"/>
                <w:sz w:val="32"/>
                <w:szCs w:val="32"/>
              </w:rPr>
            </w:pPr>
            <w:r>
              <w:rPr>
                <w:rFonts w:hint="eastAsia" w:ascii="仿宋" w:hAnsi="仿宋" w:eastAsia="仿宋" w:cs="仿宋"/>
                <w:sz w:val="32"/>
                <w:szCs w:val="32"/>
              </w:rPr>
              <w:t>三</w:t>
            </w:r>
          </w:p>
        </w:tc>
        <w:tc>
          <w:tcPr>
            <w:tcW w:w="636" w:type="pct"/>
            <w:tcBorders>
              <w:top w:val="single" w:color="auto" w:sz="4" w:space="0"/>
              <w:left w:val="single" w:color="auto" w:sz="4" w:space="0"/>
              <w:bottom w:val="single" w:color="auto" w:sz="4" w:space="0"/>
              <w:right w:val="single" w:color="auto" w:sz="4" w:space="0"/>
            </w:tcBorders>
            <w:vAlign w:val="center"/>
          </w:tcPr>
          <w:p w14:paraId="17959D5A">
            <w:pPr>
              <w:spacing w:line="560" w:lineRule="exact"/>
              <w:jc w:val="center"/>
              <w:rPr>
                <w:rFonts w:ascii="仿宋" w:hAnsi="仿宋" w:eastAsia="仿宋" w:cs="仿宋"/>
                <w:sz w:val="32"/>
                <w:szCs w:val="32"/>
              </w:rPr>
            </w:pPr>
            <w:r>
              <w:rPr>
                <w:rFonts w:hint="eastAsia" w:ascii="仿宋" w:hAnsi="仿宋" w:eastAsia="仿宋" w:cs="仿宋"/>
                <w:sz w:val="32"/>
                <w:szCs w:val="32"/>
              </w:rPr>
              <w:t>四、五</w:t>
            </w:r>
          </w:p>
        </w:tc>
        <w:tc>
          <w:tcPr>
            <w:tcW w:w="799" w:type="pct"/>
            <w:tcBorders>
              <w:top w:val="single" w:color="auto" w:sz="4" w:space="0"/>
              <w:left w:val="single" w:color="auto" w:sz="4" w:space="0"/>
              <w:bottom w:val="single" w:color="auto" w:sz="4" w:space="0"/>
              <w:right w:val="single" w:color="auto" w:sz="4" w:space="0"/>
            </w:tcBorders>
            <w:vAlign w:val="center"/>
          </w:tcPr>
          <w:p w14:paraId="7CFE3203">
            <w:pPr>
              <w:spacing w:line="560" w:lineRule="exact"/>
              <w:jc w:val="center"/>
              <w:rPr>
                <w:rFonts w:ascii="仿宋" w:hAnsi="仿宋" w:eastAsia="仿宋" w:cs="仿宋"/>
                <w:sz w:val="32"/>
                <w:szCs w:val="32"/>
              </w:rPr>
            </w:pPr>
            <w:r>
              <w:rPr>
                <w:rFonts w:hint="eastAsia" w:ascii="仿宋" w:hAnsi="仿宋" w:eastAsia="仿宋" w:cs="仿宋"/>
                <w:sz w:val="32"/>
                <w:szCs w:val="32"/>
              </w:rPr>
              <w:t>六及以后</w:t>
            </w:r>
          </w:p>
        </w:tc>
      </w:tr>
      <w:tr w14:paraId="3CAFA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6" w:hRule="atLeast"/>
          <w:jc w:val="center"/>
        </w:trPr>
        <w:tc>
          <w:tcPr>
            <w:tcW w:w="2268" w:type="pct"/>
            <w:vMerge w:val="continue"/>
            <w:tcBorders>
              <w:top w:val="single" w:color="auto" w:sz="4" w:space="0"/>
              <w:left w:val="single" w:color="auto" w:sz="4" w:space="0"/>
              <w:bottom w:val="single" w:color="auto" w:sz="4" w:space="0"/>
              <w:right w:val="single" w:color="auto" w:sz="4" w:space="0"/>
            </w:tcBorders>
            <w:vAlign w:val="center"/>
          </w:tcPr>
          <w:p w14:paraId="73EDE1C1">
            <w:pPr>
              <w:spacing w:line="560" w:lineRule="exact"/>
              <w:jc w:val="center"/>
              <w:rPr>
                <w:rFonts w:ascii="仿宋" w:hAnsi="仿宋" w:eastAsia="仿宋" w:cs="仿宋"/>
                <w:sz w:val="32"/>
                <w:szCs w:val="32"/>
              </w:rPr>
            </w:pPr>
          </w:p>
        </w:tc>
        <w:tc>
          <w:tcPr>
            <w:tcW w:w="350" w:type="pct"/>
            <w:tcBorders>
              <w:top w:val="single" w:color="auto" w:sz="4" w:space="0"/>
              <w:left w:val="single" w:color="auto" w:sz="4" w:space="0"/>
              <w:bottom w:val="single" w:color="auto" w:sz="4" w:space="0"/>
              <w:right w:val="single" w:color="auto" w:sz="4" w:space="0"/>
            </w:tcBorders>
            <w:tcMar>
              <w:top w:w="0" w:type="dxa"/>
              <w:left w:w="0" w:type="dxa"/>
              <w:bottom w:w="0" w:type="dxa"/>
              <w:right w:w="0" w:type="dxa"/>
            </w:tcMar>
            <w:vAlign w:val="center"/>
          </w:tcPr>
          <w:p w14:paraId="38A76944">
            <w:pPr>
              <w:spacing w:line="560" w:lineRule="exact"/>
              <w:jc w:val="center"/>
              <w:rPr>
                <w:rFonts w:ascii="仿宋" w:hAnsi="仿宋" w:eastAsia="仿宋" w:cs="仿宋"/>
                <w:sz w:val="32"/>
                <w:szCs w:val="32"/>
              </w:rPr>
            </w:pPr>
            <w:r>
              <w:rPr>
                <w:rFonts w:hint="eastAsia" w:ascii="仿宋" w:hAnsi="仿宋" w:eastAsia="仿宋" w:cs="仿宋"/>
                <w:sz w:val="32"/>
                <w:szCs w:val="32"/>
              </w:rPr>
              <w:t>分值</w:t>
            </w:r>
          </w:p>
        </w:tc>
        <w:tc>
          <w:tcPr>
            <w:tcW w:w="472" w:type="pct"/>
            <w:tcBorders>
              <w:top w:val="single" w:color="auto" w:sz="4" w:space="0"/>
              <w:left w:val="single" w:color="auto" w:sz="4" w:space="0"/>
              <w:bottom w:val="single" w:color="auto" w:sz="4" w:space="0"/>
              <w:right w:val="single" w:color="auto" w:sz="4" w:space="0"/>
            </w:tcBorders>
            <w:vAlign w:val="center"/>
          </w:tcPr>
          <w:p w14:paraId="22036DBE">
            <w:pPr>
              <w:spacing w:line="560" w:lineRule="exact"/>
              <w:jc w:val="center"/>
              <w:rPr>
                <w:rFonts w:ascii="仿宋" w:hAnsi="仿宋" w:eastAsia="仿宋" w:cs="仿宋"/>
                <w:sz w:val="32"/>
                <w:szCs w:val="32"/>
              </w:rPr>
            </w:pPr>
            <w:r>
              <w:rPr>
                <w:rFonts w:hint="eastAsia" w:ascii="仿宋" w:hAnsi="仿宋" w:eastAsia="仿宋" w:cs="仿宋"/>
                <w:sz w:val="32"/>
                <w:szCs w:val="32"/>
              </w:rPr>
              <w:t>分值</w:t>
            </w:r>
          </w:p>
        </w:tc>
        <w:tc>
          <w:tcPr>
            <w:tcW w:w="472" w:type="pct"/>
            <w:tcBorders>
              <w:top w:val="single" w:color="auto" w:sz="4" w:space="0"/>
              <w:left w:val="single" w:color="auto" w:sz="4" w:space="0"/>
              <w:bottom w:val="single" w:color="auto" w:sz="4" w:space="0"/>
              <w:right w:val="single" w:color="auto" w:sz="4" w:space="0"/>
            </w:tcBorders>
            <w:vAlign w:val="center"/>
          </w:tcPr>
          <w:p w14:paraId="5E17284F">
            <w:pPr>
              <w:spacing w:line="560" w:lineRule="exact"/>
              <w:jc w:val="center"/>
              <w:rPr>
                <w:rFonts w:ascii="仿宋" w:hAnsi="仿宋" w:eastAsia="仿宋" w:cs="仿宋"/>
                <w:sz w:val="32"/>
                <w:szCs w:val="32"/>
              </w:rPr>
            </w:pPr>
            <w:r>
              <w:rPr>
                <w:rFonts w:hint="eastAsia" w:ascii="仿宋" w:hAnsi="仿宋" w:eastAsia="仿宋" w:cs="仿宋"/>
                <w:sz w:val="32"/>
                <w:szCs w:val="32"/>
              </w:rPr>
              <w:t>分值</w:t>
            </w:r>
          </w:p>
        </w:tc>
        <w:tc>
          <w:tcPr>
            <w:tcW w:w="636" w:type="pct"/>
            <w:tcBorders>
              <w:top w:val="single" w:color="auto" w:sz="4" w:space="0"/>
              <w:left w:val="single" w:color="auto" w:sz="4" w:space="0"/>
              <w:bottom w:val="single" w:color="auto" w:sz="4" w:space="0"/>
              <w:right w:val="single" w:color="auto" w:sz="4" w:space="0"/>
            </w:tcBorders>
            <w:vAlign w:val="center"/>
          </w:tcPr>
          <w:p w14:paraId="60A7988F">
            <w:pPr>
              <w:spacing w:line="560" w:lineRule="exact"/>
              <w:jc w:val="center"/>
              <w:rPr>
                <w:rFonts w:ascii="仿宋" w:hAnsi="仿宋" w:eastAsia="仿宋" w:cs="仿宋"/>
                <w:sz w:val="32"/>
                <w:szCs w:val="32"/>
              </w:rPr>
            </w:pPr>
            <w:r>
              <w:rPr>
                <w:rFonts w:hint="eastAsia" w:ascii="仿宋" w:hAnsi="仿宋" w:eastAsia="仿宋" w:cs="仿宋"/>
                <w:sz w:val="32"/>
                <w:szCs w:val="32"/>
              </w:rPr>
              <w:t>分值</w:t>
            </w:r>
          </w:p>
        </w:tc>
        <w:tc>
          <w:tcPr>
            <w:tcW w:w="799" w:type="pct"/>
            <w:tcBorders>
              <w:top w:val="single" w:color="auto" w:sz="4" w:space="0"/>
              <w:left w:val="single" w:color="auto" w:sz="4" w:space="0"/>
              <w:bottom w:val="single" w:color="auto" w:sz="4" w:space="0"/>
              <w:right w:val="single" w:color="auto" w:sz="4" w:space="0"/>
            </w:tcBorders>
            <w:vAlign w:val="center"/>
          </w:tcPr>
          <w:p w14:paraId="4270F124">
            <w:pPr>
              <w:spacing w:line="560" w:lineRule="exact"/>
              <w:jc w:val="center"/>
              <w:rPr>
                <w:rFonts w:ascii="仿宋" w:hAnsi="仿宋" w:eastAsia="仿宋" w:cs="仿宋"/>
                <w:sz w:val="32"/>
                <w:szCs w:val="32"/>
              </w:rPr>
            </w:pPr>
            <w:r>
              <w:rPr>
                <w:rFonts w:hint="eastAsia" w:ascii="仿宋" w:hAnsi="仿宋" w:eastAsia="仿宋" w:cs="仿宋"/>
                <w:sz w:val="32"/>
                <w:szCs w:val="32"/>
              </w:rPr>
              <w:t>分值</w:t>
            </w:r>
          </w:p>
        </w:tc>
      </w:tr>
      <w:tr w14:paraId="7E6A2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6" w:hRule="atLeast"/>
          <w:jc w:val="center"/>
        </w:trPr>
        <w:tc>
          <w:tcPr>
            <w:tcW w:w="2268" w:type="pct"/>
            <w:tcBorders>
              <w:top w:val="single" w:color="auto" w:sz="4" w:space="0"/>
              <w:left w:val="single" w:color="auto" w:sz="4" w:space="0"/>
              <w:bottom w:val="single" w:color="auto" w:sz="4" w:space="0"/>
              <w:right w:val="single" w:color="auto" w:sz="4" w:space="0"/>
            </w:tcBorders>
            <w:vAlign w:val="center"/>
          </w:tcPr>
          <w:p w14:paraId="0EAFAE32">
            <w:pPr>
              <w:spacing w:line="560" w:lineRule="exact"/>
              <w:jc w:val="center"/>
              <w:rPr>
                <w:rFonts w:ascii="仿宋" w:hAnsi="仿宋" w:eastAsia="仿宋" w:cs="仿宋"/>
                <w:sz w:val="32"/>
                <w:szCs w:val="32"/>
              </w:rPr>
            </w:pPr>
            <w:r>
              <w:rPr>
                <w:rFonts w:hint="eastAsia" w:ascii="仿宋" w:hAnsi="仿宋" w:eastAsia="仿宋" w:cs="仿宋"/>
                <w:sz w:val="32"/>
                <w:szCs w:val="32"/>
              </w:rPr>
              <w:t>国家级</w:t>
            </w:r>
          </w:p>
        </w:tc>
        <w:tc>
          <w:tcPr>
            <w:tcW w:w="350" w:type="pct"/>
            <w:tcBorders>
              <w:top w:val="single" w:color="auto" w:sz="4" w:space="0"/>
              <w:left w:val="single" w:color="auto" w:sz="4" w:space="0"/>
              <w:bottom w:val="single" w:color="auto" w:sz="4" w:space="0"/>
              <w:right w:val="single" w:color="auto" w:sz="4" w:space="0"/>
            </w:tcBorders>
            <w:vAlign w:val="center"/>
          </w:tcPr>
          <w:p w14:paraId="554CD1C7">
            <w:pPr>
              <w:spacing w:line="560" w:lineRule="exact"/>
              <w:jc w:val="center"/>
              <w:rPr>
                <w:rFonts w:ascii="仿宋" w:hAnsi="仿宋" w:eastAsia="仿宋" w:cs="仿宋"/>
                <w:sz w:val="32"/>
                <w:szCs w:val="32"/>
              </w:rPr>
            </w:pPr>
            <w:r>
              <w:rPr>
                <w:rFonts w:hint="eastAsia" w:ascii="仿宋" w:hAnsi="仿宋" w:eastAsia="仿宋" w:cs="仿宋"/>
                <w:sz w:val="32"/>
                <w:szCs w:val="32"/>
              </w:rPr>
              <w:t>1.0</w:t>
            </w:r>
          </w:p>
        </w:tc>
        <w:tc>
          <w:tcPr>
            <w:tcW w:w="472" w:type="pct"/>
            <w:tcBorders>
              <w:top w:val="single" w:color="auto" w:sz="4" w:space="0"/>
              <w:left w:val="single" w:color="auto" w:sz="4" w:space="0"/>
              <w:bottom w:val="single" w:color="auto" w:sz="4" w:space="0"/>
              <w:right w:val="single" w:color="auto" w:sz="4" w:space="0"/>
            </w:tcBorders>
            <w:vAlign w:val="center"/>
          </w:tcPr>
          <w:p w14:paraId="453BB4F2">
            <w:pPr>
              <w:spacing w:line="560" w:lineRule="exact"/>
              <w:jc w:val="center"/>
              <w:rPr>
                <w:rFonts w:ascii="仿宋" w:hAnsi="仿宋" w:eastAsia="仿宋" w:cs="仿宋"/>
                <w:sz w:val="32"/>
                <w:szCs w:val="32"/>
              </w:rPr>
            </w:pPr>
            <w:r>
              <w:rPr>
                <w:rFonts w:hint="eastAsia" w:ascii="仿宋" w:hAnsi="仿宋" w:eastAsia="仿宋" w:cs="仿宋"/>
                <w:sz w:val="32"/>
                <w:szCs w:val="32"/>
              </w:rPr>
              <w:t>0.8</w:t>
            </w:r>
          </w:p>
        </w:tc>
        <w:tc>
          <w:tcPr>
            <w:tcW w:w="472" w:type="pct"/>
            <w:tcBorders>
              <w:top w:val="single" w:color="auto" w:sz="4" w:space="0"/>
              <w:left w:val="single" w:color="auto" w:sz="4" w:space="0"/>
              <w:bottom w:val="single" w:color="auto" w:sz="4" w:space="0"/>
              <w:right w:val="single" w:color="auto" w:sz="4" w:space="0"/>
            </w:tcBorders>
            <w:vAlign w:val="center"/>
          </w:tcPr>
          <w:p w14:paraId="20C25BF0">
            <w:pPr>
              <w:spacing w:line="560" w:lineRule="exact"/>
              <w:jc w:val="center"/>
              <w:rPr>
                <w:rFonts w:ascii="仿宋" w:hAnsi="仿宋" w:eastAsia="仿宋" w:cs="仿宋"/>
                <w:sz w:val="32"/>
                <w:szCs w:val="32"/>
              </w:rPr>
            </w:pPr>
            <w:r>
              <w:rPr>
                <w:rFonts w:hint="eastAsia" w:ascii="仿宋" w:hAnsi="仿宋" w:eastAsia="仿宋" w:cs="仿宋"/>
                <w:sz w:val="32"/>
                <w:szCs w:val="32"/>
              </w:rPr>
              <w:t>0.6</w:t>
            </w:r>
          </w:p>
        </w:tc>
        <w:tc>
          <w:tcPr>
            <w:tcW w:w="636" w:type="pct"/>
            <w:tcBorders>
              <w:top w:val="single" w:color="auto" w:sz="4" w:space="0"/>
              <w:left w:val="single" w:color="auto" w:sz="4" w:space="0"/>
              <w:bottom w:val="single" w:color="auto" w:sz="4" w:space="0"/>
              <w:right w:val="single" w:color="auto" w:sz="4" w:space="0"/>
            </w:tcBorders>
            <w:vAlign w:val="center"/>
          </w:tcPr>
          <w:p w14:paraId="58526F7E">
            <w:pPr>
              <w:spacing w:line="560" w:lineRule="exact"/>
              <w:jc w:val="center"/>
              <w:rPr>
                <w:rFonts w:ascii="仿宋" w:hAnsi="仿宋" w:eastAsia="仿宋" w:cs="仿宋"/>
                <w:sz w:val="32"/>
                <w:szCs w:val="32"/>
              </w:rPr>
            </w:pPr>
            <w:r>
              <w:rPr>
                <w:rFonts w:hint="eastAsia" w:ascii="仿宋" w:hAnsi="仿宋" w:eastAsia="仿宋" w:cs="仿宋"/>
                <w:sz w:val="32"/>
                <w:szCs w:val="32"/>
              </w:rPr>
              <w:t>0.4</w:t>
            </w:r>
          </w:p>
        </w:tc>
        <w:tc>
          <w:tcPr>
            <w:tcW w:w="799" w:type="pct"/>
            <w:tcBorders>
              <w:top w:val="single" w:color="auto" w:sz="4" w:space="0"/>
              <w:left w:val="single" w:color="auto" w:sz="4" w:space="0"/>
              <w:bottom w:val="single" w:color="auto" w:sz="4" w:space="0"/>
              <w:right w:val="single" w:color="auto" w:sz="4" w:space="0"/>
            </w:tcBorders>
            <w:vAlign w:val="center"/>
          </w:tcPr>
          <w:p w14:paraId="5EDDEF8A">
            <w:pPr>
              <w:spacing w:line="560" w:lineRule="exact"/>
              <w:jc w:val="center"/>
              <w:rPr>
                <w:rFonts w:ascii="仿宋" w:hAnsi="仿宋" w:eastAsia="仿宋" w:cs="仿宋"/>
                <w:sz w:val="32"/>
                <w:szCs w:val="32"/>
              </w:rPr>
            </w:pPr>
            <w:r>
              <w:rPr>
                <w:rFonts w:hint="eastAsia" w:ascii="仿宋" w:hAnsi="仿宋" w:eastAsia="仿宋" w:cs="仿宋"/>
                <w:sz w:val="32"/>
                <w:szCs w:val="32"/>
              </w:rPr>
              <w:t>0.2</w:t>
            </w:r>
          </w:p>
        </w:tc>
      </w:tr>
      <w:tr w14:paraId="7359E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6" w:hRule="atLeast"/>
          <w:jc w:val="center"/>
        </w:trPr>
        <w:tc>
          <w:tcPr>
            <w:tcW w:w="2268" w:type="pct"/>
            <w:tcBorders>
              <w:top w:val="single" w:color="auto" w:sz="4" w:space="0"/>
              <w:left w:val="single" w:color="auto" w:sz="4" w:space="0"/>
              <w:right w:val="single" w:color="auto" w:sz="4" w:space="0"/>
            </w:tcBorders>
            <w:vAlign w:val="center"/>
          </w:tcPr>
          <w:p w14:paraId="26BD4BA8">
            <w:pPr>
              <w:spacing w:line="560" w:lineRule="exact"/>
              <w:jc w:val="center"/>
              <w:rPr>
                <w:rFonts w:ascii="仿宋" w:hAnsi="仿宋" w:eastAsia="仿宋" w:cs="仿宋"/>
                <w:sz w:val="32"/>
                <w:szCs w:val="32"/>
              </w:rPr>
            </w:pPr>
            <w:r>
              <w:rPr>
                <w:rFonts w:hint="eastAsia" w:ascii="仿宋" w:hAnsi="仿宋" w:eastAsia="仿宋" w:cs="仿宋"/>
                <w:sz w:val="32"/>
                <w:szCs w:val="32"/>
              </w:rPr>
              <w:t>省部级</w:t>
            </w:r>
          </w:p>
        </w:tc>
        <w:tc>
          <w:tcPr>
            <w:tcW w:w="350" w:type="pct"/>
            <w:tcBorders>
              <w:top w:val="single" w:color="auto" w:sz="4" w:space="0"/>
              <w:left w:val="single" w:color="auto" w:sz="4" w:space="0"/>
              <w:bottom w:val="single" w:color="auto" w:sz="4" w:space="0"/>
              <w:right w:val="single" w:color="auto" w:sz="4" w:space="0"/>
            </w:tcBorders>
            <w:vAlign w:val="center"/>
          </w:tcPr>
          <w:p w14:paraId="6E602B05">
            <w:pPr>
              <w:spacing w:line="560" w:lineRule="exact"/>
              <w:jc w:val="center"/>
              <w:rPr>
                <w:rFonts w:ascii="仿宋" w:hAnsi="仿宋" w:eastAsia="仿宋" w:cs="仿宋"/>
                <w:sz w:val="32"/>
                <w:szCs w:val="32"/>
              </w:rPr>
            </w:pPr>
            <w:r>
              <w:rPr>
                <w:rFonts w:hint="eastAsia" w:ascii="仿宋" w:hAnsi="仿宋" w:eastAsia="仿宋" w:cs="仿宋"/>
                <w:sz w:val="32"/>
                <w:szCs w:val="32"/>
              </w:rPr>
              <w:t>0.8</w:t>
            </w:r>
          </w:p>
        </w:tc>
        <w:tc>
          <w:tcPr>
            <w:tcW w:w="472" w:type="pct"/>
            <w:tcBorders>
              <w:top w:val="single" w:color="auto" w:sz="4" w:space="0"/>
              <w:left w:val="single" w:color="auto" w:sz="4" w:space="0"/>
              <w:bottom w:val="single" w:color="auto" w:sz="4" w:space="0"/>
              <w:right w:val="single" w:color="auto" w:sz="4" w:space="0"/>
            </w:tcBorders>
            <w:vAlign w:val="center"/>
          </w:tcPr>
          <w:p w14:paraId="0AD7844E">
            <w:pPr>
              <w:spacing w:line="560" w:lineRule="exact"/>
              <w:jc w:val="center"/>
              <w:rPr>
                <w:rFonts w:ascii="仿宋" w:hAnsi="仿宋" w:eastAsia="仿宋" w:cs="仿宋"/>
                <w:sz w:val="32"/>
                <w:szCs w:val="32"/>
              </w:rPr>
            </w:pPr>
            <w:r>
              <w:rPr>
                <w:rFonts w:hint="eastAsia" w:ascii="仿宋" w:hAnsi="仿宋" w:eastAsia="仿宋" w:cs="仿宋"/>
                <w:sz w:val="32"/>
                <w:szCs w:val="32"/>
              </w:rPr>
              <w:t>0.6</w:t>
            </w:r>
          </w:p>
        </w:tc>
        <w:tc>
          <w:tcPr>
            <w:tcW w:w="472" w:type="pct"/>
            <w:tcBorders>
              <w:top w:val="single" w:color="auto" w:sz="4" w:space="0"/>
              <w:left w:val="single" w:color="auto" w:sz="4" w:space="0"/>
              <w:bottom w:val="single" w:color="auto" w:sz="4" w:space="0"/>
              <w:right w:val="single" w:color="auto" w:sz="4" w:space="0"/>
            </w:tcBorders>
            <w:vAlign w:val="center"/>
          </w:tcPr>
          <w:p w14:paraId="59B8CA1C">
            <w:pPr>
              <w:spacing w:line="560" w:lineRule="exact"/>
              <w:jc w:val="center"/>
              <w:rPr>
                <w:rFonts w:ascii="仿宋" w:hAnsi="仿宋" w:eastAsia="仿宋" w:cs="仿宋"/>
                <w:sz w:val="32"/>
                <w:szCs w:val="32"/>
              </w:rPr>
            </w:pPr>
            <w:r>
              <w:rPr>
                <w:rFonts w:hint="eastAsia" w:ascii="仿宋" w:hAnsi="仿宋" w:eastAsia="仿宋" w:cs="仿宋"/>
                <w:sz w:val="32"/>
                <w:szCs w:val="32"/>
              </w:rPr>
              <w:t>0.4</w:t>
            </w:r>
          </w:p>
        </w:tc>
        <w:tc>
          <w:tcPr>
            <w:tcW w:w="636" w:type="pct"/>
            <w:tcBorders>
              <w:top w:val="single" w:color="auto" w:sz="4" w:space="0"/>
              <w:left w:val="single" w:color="auto" w:sz="4" w:space="0"/>
              <w:bottom w:val="single" w:color="auto" w:sz="4" w:space="0"/>
              <w:right w:val="single" w:color="auto" w:sz="4" w:space="0"/>
            </w:tcBorders>
            <w:vAlign w:val="center"/>
          </w:tcPr>
          <w:p w14:paraId="0747CF0A">
            <w:pPr>
              <w:spacing w:line="560" w:lineRule="exact"/>
              <w:jc w:val="center"/>
              <w:rPr>
                <w:rFonts w:ascii="仿宋" w:hAnsi="仿宋" w:eastAsia="仿宋" w:cs="仿宋"/>
                <w:sz w:val="32"/>
                <w:szCs w:val="32"/>
              </w:rPr>
            </w:pPr>
            <w:r>
              <w:rPr>
                <w:rFonts w:hint="eastAsia" w:ascii="仿宋" w:hAnsi="仿宋" w:eastAsia="仿宋" w:cs="仿宋"/>
                <w:sz w:val="32"/>
                <w:szCs w:val="32"/>
              </w:rPr>
              <w:t>0.2</w:t>
            </w:r>
          </w:p>
        </w:tc>
        <w:tc>
          <w:tcPr>
            <w:tcW w:w="799" w:type="pct"/>
            <w:tcBorders>
              <w:top w:val="single" w:color="auto" w:sz="4" w:space="0"/>
              <w:left w:val="single" w:color="auto" w:sz="4" w:space="0"/>
              <w:bottom w:val="single" w:color="auto" w:sz="4" w:space="0"/>
              <w:right w:val="single" w:color="auto" w:sz="4" w:space="0"/>
            </w:tcBorders>
            <w:vAlign w:val="center"/>
          </w:tcPr>
          <w:p w14:paraId="066E39E1">
            <w:pPr>
              <w:spacing w:line="560" w:lineRule="exact"/>
              <w:jc w:val="center"/>
              <w:rPr>
                <w:rFonts w:ascii="仿宋" w:hAnsi="仿宋" w:eastAsia="仿宋" w:cs="仿宋"/>
                <w:sz w:val="32"/>
                <w:szCs w:val="32"/>
              </w:rPr>
            </w:pPr>
            <w:r>
              <w:rPr>
                <w:rFonts w:hint="eastAsia" w:ascii="仿宋" w:hAnsi="仿宋" w:eastAsia="仿宋" w:cs="仿宋"/>
                <w:sz w:val="32"/>
                <w:szCs w:val="32"/>
              </w:rPr>
              <w:t>0.1</w:t>
            </w:r>
          </w:p>
        </w:tc>
      </w:tr>
      <w:tr w14:paraId="4FACB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6" w:hRule="atLeast"/>
          <w:jc w:val="center"/>
        </w:trPr>
        <w:tc>
          <w:tcPr>
            <w:tcW w:w="2268" w:type="pct"/>
            <w:tcBorders>
              <w:top w:val="single" w:color="auto" w:sz="4" w:space="0"/>
              <w:left w:val="single" w:color="auto" w:sz="4" w:space="0"/>
              <w:bottom w:val="single" w:color="auto" w:sz="4" w:space="0"/>
              <w:right w:val="single" w:color="auto" w:sz="4" w:space="0"/>
            </w:tcBorders>
            <w:vAlign w:val="center"/>
          </w:tcPr>
          <w:p w14:paraId="66FA647B">
            <w:pPr>
              <w:spacing w:line="560" w:lineRule="exact"/>
              <w:jc w:val="center"/>
              <w:rPr>
                <w:rFonts w:ascii="仿宋" w:hAnsi="仿宋" w:eastAsia="仿宋" w:cs="仿宋"/>
                <w:sz w:val="32"/>
                <w:szCs w:val="32"/>
              </w:rPr>
            </w:pPr>
            <w:r>
              <w:rPr>
                <w:rFonts w:hint="eastAsia" w:ascii="仿宋" w:hAnsi="仿宋" w:eastAsia="仿宋" w:cs="仿宋"/>
                <w:sz w:val="32"/>
                <w:szCs w:val="32"/>
              </w:rPr>
              <w:t>校  级</w:t>
            </w:r>
          </w:p>
        </w:tc>
        <w:tc>
          <w:tcPr>
            <w:tcW w:w="350" w:type="pct"/>
            <w:tcBorders>
              <w:top w:val="single" w:color="auto" w:sz="4" w:space="0"/>
              <w:left w:val="single" w:color="auto" w:sz="4" w:space="0"/>
              <w:bottom w:val="single" w:color="auto" w:sz="4" w:space="0"/>
              <w:right w:val="single" w:color="auto" w:sz="4" w:space="0"/>
            </w:tcBorders>
            <w:vAlign w:val="center"/>
          </w:tcPr>
          <w:p w14:paraId="477E445C">
            <w:pPr>
              <w:spacing w:line="560" w:lineRule="exact"/>
              <w:jc w:val="center"/>
              <w:rPr>
                <w:rFonts w:ascii="仿宋" w:hAnsi="仿宋" w:eastAsia="仿宋" w:cs="仿宋"/>
                <w:sz w:val="32"/>
                <w:szCs w:val="32"/>
              </w:rPr>
            </w:pPr>
            <w:r>
              <w:rPr>
                <w:rFonts w:hint="eastAsia" w:ascii="仿宋" w:hAnsi="仿宋" w:eastAsia="仿宋" w:cs="仿宋"/>
                <w:sz w:val="32"/>
                <w:szCs w:val="32"/>
              </w:rPr>
              <w:t>0.5</w:t>
            </w:r>
          </w:p>
        </w:tc>
        <w:tc>
          <w:tcPr>
            <w:tcW w:w="472" w:type="pct"/>
            <w:tcBorders>
              <w:top w:val="single" w:color="auto" w:sz="4" w:space="0"/>
              <w:left w:val="single" w:color="auto" w:sz="4" w:space="0"/>
              <w:bottom w:val="single" w:color="auto" w:sz="4" w:space="0"/>
              <w:right w:val="single" w:color="auto" w:sz="4" w:space="0"/>
            </w:tcBorders>
            <w:vAlign w:val="center"/>
          </w:tcPr>
          <w:p w14:paraId="080A88B2">
            <w:pPr>
              <w:spacing w:line="560" w:lineRule="exact"/>
              <w:jc w:val="center"/>
              <w:rPr>
                <w:rFonts w:ascii="仿宋" w:hAnsi="仿宋" w:eastAsia="仿宋" w:cs="仿宋"/>
                <w:sz w:val="32"/>
                <w:szCs w:val="32"/>
              </w:rPr>
            </w:pPr>
            <w:r>
              <w:rPr>
                <w:rFonts w:hint="eastAsia" w:ascii="仿宋" w:hAnsi="仿宋" w:eastAsia="仿宋" w:cs="仿宋"/>
                <w:sz w:val="32"/>
                <w:szCs w:val="32"/>
              </w:rPr>
              <w:t>0.4</w:t>
            </w:r>
          </w:p>
        </w:tc>
        <w:tc>
          <w:tcPr>
            <w:tcW w:w="472" w:type="pct"/>
            <w:tcBorders>
              <w:top w:val="single" w:color="auto" w:sz="4" w:space="0"/>
              <w:left w:val="single" w:color="auto" w:sz="4" w:space="0"/>
              <w:bottom w:val="single" w:color="auto" w:sz="4" w:space="0"/>
              <w:right w:val="single" w:color="auto" w:sz="4" w:space="0"/>
            </w:tcBorders>
            <w:vAlign w:val="center"/>
          </w:tcPr>
          <w:p w14:paraId="0D1B9CCF">
            <w:pPr>
              <w:spacing w:line="560" w:lineRule="exact"/>
              <w:jc w:val="center"/>
              <w:rPr>
                <w:rFonts w:ascii="仿宋" w:hAnsi="仿宋" w:eastAsia="仿宋" w:cs="仿宋"/>
                <w:sz w:val="32"/>
                <w:szCs w:val="32"/>
              </w:rPr>
            </w:pPr>
            <w:r>
              <w:rPr>
                <w:rFonts w:hint="eastAsia" w:ascii="仿宋" w:hAnsi="仿宋" w:eastAsia="仿宋" w:cs="仿宋"/>
                <w:sz w:val="32"/>
                <w:szCs w:val="32"/>
              </w:rPr>
              <w:t>0.3</w:t>
            </w:r>
          </w:p>
        </w:tc>
        <w:tc>
          <w:tcPr>
            <w:tcW w:w="636" w:type="pct"/>
            <w:tcBorders>
              <w:top w:val="single" w:color="auto" w:sz="4" w:space="0"/>
              <w:left w:val="single" w:color="auto" w:sz="4" w:space="0"/>
              <w:bottom w:val="single" w:color="auto" w:sz="4" w:space="0"/>
              <w:right w:val="single" w:color="auto" w:sz="4" w:space="0"/>
            </w:tcBorders>
            <w:vAlign w:val="center"/>
          </w:tcPr>
          <w:p w14:paraId="3B10E2FE">
            <w:pPr>
              <w:spacing w:line="560" w:lineRule="exact"/>
              <w:jc w:val="center"/>
              <w:rPr>
                <w:rFonts w:ascii="仿宋" w:hAnsi="仿宋" w:eastAsia="仿宋" w:cs="仿宋"/>
                <w:sz w:val="32"/>
                <w:szCs w:val="32"/>
              </w:rPr>
            </w:pPr>
            <w:r>
              <w:rPr>
                <w:rFonts w:hint="eastAsia" w:ascii="仿宋" w:hAnsi="仿宋" w:eastAsia="仿宋" w:cs="仿宋"/>
                <w:sz w:val="32"/>
                <w:szCs w:val="32"/>
              </w:rPr>
              <w:t>0.1</w:t>
            </w:r>
          </w:p>
        </w:tc>
        <w:tc>
          <w:tcPr>
            <w:tcW w:w="799" w:type="pct"/>
            <w:tcBorders>
              <w:top w:val="single" w:color="auto" w:sz="4" w:space="0"/>
              <w:left w:val="single" w:color="auto" w:sz="4" w:space="0"/>
              <w:bottom w:val="single" w:color="auto" w:sz="4" w:space="0"/>
              <w:right w:val="single" w:color="auto" w:sz="4" w:space="0"/>
            </w:tcBorders>
            <w:vAlign w:val="center"/>
          </w:tcPr>
          <w:p w14:paraId="0DDB427D">
            <w:pPr>
              <w:spacing w:line="560" w:lineRule="exact"/>
              <w:jc w:val="center"/>
              <w:rPr>
                <w:rFonts w:ascii="仿宋" w:hAnsi="仿宋" w:eastAsia="仿宋" w:cs="仿宋"/>
                <w:sz w:val="32"/>
                <w:szCs w:val="32"/>
              </w:rPr>
            </w:pPr>
            <w:r>
              <w:rPr>
                <w:rFonts w:hint="eastAsia" w:ascii="仿宋" w:hAnsi="仿宋" w:eastAsia="仿宋" w:cs="仿宋"/>
                <w:sz w:val="32"/>
                <w:szCs w:val="32"/>
              </w:rPr>
              <w:t>0</w:t>
            </w:r>
          </w:p>
        </w:tc>
      </w:tr>
      <w:tr w14:paraId="65C76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6" w:hRule="atLeast"/>
          <w:jc w:val="center"/>
        </w:trPr>
        <w:tc>
          <w:tcPr>
            <w:tcW w:w="5000" w:type="pct"/>
            <w:gridSpan w:val="6"/>
            <w:tcBorders>
              <w:top w:val="single" w:color="auto" w:sz="4" w:space="0"/>
              <w:left w:val="single" w:color="auto" w:sz="4" w:space="0"/>
              <w:bottom w:val="single" w:color="auto" w:sz="4" w:space="0"/>
              <w:right w:val="single" w:color="auto" w:sz="4" w:space="0"/>
            </w:tcBorders>
            <w:vAlign w:val="center"/>
          </w:tcPr>
          <w:p w14:paraId="323AAF0A">
            <w:pPr>
              <w:widowControl/>
              <w:spacing w:line="560" w:lineRule="exact"/>
              <w:rPr>
                <w:rFonts w:ascii="仿宋" w:hAnsi="仿宋" w:eastAsia="仿宋" w:cs="仿宋"/>
                <w:kern w:val="0"/>
                <w:sz w:val="32"/>
                <w:szCs w:val="32"/>
                <w:highlight w:val="none"/>
                <w:lang w:bidi="ar"/>
              </w:rPr>
            </w:pPr>
            <w:r>
              <w:rPr>
                <w:rFonts w:hint="eastAsia" w:ascii="仿宋" w:hAnsi="仿宋" w:eastAsia="仿宋" w:cs="仿宋"/>
                <w:kern w:val="0"/>
                <w:sz w:val="32"/>
                <w:szCs w:val="32"/>
                <w:highlight w:val="none"/>
                <w:lang w:bidi="ar"/>
              </w:rPr>
              <w:t>注</w:t>
            </w:r>
            <w:r>
              <w:rPr>
                <w:rFonts w:hint="eastAsia" w:ascii="仿宋" w:hAnsi="仿宋" w:eastAsia="仿宋" w:cs="仿宋"/>
                <w:kern w:val="0"/>
                <w:sz w:val="32"/>
                <w:szCs w:val="32"/>
                <w:highlight w:val="none"/>
                <w:lang w:val="en-US" w:eastAsia="zh-CN" w:bidi="ar"/>
              </w:rPr>
              <w:t>1：</w:t>
            </w:r>
            <w:r>
              <w:rPr>
                <w:rFonts w:hint="eastAsia" w:ascii="仿宋" w:hAnsi="仿宋" w:eastAsia="仿宋" w:cs="仿宋"/>
                <w:kern w:val="0"/>
                <w:sz w:val="32"/>
                <w:szCs w:val="32"/>
                <w:highlight w:val="none"/>
                <w:lang w:bidi="ar"/>
              </w:rPr>
              <w:t>项目要求第一单位为华北理工大学。</w:t>
            </w:r>
          </w:p>
          <w:p w14:paraId="5A12946E">
            <w:pPr>
              <w:widowControl/>
              <w:spacing w:line="560" w:lineRule="exact"/>
              <w:rPr>
                <w:rFonts w:ascii="仿宋" w:hAnsi="仿宋" w:eastAsia="仿宋" w:cs="仿宋"/>
                <w:kern w:val="0"/>
                <w:sz w:val="32"/>
                <w:szCs w:val="32"/>
                <w:lang w:bidi="ar"/>
              </w:rPr>
            </w:pPr>
            <w:r>
              <w:rPr>
                <w:rFonts w:hint="eastAsia" w:ascii="仿宋" w:hAnsi="仿宋" w:eastAsia="仿宋" w:cs="仿宋"/>
                <w:kern w:val="0"/>
                <w:sz w:val="32"/>
                <w:szCs w:val="32"/>
                <w:highlight w:val="none"/>
                <w:lang w:bidi="ar"/>
              </w:rPr>
              <w:t>注</w:t>
            </w:r>
            <w:r>
              <w:rPr>
                <w:rFonts w:hint="eastAsia" w:ascii="仿宋" w:hAnsi="仿宋" w:eastAsia="仿宋" w:cs="仿宋"/>
                <w:kern w:val="0"/>
                <w:sz w:val="32"/>
                <w:szCs w:val="32"/>
                <w:highlight w:val="none"/>
                <w:lang w:val="en-US" w:eastAsia="zh-CN" w:bidi="ar"/>
              </w:rPr>
              <w:t>2：</w:t>
            </w:r>
            <w:r>
              <w:rPr>
                <w:rFonts w:hint="eastAsia" w:ascii="仿宋" w:hAnsi="仿宋" w:eastAsia="仿宋" w:cs="仿宋"/>
                <w:kern w:val="0"/>
                <w:sz w:val="32"/>
                <w:szCs w:val="32"/>
                <w:lang w:bidi="ar"/>
              </w:rPr>
              <w:t>项目需经有关部门验收结题方可认定。</w:t>
            </w:r>
          </w:p>
        </w:tc>
      </w:tr>
    </w:tbl>
    <w:p w14:paraId="144D43CB">
      <w:pPr>
        <w:widowControl/>
        <w:spacing w:line="560" w:lineRule="exact"/>
        <w:jc w:val="center"/>
        <w:rPr>
          <w:rFonts w:hint="eastAsia" w:ascii="仿宋" w:hAnsi="仿宋" w:eastAsia="仿宋" w:cs="仿宋"/>
          <w:kern w:val="0"/>
          <w:sz w:val="32"/>
          <w:szCs w:val="32"/>
          <w:lang w:bidi="ar"/>
        </w:rPr>
      </w:pPr>
    </w:p>
    <w:p w14:paraId="798CA420">
      <w:pPr>
        <w:widowControl/>
        <w:spacing w:line="560" w:lineRule="exact"/>
        <w:jc w:val="center"/>
        <w:rPr>
          <w:rFonts w:ascii="仿宋" w:hAnsi="仿宋" w:eastAsia="仿宋" w:cs="仿宋"/>
          <w:kern w:val="0"/>
          <w:sz w:val="32"/>
          <w:szCs w:val="32"/>
          <w:lang w:bidi="ar"/>
        </w:rPr>
      </w:pPr>
      <w:r>
        <w:rPr>
          <w:rFonts w:hint="eastAsia" w:ascii="仿宋" w:hAnsi="仿宋" w:eastAsia="仿宋" w:cs="仿宋"/>
          <w:kern w:val="0"/>
          <w:sz w:val="32"/>
          <w:szCs w:val="32"/>
          <w:lang w:bidi="ar"/>
        </w:rPr>
        <w:t>表5  科研项目加分</w:t>
      </w:r>
      <w:r>
        <w:rPr>
          <w:rFonts w:hint="eastAsia" w:ascii="仿宋" w:hAnsi="仿宋" w:eastAsia="仿宋" w:cs="仿宋"/>
          <w:sz w:val="32"/>
          <w:szCs w:val="32"/>
        </w:rPr>
        <w:t>标准</w:t>
      </w:r>
    </w:p>
    <w:tbl>
      <w:tblPr>
        <w:tblStyle w:val="1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14"/>
        <w:gridCol w:w="696"/>
        <w:gridCol w:w="868"/>
        <w:gridCol w:w="868"/>
        <w:gridCol w:w="1175"/>
        <w:gridCol w:w="1489"/>
      </w:tblGrid>
      <w:tr w14:paraId="65D4D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6" w:hRule="atLeast"/>
          <w:jc w:val="center"/>
        </w:trPr>
        <w:tc>
          <w:tcPr>
            <w:tcW w:w="2268" w:type="pct"/>
            <w:vMerge w:val="restart"/>
            <w:tcBorders>
              <w:top w:val="single" w:color="auto" w:sz="4" w:space="0"/>
              <w:left w:val="single" w:color="auto" w:sz="4" w:space="0"/>
              <w:bottom w:val="single" w:color="auto" w:sz="4" w:space="0"/>
              <w:right w:val="single" w:color="auto" w:sz="4" w:space="0"/>
            </w:tcBorders>
            <w:vAlign w:val="center"/>
          </w:tcPr>
          <w:p w14:paraId="01D8D5C1">
            <w:pPr>
              <w:spacing w:line="560" w:lineRule="exact"/>
              <w:jc w:val="center"/>
              <w:rPr>
                <w:rFonts w:ascii="仿宋" w:hAnsi="仿宋" w:eastAsia="仿宋" w:cs="仿宋"/>
                <w:sz w:val="32"/>
                <w:szCs w:val="32"/>
              </w:rPr>
            </w:pPr>
            <w:r>
              <w:rPr>
                <w:rFonts w:hint="eastAsia" w:ascii="仿宋" w:hAnsi="仿宋" w:eastAsia="仿宋" w:cs="仿宋"/>
                <w:sz w:val="32"/>
                <w:szCs w:val="32"/>
              </w:rPr>
              <w:t>项目级别、排名、分值</w:t>
            </w:r>
          </w:p>
        </w:tc>
        <w:tc>
          <w:tcPr>
            <w:tcW w:w="2731" w:type="pct"/>
            <w:gridSpan w:val="5"/>
            <w:tcBorders>
              <w:top w:val="single" w:color="auto" w:sz="4" w:space="0"/>
              <w:left w:val="single" w:color="auto" w:sz="4" w:space="0"/>
              <w:bottom w:val="single" w:color="auto" w:sz="4" w:space="0"/>
              <w:right w:val="single" w:color="auto" w:sz="4" w:space="0"/>
            </w:tcBorders>
            <w:vAlign w:val="center"/>
          </w:tcPr>
          <w:p w14:paraId="0264AA64">
            <w:pPr>
              <w:spacing w:line="560" w:lineRule="exact"/>
              <w:jc w:val="center"/>
              <w:rPr>
                <w:rFonts w:ascii="仿宋" w:hAnsi="仿宋" w:eastAsia="仿宋" w:cs="仿宋"/>
                <w:sz w:val="32"/>
                <w:szCs w:val="32"/>
              </w:rPr>
            </w:pPr>
            <w:r>
              <w:rPr>
                <w:rFonts w:hint="eastAsia" w:ascii="仿宋" w:hAnsi="仿宋" w:eastAsia="仿宋" w:cs="仿宋"/>
                <w:sz w:val="32"/>
                <w:szCs w:val="32"/>
              </w:rPr>
              <w:t>项目组成员排名、分值</w:t>
            </w:r>
          </w:p>
        </w:tc>
      </w:tr>
      <w:tr w14:paraId="27261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6" w:hRule="atLeast"/>
          <w:jc w:val="center"/>
        </w:trPr>
        <w:tc>
          <w:tcPr>
            <w:tcW w:w="2268" w:type="pct"/>
            <w:vMerge w:val="continue"/>
            <w:tcBorders>
              <w:top w:val="single" w:color="auto" w:sz="4" w:space="0"/>
              <w:left w:val="single" w:color="auto" w:sz="4" w:space="0"/>
              <w:bottom w:val="single" w:color="auto" w:sz="4" w:space="0"/>
              <w:right w:val="single" w:color="auto" w:sz="4" w:space="0"/>
            </w:tcBorders>
            <w:vAlign w:val="center"/>
          </w:tcPr>
          <w:p w14:paraId="4D1A59FA">
            <w:pPr>
              <w:spacing w:line="560" w:lineRule="exact"/>
              <w:jc w:val="center"/>
              <w:rPr>
                <w:rFonts w:ascii="仿宋" w:hAnsi="仿宋" w:eastAsia="仿宋" w:cs="仿宋"/>
                <w:sz w:val="32"/>
                <w:szCs w:val="32"/>
              </w:rPr>
            </w:pPr>
          </w:p>
        </w:tc>
        <w:tc>
          <w:tcPr>
            <w:tcW w:w="350" w:type="pct"/>
            <w:tcBorders>
              <w:top w:val="single" w:color="auto" w:sz="4" w:space="0"/>
              <w:left w:val="single" w:color="auto" w:sz="4" w:space="0"/>
              <w:bottom w:val="single" w:color="auto" w:sz="4" w:space="0"/>
              <w:right w:val="single" w:color="auto" w:sz="4" w:space="0"/>
            </w:tcBorders>
            <w:vAlign w:val="center"/>
          </w:tcPr>
          <w:p w14:paraId="4863C880">
            <w:pPr>
              <w:spacing w:line="560" w:lineRule="exact"/>
              <w:jc w:val="center"/>
              <w:rPr>
                <w:rFonts w:ascii="仿宋" w:hAnsi="仿宋" w:eastAsia="仿宋" w:cs="仿宋"/>
                <w:sz w:val="32"/>
                <w:szCs w:val="32"/>
              </w:rPr>
            </w:pPr>
            <w:r>
              <w:rPr>
                <w:rFonts w:hint="eastAsia" w:ascii="仿宋" w:hAnsi="仿宋" w:eastAsia="仿宋" w:cs="仿宋"/>
                <w:sz w:val="32"/>
                <w:szCs w:val="32"/>
              </w:rPr>
              <w:t>一</w:t>
            </w:r>
          </w:p>
        </w:tc>
        <w:tc>
          <w:tcPr>
            <w:tcW w:w="471" w:type="pct"/>
            <w:tcBorders>
              <w:top w:val="single" w:color="auto" w:sz="4" w:space="0"/>
              <w:left w:val="single" w:color="auto" w:sz="4" w:space="0"/>
              <w:bottom w:val="single" w:color="auto" w:sz="4" w:space="0"/>
              <w:right w:val="single" w:color="auto" w:sz="4" w:space="0"/>
            </w:tcBorders>
            <w:vAlign w:val="center"/>
          </w:tcPr>
          <w:p w14:paraId="35437B17">
            <w:pPr>
              <w:spacing w:line="560" w:lineRule="exact"/>
              <w:jc w:val="center"/>
              <w:rPr>
                <w:rFonts w:ascii="仿宋" w:hAnsi="仿宋" w:eastAsia="仿宋" w:cs="仿宋"/>
                <w:sz w:val="32"/>
                <w:szCs w:val="32"/>
              </w:rPr>
            </w:pPr>
            <w:r>
              <w:rPr>
                <w:rFonts w:hint="eastAsia" w:ascii="仿宋" w:hAnsi="仿宋" w:eastAsia="仿宋" w:cs="仿宋"/>
                <w:sz w:val="32"/>
                <w:szCs w:val="32"/>
              </w:rPr>
              <w:t>二</w:t>
            </w:r>
          </w:p>
        </w:tc>
        <w:tc>
          <w:tcPr>
            <w:tcW w:w="471" w:type="pct"/>
            <w:tcBorders>
              <w:top w:val="single" w:color="auto" w:sz="4" w:space="0"/>
              <w:left w:val="single" w:color="auto" w:sz="4" w:space="0"/>
              <w:bottom w:val="single" w:color="auto" w:sz="4" w:space="0"/>
              <w:right w:val="single" w:color="auto" w:sz="4" w:space="0"/>
            </w:tcBorders>
            <w:vAlign w:val="center"/>
          </w:tcPr>
          <w:p w14:paraId="0FDE74A0">
            <w:pPr>
              <w:spacing w:line="560" w:lineRule="exact"/>
              <w:jc w:val="center"/>
              <w:rPr>
                <w:rFonts w:ascii="仿宋" w:hAnsi="仿宋" w:eastAsia="仿宋" w:cs="仿宋"/>
                <w:sz w:val="32"/>
                <w:szCs w:val="32"/>
              </w:rPr>
            </w:pPr>
            <w:r>
              <w:rPr>
                <w:rFonts w:hint="eastAsia" w:ascii="仿宋" w:hAnsi="仿宋" w:eastAsia="仿宋" w:cs="仿宋"/>
                <w:sz w:val="32"/>
                <w:szCs w:val="32"/>
              </w:rPr>
              <w:t>三</w:t>
            </w:r>
          </w:p>
        </w:tc>
        <w:tc>
          <w:tcPr>
            <w:tcW w:w="636" w:type="pct"/>
            <w:tcBorders>
              <w:top w:val="single" w:color="auto" w:sz="4" w:space="0"/>
              <w:left w:val="single" w:color="auto" w:sz="4" w:space="0"/>
              <w:bottom w:val="single" w:color="auto" w:sz="4" w:space="0"/>
              <w:right w:val="single" w:color="auto" w:sz="4" w:space="0"/>
            </w:tcBorders>
            <w:vAlign w:val="center"/>
          </w:tcPr>
          <w:p w14:paraId="3CB92D15">
            <w:pPr>
              <w:spacing w:line="560" w:lineRule="exact"/>
              <w:jc w:val="center"/>
              <w:rPr>
                <w:rFonts w:ascii="仿宋" w:hAnsi="仿宋" w:eastAsia="仿宋" w:cs="仿宋"/>
                <w:sz w:val="32"/>
                <w:szCs w:val="32"/>
              </w:rPr>
            </w:pPr>
            <w:r>
              <w:rPr>
                <w:rFonts w:hint="eastAsia" w:ascii="仿宋" w:hAnsi="仿宋" w:eastAsia="仿宋" w:cs="仿宋"/>
                <w:sz w:val="32"/>
                <w:szCs w:val="32"/>
              </w:rPr>
              <w:t>四、五</w:t>
            </w:r>
          </w:p>
        </w:tc>
        <w:tc>
          <w:tcPr>
            <w:tcW w:w="802" w:type="pct"/>
            <w:tcBorders>
              <w:top w:val="single" w:color="auto" w:sz="4" w:space="0"/>
              <w:left w:val="single" w:color="auto" w:sz="4" w:space="0"/>
              <w:bottom w:val="single" w:color="auto" w:sz="4" w:space="0"/>
              <w:right w:val="single" w:color="auto" w:sz="4" w:space="0"/>
            </w:tcBorders>
            <w:vAlign w:val="center"/>
          </w:tcPr>
          <w:p w14:paraId="66A2883C">
            <w:pPr>
              <w:spacing w:line="560" w:lineRule="exact"/>
              <w:jc w:val="center"/>
              <w:rPr>
                <w:rFonts w:ascii="仿宋" w:hAnsi="仿宋" w:eastAsia="仿宋" w:cs="仿宋"/>
                <w:sz w:val="32"/>
                <w:szCs w:val="32"/>
              </w:rPr>
            </w:pPr>
            <w:r>
              <w:rPr>
                <w:rFonts w:hint="eastAsia" w:ascii="仿宋" w:hAnsi="仿宋" w:eastAsia="仿宋" w:cs="仿宋"/>
                <w:sz w:val="32"/>
                <w:szCs w:val="32"/>
              </w:rPr>
              <w:t>六及以后</w:t>
            </w:r>
          </w:p>
        </w:tc>
      </w:tr>
      <w:tr w14:paraId="7E982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6" w:hRule="atLeast"/>
          <w:jc w:val="center"/>
        </w:trPr>
        <w:tc>
          <w:tcPr>
            <w:tcW w:w="2268" w:type="pct"/>
            <w:vMerge w:val="continue"/>
            <w:tcBorders>
              <w:top w:val="single" w:color="auto" w:sz="4" w:space="0"/>
              <w:left w:val="single" w:color="auto" w:sz="4" w:space="0"/>
              <w:bottom w:val="single" w:color="auto" w:sz="4" w:space="0"/>
              <w:right w:val="single" w:color="auto" w:sz="4" w:space="0"/>
            </w:tcBorders>
            <w:vAlign w:val="center"/>
          </w:tcPr>
          <w:p w14:paraId="3509DBE9">
            <w:pPr>
              <w:spacing w:line="560" w:lineRule="exact"/>
              <w:jc w:val="center"/>
              <w:rPr>
                <w:rFonts w:ascii="仿宋" w:hAnsi="仿宋" w:eastAsia="仿宋" w:cs="仿宋"/>
                <w:sz w:val="32"/>
                <w:szCs w:val="32"/>
              </w:rPr>
            </w:pPr>
          </w:p>
        </w:tc>
        <w:tc>
          <w:tcPr>
            <w:tcW w:w="350" w:type="pct"/>
            <w:tcBorders>
              <w:top w:val="single" w:color="auto" w:sz="4" w:space="0"/>
              <w:left w:val="single" w:color="auto" w:sz="4" w:space="0"/>
              <w:bottom w:val="single" w:color="auto" w:sz="4" w:space="0"/>
              <w:right w:val="single" w:color="auto" w:sz="4" w:space="0"/>
            </w:tcBorders>
            <w:tcMar>
              <w:top w:w="0" w:type="dxa"/>
              <w:left w:w="0" w:type="dxa"/>
              <w:bottom w:w="0" w:type="dxa"/>
              <w:right w:w="0" w:type="dxa"/>
            </w:tcMar>
            <w:vAlign w:val="center"/>
          </w:tcPr>
          <w:p w14:paraId="545976BF">
            <w:pPr>
              <w:spacing w:line="560" w:lineRule="exact"/>
              <w:jc w:val="center"/>
              <w:rPr>
                <w:rFonts w:ascii="仿宋" w:hAnsi="仿宋" w:eastAsia="仿宋" w:cs="仿宋"/>
                <w:sz w:val="32"/>
                <w:szCs w:val="32"/>
              </w:rPr>
            </w:pPr>
            <w:r>
              <w:rPr>
                <w:rFonts w:hint="eastAsia" w:ascii="仿宋" w:hAnsi="仿宋" w:eastAsia="仿宋" w:cs="仿宋"/>
                <w:sz w:val="32"/>
                <w:szCs w:val="32"/>
              </w:rPr>
              <w:t>分值</w:t>
            </w:r>
          </w:p>
        </w:tc>
        <w:tc>
          <w:tcPr>
            <w:tcW w:w="471" w:type="pct"/>
            <w:tcBorders>
              <w:top w:val="single" w:color="auto" w:sz="4" w:space="0"/>
              <w:left w:val="single" w:color="auto" w:sz="4" w:space="0"/>
              <w:bottom w:val="single" w:color="auto" w:sz="4" w:space="0"/>
              <w:right w:val="single" w:color="auto" w:sz="4" w:space="0"/>
            </w:tcBorders>
            <w:vAlign w:val="center"/>
          </w:tcPr>
          <w:p w14:paraId="36463B57">
            <w:pPr>
              <w:spacing w:line="560" w:lineRule="exact"/>
              <w:jc w:val="center"/>
              <w:rPr>
                <w:rFonts w:ascii="仿宋" w:hAnsi="仿宋" w:eastAsia="仿宋" w:cs="仿宋"/>
                <w:sz w:val="32"/>
                <w:szCs w:val="32"/>
              </w:rPr>
            </w:pPr>
            <w:r>
              <w:rPr>
                <w:rFonts w:hint="eastAsia" w:ascii="仿宋" w:hAnsi="仿宋" w:eastAsia="仿宋" w:cs="仿宋"/>
                <w:sz w:val="32"/>
                <w:szCs w:val="32"/>
              </w:rPr>
              <w:t>分值</w:t>
            </w:r>
          </w:p>
        </w:tc>
        <w:tc>
          <w:tcPr>
            <w:tcW w:w="471" w:type="pct"/>
            <w:tcBorders>
              <w:top w:val="single" w:color="auto" w:sz="4" w:space="0"/>
              <w:left w:val="single" w:color="auto" w:sz="4" w:space="0"/>
              <w:bottom w:val="single" w:color="auto" w:sz="4" w:space="0"/>
              <w:right w:val="single" w:color="auto" w:sz="4" w:space="0"/>
            </w:tcBorders>
            <w:vAlign w:val="center"/>
          </w:tcPr>
          <w:p w14:paraId="37F62521">
            <w:pPr>
              <w:spacing w:line="560" w:lineRule="exact"/>
              <w:jc w:val="center"/>
              <w:rPr>
                <w:rFonts w:ascii="仿宋" w:hAnsi="仿宋" w:eastAsia="仿宋" w:cs="仿宋"/>
                <w:sz w:val="32"/>
                <w:szCs w:val="32"/>
              </w:rPr>
            </w:pPr>
            <w:r>
              <w:rPr>
                <w:rFonts w:hint="eastAsia" w:ascii="仿宋" w:hAnsi="仿宋" w:eastAsia="仿宋" w:cs="仿宋"/>
                <w:sz w:val="32"/>
                <w:szCs w:val="32"/>
              </w:rPr>
              <w:t>分值</w:t>
            </w:r>
          </w:p>
        </w:tc>
        <w:tc>
          <w:tcPr>
            <w:tcW w:w="636" w:type="pct"/>
            <w:tcBorders>
              <w:top w:val="single" w:color="auto" w:sz="4" w:space="0"/>
              <w:left w:val="single" w:color="auto" w:sz="4" w:space="0"/>
              <w:bottom w:val="single" w:color="auto" w:sz="4" w:space="0"/>
              <w:right w:val="single" w:color="auto" w:sz="4" w:space="0"/>
            </w:tcBorders>
            <w:vAlign w:val="center"/>
          </w:tcPr>
          <w:p w14:paraId="7CF4EC58">
            <w:pPr>
              <w:spacing w:line="560" w:lineRule="exact"/>
              <w:jc w:val="center"/>
              <w:rPr>
                <w:rFonts w:ascii="仿宋" w:hAnsi="仿宋" w:eastAsia="仿宋" w:cs="仿宋"/>
                <w:sz w:val="32"/>
                <w:szCs w:val="32"/>
              </w:rPr>
            </w:pPr>
            <w:r>
              <w:rPr>
                <w:rFonts w:hint="eastAsia" w:ascii="仿宋" w:hAnsi="仿宋" w:eastAsia="仿宋" w:cs="仿宋"/>
                <w:sz w:val="32"/>
                <w:szCs w:val="32"/>
              </w:rPr>
              <w:t>分值</w:t>
            </w:r>
          </w:p>
        </w:tc>
        <w:tc>
          <w:tcPr>
            <w:tcW w:w="802" w:type="pct"/>
            <w:tcBorders>
              <w:top w:val="single" w:color="auto" w:sz="4" w:space="0"/>
              <w:left w:val="single" w:color="auto" w:sz="4" w:space="0"/>
              <w:bottom w:val="single" w:color="auto" w:sz="4" w:space="0"/>
              <w:right w:val="single" w:color="auto" w:sz="4" w:space="0"/>
            </w:tcBorders>
            <w:vAlign w:val="center"/>
          </w:tcPr>
          <w:p w14:paraId="3D0AE057">
            <w:pPr>
              <w:spacing w:line="560" w:lineRule="exact"/>
              <w:jc w:val="center"/>
              <w:rPr>
                <w:rFonts w:ascii="仿宋" w:hAnsi="仿宋" w:eastAsia="仿宋" w:cs="仿宋"/>
                <w:sz w:val="32"/>
                <w:szCs w:val="32"/>
              </w:rPr>
            </w:pPr>
            <w:r>
              <w:rPr>
                <w:rFonts w:hint="eastAsia" w:ascii="仿宋" w:hAnsi="仿宋" w:eastAsia="仿宋" w:cs="仿宋"/>
                <w:sz w:val="32"/>
                <w:szCs w:val="32"/>
              </w:rPr>
              <w:t>分值</w:t>
            </w:r>
          </w:p>
        </w:tc>
      </w:tr>
      <w:tr w14:paraId="3333F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6" w:hRule="atLeast"/>
          <w:jc w:val="center"/>
        </w:trPr>
        <w:tc>
          <w:tcPr>
            <w:tcW w:w="2268" w:type="pct"/>
            <w:tcBorders>
              <w:top w:val="single" w:color="auto" w:sz="4" w:space="0"/>
              <w:left w:val="single" w:color="auto" w:sz="4" w:space="0"/>
              <w:bottom w:val="single" w:color="auto" w:sz="4" w:space="0"/>
              <w:right w:val="single" w:color="auto" w:sz="4" w:space="0"/>
            </w:tcBorders>
            <w:vAlign w:val="center"/>
          </w:tcPr>
          <w:p w14:paraId="080CD79E">
            <w:pPr>
              <w:spacing w:line="560" w:lineRule="exact"/>
              <w:jc w:val="center"/>
              <w:rPr>
                <w:rFonts w:ascii="仿宋" w:hAnsi="仿宋" w:eastAsia="仿宋" w:cs="仿宋"/>
                <w:sz w:val="32"/>
                <w:szCs w:val="32"/>
              </w:rPr>
            </w:pPr>
            <w:r>
              <w:rPr>
                <w:rFonts w:hint="eastAsia" w:ascii="仿宋" w:hAnsi="仿宋" w:eastAsia="仿宋" w:cs="仿宋"/>
                <w:sz w:val="32"/>
                <w:szCs w:val="32"/>
              </w:rPr>
              <w:t>国家级</w:t>
            </w:r>
          </w:p>
        </w:tc>
        <w:tc>
          <w:tcPr>
            <w:tcW w:w="350" w:type="pct"/>
            <w:tcBorders>
              <w:top w:val="single" w:color="auto" w:sz="4" w:space="0"/>
              <w:left w:val="single" w:color="auto" w:sz="4" w:space="0"/>
              <w:bottom w:val="single" w:color="auto" w:sz="4" w:space="0"/>
              <w:right w:val="single" w:color="auto" w:sz="4" w:space="0"/>
            </w:tcBorders>
            <w:vAlign w:val="center"/>
          </w:tcPr>
          <w:p w14:paraId="4F40680F">
            <w:pPr>
              <w:spacing w:line="560" w:lineRule="exact"/>
              <w:jc w:val="center"/>
              <w:rPr>
                <w:rFonts w:ascii="仿宋" w:hAnsi="仿宋" w:eastAsia="仿宋" w:cs="仿宋"/>
                <w:sz w:val="32"/>
                <w:szCs w:val="32"/>
              </w:rPr>
            </w:pPr>
            <w:r>
              <w:rPr>
                <w:rFonts w:hint="eastAsia" w:ascii="仿宋" w:hAnsi="仿宋" w:eastAsia="仿宋" w:cs="仿宋"/>
                <w:sz w:val="32"/>
                <w:szCs w:val="32"/>
              </w:rPr>
              <w:t>1.0</w:t>
            </w:r>
          </w:p>
        </w:tc>
        <w:tc>
          <w:tcPr>
            <w:tcW w:w="471" w:type="pct"/>
            <w:tcBorders>
              <w:top w:val="single" w:color="auto" w:sz="4" w:space="0"/>
              <w:left w:val="single" w:color="auto" w:sz="4" w:space="0"/>
              <w:bottom w:val="single" w:color="auto" w:sz="4" w:space="0"/>
              <w:right w:val="single" w:color="auto" w:sz="4" w:space="0"/>
            </w:tcBorders>
            <w:vAlign w:val="center"/>
          </w:tcPr>
          <w:p w14:paraId="138C7F88">
            <w:pPr>
              <w:spacing w:line="560" w:lineRule="exact"/>
              <w:jc w:val="center"/>
              <w:rPr>
                <w:rFonts w:ascii="仿宋" w:hAnsi="仿宋" w:eastAsia="仿宋" w:cs="仿宋"/>
                <w:sz w:val="32"/>
                <w:szCs w:val="32"/>
              </w:rPr>
            </w:pPr>
            <w:r>
              <w:rPr>
                <w:rFonts w:hint="eastAsia" w:ascii="仿宋" w:hAnsi="仿宋" w:eastAsia="仿宋" w:cs="仿宋"/>
                <w:sz w:val="32"/>
                <w:szCs w:val="32"/>
              </w:rPr>
              <w:t>0.8</w:t>
            </w:r>
          </w:p>
        </w:tc>
        <w:tc>
          <w:tcPr>
            <w:tcW w:w="471" w:type="pct"/>
            <w:tcBorders>
              <w:top w:val="single" w:color="auto" w:sz="4" w:space="0"/>
              <w:left w:val="single" w:color="auto" w:sz="4" w:space="0"/>
              <w:bottom w:val="single" w:color="auto" w:sz="4" w:space="0"/>
              <w:right w:val="single" w:color="auto" w:sz="4" w:space="0"/>
            </w:tcBorders>
            <w:vAlign w:val="center"/>
          </w:tcPr>
          <w:p w14:paraId="7AC844EF">
            <w:pPr>
              <w:spacing w:line="560" w:lineRule="exact"/>
              <w:jc w:val="center"/>
              <w:rPr>
                <w:rFonts w:ascii="仿宋" w:hAnsi="仿宋" w:eastAsia="仿宋" w:cs="仿宋"/>
                <w:sz w:val="32"/>
                <w:szCs w:val="32"/>
              </w:rPr>
            </w:pPr>
            <w:r>
              <w:rPr>
                <w:rFonts w:hint="eastAsia" w:ascii="仿宋" w:hAnsi="仿宋" w:eastAsia="仿宋" w:cs="仿宋"/>
                <w:sz w:val="32"/>
                <w:szCs w:val="32"/>
              </w:rPr>
              <w:t>0.6</w:t>
            </w:r>
          </w:p>
        </w:tc>
        <w:tc>
          <w:tcPr>
            <w:tcW w:w="636" w:type="pct"/>
            <w:tcBorders>
              <w:top w:val="single" w:color="auto" w:sz="4" w:space="0"/>
              <w:left w:val="single" w:color="auto" w:sz="4" w:space="0"/>
              <w:bottom w:val="single" w:color="auto" w:sz="4" w:space="0"/>
              <w:right w:val="single" w:color="auto" w:sz="4" w:space="0"/>
            </w:tcBorders>
            <w:vAlign w:val="center"/>
          </w:tcPr>
          <w:p w14:paraId="46BEBBEA">
            <w:pPr>
              <w:spacing w:line="560" w:lineRule="exact"/>
              <w:jc w:val="center"/>
              <w:rPr>
                <w:rFonts w:ascii="仿宋" w:hAnsi="仿宋" w:eastAsia="仿宋" w:cs="仿宋"/>
                <w:sz w:val="32"/>
                <w:szCs w:val="32"/>
              </w:rPr>
            </w:pPr>
            <w:r>
              <w:rPr>
                <w:rFonts w:hint="eastAsia" w:ascii="仿宋" w:hAnsi="仿宋" w:eastAsia="仿宋" w:cs="仿宋"/>
                <w:sz w:val="32"/>
                <w:szCs w:val="32"/>
              </w:rPr>
              <w:t>0.4</w:t>
            </w:r>
          </w:p>
        </w:tc>
        <w:tc>
          <w:tcPr>
            <w:tcW w:w="802" w:type="pct"/>
            <w:tcBorders>
              <w:top w:val="single" w:color="auto" w:sz="4" w:space="0"/>
              <w:left w:val="single" w:color="auto" w:sz="4" w:space="0"/>
              <w:bottom w:val="single" w:color="auto" w:sz="4" w:space="0"/>
              <w:right w:val="single" w:color="auto" w:sz="4" w:space="0"/>
            </w:tcBorders>
            <w:vAlign w:val="center"/>
          </w:tcPr>
          <w:p w14:paraId="7DBFF63E">
            <w:pPr>
              <w:spacing w:line="560" w:lineRule="exact"/>
              <w:jc w:val="center"/>
              <w:rPr>
                <w:rFonts w:ascii="仿宋" w:hAnsi="仿宋" w:eastAsia="仿宋" w:cs="仿宋"/>
                <w:sz w:val="32"/>
                <w:szCs w:val="32"/>
              </w:rPr>
            </w:pPr>
            <w:r>
              <w:rPr>
                <w:rFonts w:hint="eastAsia" w:ascii="仿宋" w:hAnsi="仿宋" w:eastAsia="仿宋" w:cs="仿宋"/>
                <w:sz w:val="32"/>
                <w:szCs w:val="32"/>
              </w:rPr>
              <w:t>0.2</w:t>
            </w:r>
          </w:p>
        </w:tc>
      </w:tr>
      <w:tr w14:paraId="581AE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6" w:hRule="atLeast"/>
          <w:jc w:val="center"/>
        </w:trPr>
        <w:tc>
          <w:tcPr>
            <w:tcW w:w="2268" w:type="pct"/>
            <w:tcBorders>
              <w:top w:val="single" w:color="auto" w:sz="4" w:space="0"/>
              <w:left w:val="single" w:color="auto" w:sz="4" w:space="0"/>
              <w:right w:val="single" w:color="auto" w:sz="4" w:space="0"/>
            </w:tcBorders>
            <w:vAlign w:val="center"/>
          </w:tcPr>
          <w:p w14:paraId="22074226">
            <w:pPr>
              <w:spacing w:line="560" w:lineRule="exact"/>
              <w:jc w:val="center"/>
              <w:rPr>
                <w:rFonts w:ascii="仿宋" w:hAnsi="仿宋" w:eastAsia="仿宋" w:cs="仿宋"/>
                <w:sz w:val="32"/>
                <w:szCs w:val="32"/>
              </w:rPr>
            </w:pPr>
            <w:r>
              <w:rPr>
                <w:rFonts w:hint="eastAsia" w:ascii="仿宋" w:hAnsi="仿宋" w:eastAsia="仿宋" w:cs="仿宋"/>
                <w:sz w:val="32"/>
                <w:szCs w:val="32"/>
              </w:rPr>
              <w:t>省部级</w:t>
            </w:r>
          </w:p>
        </w:tc>
        <w:tc>
          <w:tcPr>
            <w:tcW w:w="350" w:type="pct"/>
            <w:tcBorders>
              <w:top w:val="single" w:color="auto" w:sz="4" w:space="0"/>
              <w:left w:val="single" w:color="auto" w:sz="4" w:space="0"/>
              <w:bottom w:val="single" w:color="auto" w:sz="4" w:space="0"/>
              <w:right w:val="single" w:color="auto" w:sz="4" w:space="0"/>
            </w:tcBorders>
            <w:vAlign w:val="center"/>
          </w:tcPr>
          <w:p w14:paraId="789DA06B">
            <w:pPr>
              <w:spacing w:line="560" w:lineRule="exact"/>
              <w:jc w:val="center"/>
              <w:rPr>
                <w:rFonts w:ascii="仿宋" w:hAnsi="仿宋" w:eastAsia="仿宋" w:cs="仿宋"/>
                <w:sz w:val="32"/>
                <w:szCs w:val="32"/>
              </w:rPr>
            </w:pPr>
            <w:r>
              <w:rPr>
                <w:rFonts w:hint="eastAsia" w:ascii="仿宋" w:hAnsi="仿宋" w:eastAsia="仿宋" w:cs="仿宋"/>
                <w:sz w:val="32"/>
                <w:szCs w:val="32"/>
              </w:rPr>
              <w:t>0.8</w:t>
            </w:r>
          </w:p>
        </w:tc>
        <w:tc>
          <w:tcPr>
            <w:tcW w:w="471" w:type="pct"/>
            <w:tcBorders>
              <w:top w:val="single" w:color="auto" w:sz="4" w:space="0"/>
              <w:left w:val="single" w:color="auto" w:sz="4" w:space="0"/>
              <w:bottom w:val="single" w:color="auto" w:sz="4" w:space="0"/>
              <w:right w:val="single" w:color="auto" w:sz="4" w:space="0"/>
            </w:tcBorders>
            <w:vAlign w:val="center"/>
          </w:tcPr>
          <w:p w14:paraId="5878A392">
            <w:pPr>
              <w:spacing w:line="560" w:lineRule="exact"/>
              <w:jc w:val="center"/>
              <w:rPr>
                <w:rFonts w:ascii="仿宋" w:hAnsi="仿宋" w:eastAsia="仿宋" w:cs="仿宋"/>
                <w:sz w:val="32"/>
                <w:szCs w:val="32"/>
              </w:rPr>
            </w:pPr>
            <w:r>
              <w:rPr>
                <w:rFonts w:hint="eastAsia" w:ascii="仿宋" w:hAnsi="仿宋" w:eastAsia="仿宋" w:cs="仿宋"/>
                <w:sz w:val="32"/>
                <w:szCs w:val="32"/>
              </w:rPr>
              <w:t>0.6</w:t>
            </w:r>
          </w:p>
        </w:tc>
        <w:tc>
          <w:tcPr>
            <w:tcW w:w="471" w:type="pct"/>
            <w:tcBorders>
              <w:top w:val="single" w:color="auto" w:sz="4" w:space="0"/>
              <w:left w:val="single" w:color="auto" w:sz="4" w:space="0"/>
              <w:bottom w:val="single" w:color="auto" w:sz="4" w:space="0"/>
              <w:right w:val="single" w:color="auto" w:sz="4" w:space="0"/>
            </w:tcBorders>
            <w:vAlign w:val="center"/>
          </w:tcPr>
          <w:p w14:paraId="65791EBF">
            <w:pPr>
              <w:spacing w:line="560" w:lineRule="exact"/>
              <w:jc w:val="center"/>
              <w:rPr>
                <w:rFonts w:ascii="仿宋" w:hAnsi="仿宋" w:eastAsia="仿宋" w:cs="仿宋"/>
                <w:sz w:val="32"/>
                <w:szCs w:val="32"/>
              </w:rPr>
            </w:pPr>
            <w:r>
              <w:rPr>
                <w:rFonts w:hint="eastAsia" w:ascii="仿宋" w:hAnsi="仿宋" w:eastAsia="仿宋" w:cs="仿宋"/>
                <w:sz w:val="32"/>
                <w:szCs w:val="32"/>
              </w:rPr>
              <w:t>0.4</w:t>
            </w:r>
          </w:p>
        </w:tc>
        <w:tc>
          <w:tcPr>
            <w:tcW w:w="636" w:type="pct"/>
            <w:tcBorders>
              <w:top w:val="single" w:color="auto" w:sz="4" w:space="0"/>
              <w:left w:val="single" w:color="auto" w:sz="4" w:space="0"/>
              <w:bottom w:val="single" w:color="auto" w:sz="4" w:space="0"/>
              <w:right w:val="single" w:color="auto" w:sz="4" w:space="0"/>
            </w:tcBorders>
            <w:vAlign w:val="center"/>
          </w:tcPr>
          <w:p w14:paraId="059786F1">
            <w:pPr>
              <w:spacing w:line="560" w:lineRule="exact"/>
              <w:jc w:val="center"/>
              <w:rPr>
                <w:rFonts w:ascii="仿宋" w:hAnsi="仿宋" w:eastAsia="仿宋" w:cs="仿宋"/>
                <w:sz w:val="32"/>
                <w:szCs w:val="32"/>
              </w:rPr>
            </w:pPr>
            <w:r>
              <w:rPr>
                <w:rFonts w:hint="eastAsia" w:ascii="仿宋" w:hAnsi="仿宋" w:eastAsia="仿宋" w:cs="仿宋"/>
                <w:sz w:val="32"/>
                <w:szCs w:val="32"/>
              </w:rPr>
              <w:t>0.2</w:t>
            </w:r>
          </w:p>
        </w:tc>
        <w:tc>
          <w:tcPr>
            <w:tcW w:w="802" w:type="pct"/>
            <w:tcBorders>
              <w:top w:val="single" w:color="auto" w:sz="4" w:space="0"/>
              <w:left w:val="single" w:color="auto" w:sz="4" w:space="0"/>
              <w:bottom w:val="single" w:color="auto" w:sz="4" w:space="0"/>
              <w:right w:val="single" w:color="auto" w:sz="4" w:space="0"/>
            </w:tcBorders>
            <w:vAlign w:val="center"/>
          </w:tcPr>
          <w:p w14:paraId="1D4A9C4B">
            <w:pPr>
              <w:spacing w:line="560" w:lineRule="exact"/>
              <w:jc w:val="center"/>
              <w:rPr>
                <w:rFonts w:ascii="仿宋" w:hAnsi="仿宋" w:eastAsia="仿宋" w:cs="仿宋"/>
                <w:sz w:val="32"/>
                <w:szCs w:val="32"/>
              </w:rPr>
            </w:pPr>
            <w:r>
              <w:rPr>
                <w:rFonts w:hint="eastAsia" w:ascii="仿宋" w:hAnsi="仿宋" w:eastAsia="仿宋" w:cs="仿宋"/>
                <w:sz w:val="32"/>
                <w:szCs w:val="32"/>
              </w:rPr>
              <w:t>0.1</w:t>
            </w:r>
          </w:p>
        </w:tc>
      </w:tr>
      <w:tr w14:paraId="12687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6" w:hRule="atLeast"/>
          <w:jc w:val="center"/>
        </w:trPr>
        <w:tc>
          <w:tcPr>
            <w:tcW w:w="2268" w:type="pct"/>
            <w:tcBorders>
              <w:top w:val="single" w:color="auto" w:sz="4" w:space="0"/>
              <w:left w:val="single" w:color="auto" w:sz="4" w:space="0"/>
              <w:bottom w:val="single" w:color="auto" w:sz="4" w:space="0"/>
              <w:right w:val="single" w:color="auto" w:sz="4" w:space="0"/>
            </w:tcBorders>
            <w:vAlign w:val="center"/>
          </w:tcPr>
          <w:p w14:paraId="13A26976">
            <w:pPr>
              <w:spacing w:line="560" w:lineRule="exact"/>
              <w:jc w:val="center"/>
              <w:rPr>
                <w:rFonts w:ascii="仿宋" w:hAnsi="仿宋" w:eastAsia="仿宋" w:cs="仿宋"/>
                <w:sz w:val="32"/>
                <w:szCs w:val="32"/>
              </w:rPr>
            </w:pPr>
            <w:r>
              <w:rPr>
                <w:rFonts w:hint="eastAsia" w:ascii="仿宋" w:hAnsi="仿宋" w:eastAsia="仿宋" w:cs="仿宋"/>
                <w:sz w:val="32"/>
                <w:szCs w:val="32"/>
              </w:rPr>
              <w:t>市厅级</w:t>
            </w:r>
          </w:p>
        </w:tc>
        <w:tc>
          <w:tcPr>
            <w:tcW w:w="350" w:type="pct"/>
            <w:tcBorders>
              <w:top w:val="single" w:color="auto" w:sz="4" w:space="0"/>
              <w:left w:val="single" w:color="auto" w:sz="4" w:space="0"/>
              <w:bottom w:val="single" w:color="auto" w:sz="4" w:space="0"/>
              <w:right w:val="single" w:color="auto" w:sz="4" w:space="0"/>
            </w:tcBorders>
            <w:vAlign w:val="center"/>
          </w:tcPr>
          <w:p w14:paraId="204FD5A5">
            <w:pPr>
              <w:spacing w:line="560" w:lineRule="exact"/>
              <w:jc w:val="center"/>
              <w:rPr>
                <w:rFonts w:ascii="仿宋" w:hAnsi="仿宋" w:eastAsia="仿宋" w:cs="仿宋"/>
                <w:sz w:val="32"/>
                <w:szCs w:val="32"/>
              </w:rPr>
            </w:pPr>
            <w:r>
              <w:rPr>
                <w:rFonts w:hint="eastAsia" w:ascii="仿宋" w:hAnsi="仿宋" w:eastAsia="仿宋" w:cs="仿宋"/>
                <w:sz w:val="32"/>
                <w:szCs w:val="32"/>
              </w:rPr>
              <w:t>0.5</w:t>
            </w:r>
          </w:p>
        </w:tc>
        <w:tc>
          <w:tcPr>
            <w:tcW w:w="471" w:type="pct"/>
            <w:tcBorders>
              <w:top w:val="single" w:color="auto" w:sz="4" w:space="0"/>
              <w:left w:val="single" w:color="auto" w:sz="4" w:space="0"/>
              <w:bottom w:val="single" w:color="auto" w:sz="4" w:space="0"/>
              <w:right w:val="single" w:color="auto" w:sz="4" w:space="0"/>
            </w:tcBorders>
            <w:vAlign w:val="center"/>
          </w:tcPr>
          <w:p w14:paraId="77078C5D">
            <w:pPr>
              <w:spacing w:line="560" w:lineRule="exact"/>
              <w:jc w:val="center"/>
              <w:rPr>
                <w:rFonts w:ascii="仿宋" w:hAnsi="仿宋" w:eastAsia="仿宋" w:cs="仿宋"/>
                <w:sz w:val="32"/>
                <w:szCs w:val="32"/>
              </w:rPr>
            </w:pPr>
            <w:r>
              <w:rPr>
                <w:rFonts w:hint="eastAsia" w:ascii="仿宋" w:hAnsi="仿宋" w:eastAsia="仿宋" w:cs="仿宋"/>
                <w:sz w:val="32"/>
                <w:szCs w:val="32"/>
              </w:rPr>
              <w:t>0.4</w:t>
            </w:r>
          </w:p>
        </w:tc>
        <w:tc>
          <w:tcPr>
            <w:tcW w:w="471" w:type="pct"/>
            <w:tcBorders>
              <w:top w:val="single" w:color="auto" w:sz="4" w:space="0"/>
              <w:left w:val="single" w:color="auto" w:sz="4" w:space="0"/>
              <w:bottom w:val="single" w:color="auto" w:sz="4" w:space="0"/>
              <w:right w:val="single" w:color="auto" w:sz="4" w:space="0"/>
            </w:tcBorders>
            <w:vAlign w:val="center"/>
          </w:tcPr>
          <w:p w14:paraId="3012FE1F">
            <w:pPr>
              <w:spacing w:line="560" w:lineRule="exact"/>
              <w:jc w:val="center"/>
              <w:rPr>
                <w:rFonts w:ascii="仿宋" w:hAnsi="仿宋" w:eastAsia="仿宋" w:cs="仿宋"/>
                <w:sz w:val="32"/>
                <w:szCs w:val="32"/>
              </w:rPr>
            </w:pPr>
            <w:r>
              <w:rPr>
                <w:rFonts w:hint="eastAsia" w:ascii="仿宋" w:hAnsi="仿宋" w:eastAsia="仿宋" w:cs="仿宋"/>
                <w:sz w:val="32"/>
                <w:szCs w:val="32"/>
              </w:rPr>
              <w:t>0.3</w:t>
            </w:r>
          </w:p>
        </w:tc>
        <w:tc>
          <w:tcPr>
            <w:tcW w:w="636" w:type="pct"/>
            <w:tcBorders>
              <w:top w:val="single" w:color="auto" w:sz="4" w:space="0"/>
              <w:left w:val="single" w:color="auto" w:sz="4" w:space="0"/>
              <w:bottom w:val="single" w:color="auto" w:sz="4" w:space="0"/>
              <w:right w:val="single" w:color="auto" w:sz="4" w:space="0"/>
            </w:tcBorders>
            <w:vAlign w:val="center"/>
          </w:tcPr>
          <w:p w14:paraId="4A984E5D">
            <w:pPr>
              <w:spacing w:line="560" w:lineRule="exact"/>
              <w:jc w:val="center"/>
              <w:rPr>
                <w:rFonts w:ascii="仿宋" w:hAnsi="仿宋" w:eastAsia="仿宋" w:cs="仿宋"/>
                <w:sz w:val="32"/>
                <w:szCs w:val="32"/>
              </w:rPr>
            </w:pPr>
            <w:r>
              <w:rPr>
                <w:rFonts w:hint="eastAsia" w:ascii="仿宋" w:hAnsi="仿宋" w:eastAsia="仿宋" w:cs="仿宋"/>
                <w:sz w:val="32"/>
                <w:szCs w:val="32"/>
              </w:rPr>
              <w:t>0.1</w:t>
            </w:r>
          </w:p>
        </w:tc>
        <w:tc>
          <w:tcPr>
            <w:tcW w:w="802" w:type="pct"/>
            <w:tcBorders>
              <w:top w:val="single" w:color="auto" w:sz="4" w:space="0"/>
              <w:left w:val="single" w:color="auto" w:sz="4" w:space="0"/>
              <w:bottom w:val="single" w:color="auto" w:sz="4" w:space="0"/>
              <w:right w:val="single" w:color="auto" w:sz="4" w:space="0"/>
            </w:tcBorders>
            <w:vAlign w:val="center"/>
          </w:tcPr>
          <w:p w14:paraId="46810448">
            <w:pPr>
              <w:spacing w:line="560" w:lineRule="exact"/>
              <w:jc w:val="center"/>
              <w:rPr>
                <w:rFonts w:ascii="仿宋" w:hAnsi="仿宋" w:eastAsia="仿宋" w:cs="仿宋"/>
                <w:sz w:val="32"/>
                <w:szCs w:val="32"/>
              </w:rPr>
            </w:pPr>
            <w:r>
              <w:rPr>
                <w:rFonts w:hint="eastAsia" w:ascii="仿宋" w:hAnsi="仿宋" w:eastAsia="仿宋" w:cs="仿宋"/>
                <w:sz w:val="32"/>
                <w:szCs w:val="32"/>
              </w:rPr>
              <w:t>0</w:t>
            </w:r>
          </w:p>
        </w:tc>
      </w:tr>
      <w:tr w14:paraId="51EF1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6" w:hRule="atLeast"/>
          <w:jc w:val="center"/>
        </w:trPr>
        <w:tc>
          <w:tcPr>
            <w:tcW w:w="5000" w:type="pct"/>
            <w:gridSpan w:val="6"/>
            <w:tcBorders>
              <w:top w:val="single" w:color="auto" w:sz="4" w:space="0"/>
              <w:left w:val="single" w:color="auto" w:sz="4" w:space="0"/>
              <w:bottom w:val="single" w:color="auto" w:sz="4" w:space="0"/>
              <w:right w:val="single" w:color="auto" w:sz="4" w:space="0"/>
            </w:tcBorders>
            <w:vAlign w:val="center"/>
          </w:tcPr>
          <w:p w14:paraId="3B897B27">
            <w:pPr>
              <w:widowControl/>
              <w:spacing w:line="560" w:lineRule="exact"/>
              <w:rPr>
                <w:rFonts w:ascii="仿宋" w:hAnsi="仿宋" w:eastAsia="仿宋" w:cs="仿宋"/>
                <w:kern w:val="0"/>
                <w:sz w:val="32"/>
                <w:szCs w:val="32"/>
                <w:lang w:bidi="ar"/>
              </w:rPr>
            </w:pPr>
            <w:r>
              <w:rPr>
                <w:rFonts w:hint="eastAsia" w:ascii="仿宋" w:hAnsi="仿宋" w:eastAsia="仿宋" w:cs="仿宋"/>
                <w:kern w:val="0"/>
                <w:sz w:val="32"/>
                <w:szCs w:val="32"/>
                <w:lang w:bidi="ar"/>
              </w:rPr>
              <w:t>注1：项目要求第一单位为华北理工大学；</w:t>
            </w:r>
          </w:p>
          <w:p w14:paraId="57EDA183">
            <w:pPr>
              <w:widowControl/>
              <w:spacing w:line="560" w:lineRule="exact"/>
              <w:rPr>
                <w:rFonts w:ascii="仿宋" w:hAnsi="仿宋" w:eastAsia="仿宋" w:cs="仿宋"/>
                <w:kern w:val="0"/>
                <w:sz w:val="32"/>
                <w:szCs w:val="32"/>
                <w:lang w:bidi="ar"/>
              </w:rPr>
            </w:pPr>
            <w:r>
              <w:rPr>
                <w:rFonts w:hint="eastAsia" w:ascii="仿宋" w:hAnsi="仿宋" w:eastAsia="仿宋" w:cs="仿宋"/>
                <w:kern w:val="0"/>
                <w:sz w:val="32"/>
                <w:szCs w:val="32"/>
                <w:lang w:bidi="ar"/>
              </w:rPr>
              <w:t>注2：</w:t>
            </w:r>
            <w:bookmarkStart w:id="6" w:name="OLE_LINK4"/>
            <w:r>
              <w:rPr>
                <w:rFonts w:hint="eastAsia" w:ascii="仿宋" w:hAnsi="仿宋" w:eastAsia="仿宋" w:cs="仿宋"/>
                <w:kern w:val="0"/>
                <w:sz w:val="32"/>
                <w:szCs w:val="32"/>
                <w:lang w:bidi="ar"/>
              </w:rPr>
              <w:t>科研项目</w:t>
            </w:r>
            <w:bookmarkEnd w:id="6"/>
            <w:r>
              <w:rPr>
                <w:rFonts w:hint="eastAsia" w:ascii="仿宋" w:hAnsi="仿宋" w:eastAsia="仿宋" w:cs="仿宋"/>
                <w:kern w:val="0"/>
                <w:sz w:val="32"/>
                <w:szCs w:val="32"/>
                <w:lang w:bidi="ar"/>
              </w:rPr>
              <w:t>级别由学院专家评审小组根据项目验收单位级别确定。</w:t>
            </w:r>
          </w:p>
        </w:tc>
      </w:tr>
    </w:tbl>
    <w:p w14:paraId="7E89F15E">
      <w:pPr>
        <w:spacing w:before="232" w:beforeLines="50" w:line="560" w:lineRule="exact"/>
        <w:ind w:firstLine="643" w:firstLineChars="200"/>
        <w:rPr>
          <w:rFonts w:ascii="仿宋" w:hAnsi="仿宋" w:eastAsia="仿宋" w:cs="仿宋"/>
          <w:b/>
          <w:bCs/>
          <w:sz w:val="32"/>
          <w:szCs w:val="32"/>
        </w:rPr>
      </w:pPr>
      <w:r>
        <w:rPr>
          <w:rFonts w:hint="eastAsia" w:ascii="仿宋" w:hAnsi="仿宋" w:eastAsia="仿宋" w:cs="仿宋"/>
          <w:b/>
          <w:bCs/>
          <w:sz w:val="32"/>
          <w:szCs w:val="32"/>
        </w:rPr>
        <w:t>（六）突出贡献</w:t>
      </w:r>
    </w:p>
    <w:p w14:paraId="1BEA2FF0">
      <w:pPr>
        <w:spacing w:line="560" w:lineRule="exact"/>
        <w:ind w:firstLine="640" w:firstLineChars="200"/>
        <w:rPr>
          <w:rFonts w:ascii="仿宋" w:hAnsi="仿宋" w:eastAsia="仿宋" w:cs="仿宋"/>
          <w:sz w:val="32"/>
          <w:szCs w:val="32"/>
        </w:rPr>
      </w:pPr>
      <w:r>
        <w:rPr>
          <w:rFonts w:hint="eastAsia" w:ascii="仿宋" w:hAnsi="仿宋" w:eastAsia="仿宋" w:cs="仿宋"/>
          <w:sz w:val="32"/>
          <w:szCs w:val="32"/>
        </w:rPr>
        <w:t>本科生对学校和社会做出突出贡献，经学校推免工作领导小组认定可予以加分，该项指标的加分上限为10.0分。</w:t>
      </w:r>
    </w:p>
    <w:p w14:paraId="17BC4BAF">
      <w:pPr>
        <w:spacing w:line="560" w:lineRule="exact"/>
        <w:ind w:firstLine="640" w:firstLineChars="200"/>
        <w:rPr>
          <w:rFonts w:ascii="仿宋" w:hAnsi="仿宋" w:eastAsia="仿宋" w:cs="仿宋"/>
          <w:sz w:val="32"/>
          <w:szCs w:val="32"/>
        </w:rPr>
      </w:pPr>
      <w:r>
        <w:rPr>
          <w:rFonts w:hint="eastAsia" w:ascii="仿宋" w:hAnsi="仿宋" w:eastAsia="仿宋" w:cs="仿宋"/>
          <w:sz w:val="32"/>
          <w:szCs w:val="32"/>
        </w:rPr>
        <w:t>该项加分未达到加分上限时可与其他方面加分累计，加分总分超过10.0分时，按10.0分计。</w:t>
      </w:r>
    </w:p>
    <w:p w14:paraId="61195D82">
      <w:pPr>
        <w:pStyle w:val="5"/>
        <w:tabs>
          <w:tab w:val="left" w:pos="1279"/>
          <w:tab w:val="left" w:pos="1919"/>
        </w:tabs>
        <w:jc w:val="center"/>
        <w:rPr>
          <w:rFonts w:ascii="黑体" w:eastAsia="黑体"/>
          <w:lang w:val="en-US"/>
        </w:rPr>
      </w:pPr>
      <w:r>
        <w:rPr>
          <w:rFonts w:hint="eastAsia" w:ascii="黑体" w:eastAsia="黑体"/>
        </w:rPr>
        <w:t>第</w:t>
      </w:r>
      <w:r>
        <w:rPr>
          <w:rFonts w:hint="eastAsia" w:ascii="黑体" w:eastAsia="黑体"/>
          <w:lang w:val="en-US"/>
        </w:rPr>
        <w:t>五</w:t>
      </w:r>
      <w:r>
        <w:rPr>
          <w:rFonts w:hint="eastAsia" w:ascii="黑体" w:eastAsia="黑体"/>
        </w:rPr>
        <w:t xml:space="preserve">章 </w:t>
      </w:r>
      <w:r>
        <w:rPr>
          <w:rFonts w:hint="eastAsia" w:ascii="黑体" w:eastAsia="黑体"/>
          <w:lang w:val="en-US"/>
        </w:rPr>
        <w:t xml:space="preserve"> </w:t>
      </w:r>
      <w:r>
        <w:rPr>
          <w:rFonts w:hint="eastAsia" w:ascii="黑体" w:eastAsia="黑体"/>
        </w:rPr>
        <w:t>推荐程序</w:t>
      </w:r>
    </w:p>
    <w:p w14:paraId="1DFE24D7">
      <w:pPr>
        <w:widowControl/>
        <w:spacing w:line="560" w:lineRule="exact"/>
        <w:ind w:firstLine="643" w:firstLineChars="200"/>
        <w:jc w:val="left"/>
        <w:rPr>
          <w:rFonts w:ascii="仿宋" w:hAnsi="仿宋" w:eastAsia="仿宋" w:cs="仿宋"/>
          <w:sz w:val="32"/>
          <w:szCs w:val="32"/>
        </w:rPr>
      </w:pPr>
      <w:r>
        <w:rPr>
          <w:rFonts w:hint="eastAsia" w:ascii="仿宋" w:hAnsi="仿宋" w:eastAsia="仿宋" w:cs="仿宋"/>
          <w:b/>
          <w:bCs/>
          <w:sz w:val="32"/>
          <w:szCs w:val="32"/>
        </w:rPr>
        <w:t>第八条</w:t>
      </w:r>
      <w:r>
        <w:rPr>
          <w:rFonts w:hint="eastAsia" w:ascii="仿宋" w:hAnsi="仿宋" w:eastAsia="仿宋" w:cs="仿宋"/>
          <w:sz w:val="32"/>
          <w:szCs w:val="32"/>
        </w:rPr>
        <w:t xml:space="preserve">  每年暑假末或秋季学期开学初，</w:t>
      </w:r>
      <w:r>
        <w:rPr>
          <w:rFonts w:hint="eastAsia" w:ascii="仿宋" w:hAnsi="仿宋" w:eastAsia="仿宋" w:cs="仿宋"/>
          <w:color w:val="000000"/>
          <w:kern w:val="0"/>
          <w:sz w:val="32"/>
          <w:szCs w:val="32"/>
          <w:lang w:bidi="ar"/>
        </w:rPr>
        <w:t>符合“第</w:t>
      </w:r>
      <w:r>
        <w:rPr>
          <w:rFonts w:hint="eastAsia" w:ascii="仿宋" w:hAnsi="仿宋" w:eastAsia="仿宋" w:cs="仿宋"/>
          <w:color w:val="000000"/>
          <w:kern w:val="0"/>
          <w:sz w:val="32"/>
          <w:szCs w:val="32"/>
          <w:lang w:eastAsia="zh-CN" w:bidi="ar"/>
        </w:rPr>
        <w:t>四</w:t>
      </w:r>
      <w:r>
        <w:rPr>
          <w:rFonts w:hint="eastAsia" w:ascii="仿宋" w:hAnsi="仿宋" w:eastAsia="仿宋" w:cs="仿宋"/>
          <w:color w:val="000000"/>
          <w:kern w:val="0"/>
          <w:sz w:val="32"/>
          <w:szCs w:val="32"/>
          <w:lang w:bidi="ar"/>
        </w:rPr>
        <w:t>章”条件的学生向所在学院申请，学院推免工作小组审核后再组织符合该条件的学生提交综合评价加分材料</w:t>
      </w:r>
      <w:r>
        <w:rPr>
          <w:rFonts w:hint="eastAsia" w:ascii="仿宋" w:hAnsi="仿宋" w:eastAsia="仿宋" w:cs="仿宋"/>
          <w:sz w:val="32"/>
          <w:szCs w:val="32"/>
        </w:rPr>
        <w:t>。</w:t>
      </w:r>
    </w:p>
    <w:p w14:paraId="753B32AF">
      <w:pPr>
        <w:spacing w:line="560" w:lineRule="exact"/>
        <w:ind w:firstLine="643" w:firstLineChars="200"/>
        <w:rPr>
          <w:rFonts w:ascii="仿宋" w:hAnsi="仿宋" w:eastAsia="仿宋" w:cs="仿宋"/>
          <w:sz w:val="32"/>
          <w:szCs w:val="32"/>
        </w:rPr>
      </w:pPr>
      <w:r>
        <w:rPr>
          <w:rFonts w:hint="eastAsia" w:ascii="仿宋" w:hAnsi="仿宋" w:eastAsia="仿宋" w:cs="仿宋"/>
          <w:b/>
          <w:bCs/>
          <w:sz w:val="32"/>
          <w:szCs w:val="32"/>
        </w:rPr>
        <w:t>第九条</w:t>
      </w:r>
      <w:r>
        <w:rPr>
          <w:rFonts w:hint="eastAsia" w:ascii="仿宋" w:hAnsi="仿宋" w:eastAsia="仿宋" w:cs="仿宋"/>
          <w:sz w:val="32"/>
          <w:szCs w:val="32"/>
        </w:rPr>
        <w:t xml:space="preserve">  学院专家审核小组对申请推免资格学生的材料进行审核鉴定，可会同本研究领域权威专家、相关期刊单位或赛事主办单位负责人等组织相关学生在一定范围内进行公开答辩，重点评价创新质量和学生个人贡献，从严把握受社会质疑较多的赛事、刊物，排除抄袭、造假、冒名和有名无实等情况。专家审核小组要给出明确审核鉴定意见并签字存档，答辩过程要做好书面记录，并且全程录音录像。</w:t>
      </w:r>
    </w:p>
    <w:p w14:paraId="18FFCBF1">
      <w:pPr>
        <w:spacing w:line="560" w:lineRule="exact"/>
        <w:ind w:firstLine="643" w:firstLineChars="200"/>
        <w:rPr>
          <w:rFonts w:ascii="仿宋" w:hAnsi="仿宋" w:eastAsia="仿宋" w:cs="仿宋"/>
          <w:sz w:val="32"/>
          <w:szCs w:val="32"/>
        </w:rPr>
      </w:pPr>
      <w:r>
        <w:rPr>
          <w:rFonts w:hint="eastAsia" w:ascii="仿宋" w:hAnsi="仿宋" w:eastAsia="仿宋" w:cs="仿宋"/>
          <w:b/>
          <w:bCs/>
          <w:sz w:val="32"/>
          <w:szCs w:val="32"/>
        </w:rPr>
        <w:t>第十条</w:t>
      </w:r>
      <w:r>
        <w:rPr>
          <w:rFonts w:hint="eastAsia" w:ascii="仿宋" w:hAnsi="仿宋" w:eastAsia="仿宋" w:cs="仿宋"/>
          <w:sz w:val="32"/>
          <w:szCs w:val="32"/>
        </w:rPr>
        <w:t xml:space="preserve">  由辅导员或班主任根据学生前三年的总体情况对学生的思想政治表现进行定性评价，主要考核思想政治表现、道德品质修养、身心健康素质、日常行为规范等4类测评指标，分合格、不合格两个等级。思想品德考核不合格者不予推荐。</w:t>
      </w:r>
    </w:p>
    <w:p w14:paraId="71834C59">
      <w:pPr>
        <w:spacing w:line="560" w:lineRule="exact"/>
        <w:ind w:firstLine="643" w:firstLineChars="200"/>
        <w:rPr>
          <w:rFonts w:ascii="仿宋" w:hAnsi="仿宋" w:eastAsia="仿宋" w:cs="仿宋"/>
          <w:sz w:val="32"/>
          <w:szCs w:val="32"/>
        </w:rPr>
      </w:pPr>
      <w:r>
        <w:rPr>
          <w:rFonts w:hint="eastAsia" w:ascii="仿宋" w:hAnsi="仿宋" w:eastAsia="仿宋" w:cs="仿宋"/>
          <w:b/>
          <w:bCs/>
          <w:sz w:val="32"/>
          <w:szCs w:val="32"/>
        </w:rPr>
        <w:t>第十一条</w:t>
      </w:r>
      <w:r>
        <w:rPr>
          <w:rFonts w:hint="eastAsia" w:ascii="仿宋" w:hAnsi="仿宋" w:eastAsia="仿宋" w:cs="仿宋"/>
          <w:sz w:val="32"/>
          <w:szCs w:val="32"/>
        </w:rPr>
        <w:t xml:space="preserve">  学院推免工作领导小组以学业综合成绩在专业内从高到低依次确定具有推免资格的学生名单，在显著位置公示5个工作日。对有异议的学生查明情况后公布处理结果，并对变动内容另行公示。</w:t>
      </w:r>
    </w:p>
    <w:p w14:paraId="5189E0CD">
      <w:pPr>
        <w:spacing w:line="560" w:lineRule="exact"/>
        <w:ind w:firstLine="643" w:firstLineChars="200"/>
        <w:rPr>
          <w:rFonts w:ascii="仿宋" w:hAnsi="仿宋" w:eastAsia="仿宋" w:cs="仿宋"/>
          <w:sz w:val="32"/>
          <w:szCs w:val="32"/>
        </w:rPr>
      </w:pPr>
      <w:r>
        <w:rPr>
          <w:rFonts w:hint="eastAsia" w:ascii="仿宋" w:hAnsi="仿宋" w:eastAsia="仿宋" w:cs="仿宋"/>
          <w:b/>
          <w:bCs/>
          <w:sz w:val="32"/>
          <w:szCs w:val="32"/>
        </w:rPr>
        <w:t>第十二条</w:t>
      </w:r>
      <w:r>
        <w:rPr>
          <w:rFonts w:hint="eastAsia" w:ascii="仿宋" w:hAnsi="仿宋" w:eastAsia="仿宋" w:cs="仿宋"/>
          <w:sz w:val="32"/>
          <w:szCs w:val="32"/>
        </w:rPr>
        <w:t xml:space="preserve">  获得推免资格学生的材料（包括学生姓名、本科专业、学习成绩及本专业排名、综合评价加分材料等）须经过教务处、学生处、校团委等部门的审核，确保材料真实有效。学院向研究生学院报送推荐名单纸质材料和电子版材料，纸质材料须由推免工作小组组长和具体实施人员签字确认。</w:t>
      </w:r>
    </w:p>
    <w:p w14:paraId="7BEE39CA">
      <w:pPr>
        <w:pStyle w:val="5"/>
        <w:tabs>
          <w:tab w:val="left" w:pos="1279"/>
          <w:tab w:val="left" w:pos="1919"/>
        </w:tabs>
        <w:jc w:val="center"/>
        <w:rPr>
          <w:rFonts w:ascii="黑体" w:eastAsia="黑体"/>
          <w:lang w:val="en-US"/>
        </w:rPr>
      </w:pPr>
      <w:r>
        <w:rPr>
          <w:rFonts w:hint="eastAsia" w:ascii="黑体" w:eastAsia="黑体"/>
          <w:lang w:val="en-US"/>
        </w:rPr>
        <w:t>第六章  管理与监督</w:t>
      </w:r>
    </w:p>
    <w:p w14:paraId="5F03CCDF">
      <w:pPr>
        <w:spacing w:line="560" w:lineRule="exact"/>
        <w:ind w:firstLine="643" w:firstLineChars="200"/>
        <w:rPr>
          <w:rFonts w:ascii="仿宋" w:hAnsi="仿宋" w:eastAsia="仿宋" w:cs="仿宋"/>
          <w:sz w:val="32"/>
          <w:szCs w:val="32"/>
        </w:rPr>
      </w:pPr>
      <w:r>
        <w:rPr>
          <w:rFonts w:hint="eastAsia" w:ascii="仿宋" w:hAnsi="仿宋" w:eastAsia="仿宋" w:cs="仿宋"/>
          <w:b/>
          <w:bCs/>
          <w:sz w:val="32"/>
          <w:szCs w:val="32"/>
        </w:rPr>
        <w:t xml:space="preserve">第十三条  </w:t>
      </w:r>
      <w:r>
        <w:rPr>
          <w:rFonts w:hint="eastAsia" w:ascii="仿宋" w:hAnsi="仿宋" w:eastAsia="仿宋" w:cs="仿宋"/>
          <w:sz w:val="32"/>
          <w:szCs w:val="32"/>
        </w:rPr>
        <w:t>有直系亲属或利益相关人员报名参加本单位推免的工作人员应主动申请回避，有非直系亲属等报名参加推免的应主动报备。相关学生申请推免资格时也应主动向学院报备声明。对未按规定报备声明回避关系的推免工作人员，学校依规依纪严肃处理；对未按规定报备声明回避关系且影响推免过程和结果公平公正的学生，取消其推免资格。</w:t>
      </w:r>
    </w:p>
    <w:p w14:paraId="5DB8749A">
      <w:pPr>
        <w:spacing w:line="560" w:lineRule="exact"/>
        <w:ind w:firstLine="643" w:firstLineChars="200"/>
        <w:rPr>
          <w:rFonts w:ascii="仿宋" w:hAnsi="仿宋" w:eastAsia="仿宋" w:cs="仿宋"/>
          <w:sz w:val="32"/>
          <w:szCs w:val="32"/>
        </w:rPr>
      </w:pPr>
      <w:r>
        <w:rPr>
          <w:rFonts w:hint="eastAsia" w:ascii="仿宋" w:hAnsi="仿宋" w:eastAsia="仿宋" w:cs="仿宋"/>
          <w:b/>
          <w:bCs/>
          <w:sz w:val="32"/>
          <w:szCs w:val="32"/>
        </w:rPr>
        <w:t>第十四条</w:t>
      </w:r>
      <w:r>
        <w:rPr>
          <w:rFonts w:hint="eastAsia" w:ascii="仿宋" w:hAnsi="仿宋" w:eastAsia="仿宋" w:cs="仿宋"/>
          <w:sz w:val="32"/>
          <w:szCs w:val="32"/>
        </w:rPr>
        <w:t xml:space="preserve">  对在推免过程中弄虚作假，有论文抄袭、虚报获奖或科研成果等学术不端行为或者有其他严重影响推免过程和结果公平公正行为的学生，一经查实，取消推免资格。</w:t>
      </w:r>
    </w:p>
    <w:p w14:paraId="6931C7DD">
      <w:pPr>
        <w:spacing w:line="560" w:lineRule="exact"/>
        <w:ind w:firstLine="640" w:firstLineChars="200"/>
        <w:rPr>
          <w:rFonts w:ascii="仿宋" w:hAnsi="仿宋" w:eastAsia="仿宋" w:cs="仿宋"/>
          <w:sz w:val="32"/>
          <w:szCs w:val="32"/>
        </w:rPr>
      </w:pPr>
      <w:r>
        <w:rPr>
          <w:rFonts w:hint="eastAsia" w:ascii="仿宋" w:hAnsi="仿宋" w:eastAsia="仿宋" w:cs="仿宋"/>
          <w:sz w:val="32"/>
          <w:szCs w:val="32"/>
        </w:rPr>
        <w:t>推免相关工作人员未严格履行工作职责，违反推免政策规定的，学校依规依纪严肃处理。</w:t>
      </w:r>
    </w:p>
    <w:p w14:paraId="1F2E1257">
      <w:pPr>
        <w:spacing w:line="560" w:lineRule="exact"/>
        <w:ind w:firstLine="643" w:firstLineChars="200"/>
        <w:rPr>
          <w:rFonts w:ascii="仿宋" w:hAnsi="仿宋" w:eastAsia="仿宋" w:cs="仿宋"/>
          <w:sz w:val="32"/>
          <w:szCs w:val="32"/>
        </w:rPr>
      </w:pPr>
      <w:r>
        <w:rPr>
          <w:rFonts w:hint="eastAsia" w:ascii="仿宋" w:hAnsi="仿宋" w:eastAsia="仿宋" w:cs="仿宋"/>
          <w:b/>
          <w:bCs/>
          <w:sz w:val="32"/>
          <w:szCs w:val="32"/>
        </w:rPr>
        <w:t>第十五条</w:t>
      </w:r>
      <w:r>
        <w:rPr>
          <w:rFonts w:hint="eastAsia" w:ascii="仿宋" w:hAnsi="仿宋" w:eastAsia="仿宋" w:cs="仿宋"/>
          <w:sz w:val="32"/>
          <w:szCs w:val="32"/>
        </w:rPr>
        <w:t xml:space="preserve">  公示期内，对推免结果有异议的需实名向学院教学办公室反映。</w:t>
      </w:r>
    </w:p>
    <w:p w14:paraId="6393EE5B">
      <w:pPr>
        <w:spacing w:line="560" w:lineRule="exact"/>
        <w:ind w:firstLine="643" w:firstLineChars="200"/>
        <w:rPr>
          <w:rFonts w:ascii="仿宋" w:hAnsi="仿宋" w:eastAsia="仿宋" w:cs="仿宋"/>
          <w:sz w:val="32"/>
          <w:szCs w:val="32"/>
        </w:rPr>
      </w:pPr>
      <w:r>
        <w:rPr>
          <w:rFonts w:hint="eastAsia" w:ascii="仿宋" w:hAnsi="仿宋" w:eastAsia="仿宋" w:cs="仿宋"/>
          <w:b/>
          <w:bCs/>
          <w:sz w:val="32"/>
          <w:szCs w:val="32"/>
        </w:rPr>
        <w:t>第十六条</w:t>
      </w:r>
      <w:r>
        <w:rPr>
          <w:rFonts w:hint="eastAsia" w:ascii="仿宋" w:hAnsi="仿宋" w:eastAsia="仿宋" w:cs="仿宋"/>
          <w:sz w:val="32"/>
          <w:szCs w:val="32"/>
        </w:rPr>
        <w:t xml:space="preserve">  本办法由冶金与能源学院推免工作小组负责解释。</w:t>
      </w:r>
    </w:p>
    <w:p w14:paraId="47922BBE">
      <w:pPr>
        <w:spacing w:line="560" w:lineRule="exact"/>
        <w:ind w:firstLine="640" w:firstLineChars="200"/>
        <w:rPr>
          <w:rFonts w:ascii="仿宋" w:hAnsi="仿宋" w:eastAsia="仿宋" w:cs="仿宋"/>
          <w:sz w:val="32"/>
          <w:szCs w:val="32"/>
        </w:rPr>
      </w:pPr>
    </w:p>
    <w:p w14:paraId="56D01E8C">
      <w:pPr>
        <w:spacing w:line="560" w:lineRule="exact"/>
        <w:ind w:firstLine="640" w:firstLineChars="200"/>
        <w:rPr>
          <w:rFonts w:ascii="仿宋" w:hAnsi="仿宋" w:eastAsia="仿宋" w:cs="仿宋"/>
          <w:sz w:val="32"/>
          <w:szCs w:val="32"/>
        </w:rPr>
      </w:pPr>
    </w:p>
    <w:p w14:paraId="7B56A324">
      <w:pPr>
        <w:wordWrap w:val="0"/>
        <w:spacing w:line="560" w:lineRule="exact"/>
        <w:ind w:firstLine="640" w:firstLineChars="200"/>
        <w:jc w:val="right"/>
        <w:rPr>
          <w:rFonts w:ascii="仿宋" w:hAnsi="仿宋" w:eastAsia="仿宋" w:cs="仿宋"/>
          <w:sz w:val="32"/>
          <w:szCs w:val="32"/>
        </w:rPr>
      </w:pPr>
      <w:r>
        <w:rPr>
          <w:rFonts w:hint="eastAsia" w:ascii="仿宋" w:hAnsi="仿宋" w:eastAsia="仿宋" w:cs="仿宋"/>
          <w:sz w:val="32"/>
          <w:szCs w:val="32"/>
        </w:rPr>
        <w:t xml:space="preserve">冶金与能源学院 </w:t>
      </w:r>
    </w:p>
    <w:p w14:paraId="5813F41B">
      <w:pPr>
        <w:spacing w:line="560" w:lineRule="exact"/>
        <w:jc w:val="right"/>
        <w:rPr>
          <w:rFonts w:ascii="仿宋" w:hAnsi="仿宋" w:eastAsia="仿宋" w:cs="仿宋"/>
          <w:sz w:val="32"/>
          <w:szCs w:val="32"/>
        </w:rPr>
      </w:pPr>
      <w:r>
        <w:rPr>
          <w:rFonts w:hint="eastAsia" w:ascii="仿宋" w:hAnsi="仿宋" w:eastAsia="仿宋" w:cs="仿宋"/>
          <w:sz w:val="32"/>
          <w:szCs w:val="32"/>
        </w:rPr>
        <w:t>2025年</w:t>
      </w:r>
      <w:r>
        <w:rPr>
          <w:rFonts w:hint="eastAsia" w:ascii="仿宋" w:hAnsi="仿宋" w:eastAsia="仿宋" w:cs="仿宋"/>
          <w:sz w:val="32"/>
          <w:szCs w:val="32"/>
          <w:lang w:val="en-US" w:eastAsia="zh-CN"/>
        </w:rPr>
        <w:t>7</w:t>
      </w:r>
      <w:r>
        <w:rPr>
          <w:rFonts w:hint="eastAsia" w:ascii="仿宋" w:hAnsi="仿宋" w:eastAsia="仿宋" w:cs="仿宋"/>
          <w:sz w:val="32"/>
          <w:szCs w:val="32"/>
        </w:rPr>
        <w:t>月</w:t>
      </w:r>
      <w:r>
        <w:rPr>
          <w:rFonts w:hint="eastAsia" w:ascii="仿宋" w:hAnsi="仿宋" w:eastAsia="仿宋" w:cs="仿宋"/>
          <w:sz w:val="32"/>
          <w:szCs w:val="32"/>
          <w:lang w:val="en-US" w:eastAsia="zh-CN"/>
        </w:rPr>
        <w:t>7</w:t>
      </w:r>
      <w:r>
        <w:rPr>
          <w:rFonts w:hint="eastAsia" w:ascii="仿宋" w:hAnsi="仿宋" w:eastAsia="仿宋" w:cs="仿宋"/>
          <w:sz w:val="32"/>
          <w:szCs w:val="32"/>
        </w:rPr>
        <w:t>日</w:t>
      </w:r>
    </w:p>
    <w:sectPr>
      <w:footerReference r:id="rId3" w:type="default"/>
      <w:pgSz w:w="11906" w:h="16838"/>
      <w:pgMar w:top="1440" w:right="1406" w:bottom="1440" w:left="1406" w:header="851" w:footer="992" w:gutter="0"/>
      <w:cols w:space="0" w:num="1"/>
      <w:docGrid w:type="lines" w:linePitch="465"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仿宋">
    <w:panose1 w:val="02010609060101010101"/>
    <w:charset w:val="86"/>
    <w:family w:val="modern"/>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6ACA61">
    <w:pPr>
      <w:pStyle w:val="6"/>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EB2446A">
                          <w:pPr>
                            <w:pStyle w:val="6"/>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Pr>
                              <w:rFonts w:ascii="Times New Roman" w:hAnsi="Times New Roman" w:cs="Times New Roman"/>
                            </w:rPr>
                            <w:t>5</w:t>
                          </w:r>
                          <w:r>
                            <w:rPr>
                              <w:rFonts w:ascii="Times New Roman" w:hAnsi="Times New Roman" w:cs="Times New Roma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7EB2446A">
                    <w:pPr>
                      <w:pStyle w:val="6"/>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Pr>
                        <w:rFonts w:ascii="Times New Roman" w:hAnsi="Times New Roman" w:cs="Times New Roman"/>
                      </w:rPr>
                      <w:t>5</w:t>
                    </w:r>
                    <w:r>
                      <w:rPr>
                        <w:rFonts w:ascii="Times New Roman" w:hAnsi="Times New Roman" w:cs="Times New Roman"/>
                      </w:rP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documentProtection w:enforcement="0"/>
  <w:defaultTabStop w:val="420"/>
  <w:drawingGridVerticalSpacing w:val="233"/>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WJjZDhhNjcyYjI2ODgwM2U0NWUwN2UwNjdmYTA2MWIifQ=="/>
  </w:docVars>
  <w:rsids>
    <w:rsidRoot w:val="005D44B1"/>
    <w:rsid w:val="00062665"/>
    <w:rsid w:val="00083408"/>
    <w:rsid w:val="000F4F5E"/>
    <w:rsid w:val="00192435"/>
    <w:rsid w:val="001F1306"/>
    <w:rsid w:val="001F65B1"/>
    <w:rsid w:val="00250377"/>
    <w:rsid w:val="0029190C"/>
    <w:rsid w:val="00347FB0"/>
    <w:rsid w:val="00366C88"/>
    <w:rsid w:val="003A0914"/>
    <w:rsid w:val="00492B4C"/>
    <w:rsid w:val="004C27E7"/>
    <w:rsid w:val="005A294F"/>
    <w:rsid w:val="005D44B1"/>
    <w:rsid w:val="00610463"/>
    <w:rsid w:val="0067441A"/>
    <w:rsid w:val="006C64E9"/>
    <w:rsid w:val="00751BD0"/>
    <w:rsid w:val="007A388D"/>
    <w:rsid w:val="007E1266"/>
    <w:rsid w:val="008155A9"/>
    <w:rsid w:val="00937951"/>
    <w:rsid w:val="00A2278B"/>
    <w:rsid w:val="00A30F01"/>
    <w:rsid w:val="00AA4478"/>
    <w:rsid w:val="00B842F6"/>
    <w:rsid w:val="00CA2403"/>
    <w:rsid w:val="00CB61EA"/>
    <w:rsid w:val="00E163E8"/>
    <w:rsid w:val="00E7730F"/>
    <w:rsid w:val="00F5110A"/>
    <w:rsid w:val="00FE45F6"/>
    <w:rsid w:val="02337D11"/>
    <w:rsid w:val="03906A9D"/>
    <w:rsid w:val="04D12584"/>
    <w:rsid w:val="05017C52"/>
    <w:rsid w:val="05874B33"/>
    <w:rsid w:val="05972365"/>
    <w:rsid w:val="05F23A3F"/>
    <w:rsid w:val="06055520"/>
    <w:rsid w:val="065E3332"/>
    <w:rsid w:val="090F2AB0"/>
    <w:rsid w:val="092756BA"/>
    <w:rsid w:val="09AC2863"/>
    <w:rsid w:val="09F04096"/>
    <w:rsid w:val="0A067AB9"/>
    <w:rsid w:val="0B491370"/>
    <w:rsid w:val="0B9F3D21"/>
    <w:rsid w:val="0C253894"/>
    <w:rsid w:val="0CC5327E"/>
    <w:rsid w:val="0CCD3F24"/>
    <w:rsid w:val="0D05462B"/>
    <w:rsid w:val="0D307327"/>
    <w:rsid w:val="0DB16782"/>
    <w:rsid w:val="0E136D69"/>
    <w:rsid w:val="0E143666"/>
    <w:rsid w:val="0F115CB1"/>
    <w:rsid w:val="0F7D550D"/>
    <w:rsid w:val="10613C9B"/>
    <w:rsid w:val="11A92265"/>
    <w:rsid w:val="11BA18B5"/>
    <w:rsid w:val="12FC56ED"/>
    <w:rsid w:val="146D2C0E"/>
    <w:rsid w:val="148625C7"/>
    <w:rsid w:val="14B00D4D"/>
    <w:rsid w:val="157F6045"/>
    <w:rsid w:val="15D22A9B"/>
    <w:rsid w:val="162E1BCD"/>
    <w:rsid w:val="169528F0"/>
    <w:rsid w:val="16BA4105"/>
    <w:rsid w:val="18846779"/>
    <w:rsid w:val="19142F3C"/>
    <w:rsid w:val="192835A8"/>
    <w:rsid w:val="1A0635F7"/>
    <w:rsid w:val="1A70324B"/>
    <w:rsid w:val="1A7171D0"/>
    <w:rsid w:val="1BC752FA"/>
    <w:rsid w:val="1C766D20"/>
    <w:rsid w:val="1C840E1F"/>
    <w:rsid w:val="1CBC3F9E"/>
    <w:rsid w:val="1CCC6940"/>
    <w:rsid w:val="1DEC0CF2"/>
    <w:rsid w:val="1EA336D1"/>
    <w:rsid w:val="1FAA1465"/>
    <w:rsid w:val="1FB060A5"/>
    <w:rsid w:val="213B4094"/>
    <w:rsid w:val="215A451A"/>
    <w:rsid w:val="21C31DDB"/>
    <w:rsid w:val="23290648"/>
    <w:rsid w:val="243E6375"/>
    <w:rsid w:val="257F52C4"/>
    <w:rsid w:val="25D725DE"/>
    <w:rsid w:val="262B0B7B"/>
    <w:rsid w:val="26924D9F"/>
    <w:rsid w:val="26F7465D"/>
    <w:rsid w:val="27C115F3"/>
    <w:rsid w:val="27E22C2E"/>
    <w:rsid w:val="289118DF"/>
    <w:rsid w:val="2B942D1F"/>
    <w:rsid w:val="2BF612E4"/>
    <w:rsid w:val="2C68666D"/>
    <w:rsid w:val="2C845A05"/>
    <w:rsid w:val="2C902A4C"/>
    <w:rsid w:val="2E444588"/>
    <w:rsid w:val="2E943DFB"/>
    <w:rsid w:val="301E705B"/>
    <w:rsid w:val="30601421"/>
    <w:rsid w:val="31101099"/>
    <w:rsid w:val="335C7E9F"/>
    <w:rsid w:val="33B201E6"/>
    <w:rsid w:val="34BC28FC"/>
    <w:rsid w:val="35A5752A"/>
    <w:rsid w:val="36D30B9F"/>
    <w:rsid w:val="3793032E"/>
    <w:rsid w:val="38123949"/>
    <w:rsid w:val="392C0A3B"/>
    <w:rsid w:val="396C6B16"/>
    <w:rsid w:val="3A0313D4"/>
    <w:rsid w:val="3A12378C"/>
    <w:rsid w:val="3A1A6AE5"/>
    <w:rsid w:val="3A6A35C8"/>
    <w:rsid w:val="3A7E791B"/>
    <w:rsid w:val="3AC336EA"/>
    <w:rsid w:val="3B17543C"/>
    <w:rsid w:val="3B5D4EDB"/>
    <w:rsid w:val="3BD056AD"/>
    <w:rsid w:val="3C334EEB"/>
    <w:rsid w:val="3CC06D55"/>
    <w:rsid w:val="3D75259C"/>
    <w:rsid w:val="3F067638"/>
    <w:rsid w:val="42984A4B"/>
    <w:rsid w:val="43C31789"/>
    <w:rsid w:val="44A973E3"/>
    <w:rsid w:val="4517434D"/>
    <w:rsid w:val="46A63BDA"/>
    <w:rsid w:val="46F34946"/>
    <w:rsid w:val="46F518AB"/>
    <w:rsid w:val="47307948"/>
    <w:rsid w:val="475B506C"/>
    <w:rsid w:val="48AE321A"/>
    <w:rsid w:val="496F0BFB"/>
    <w:rsid w:val="49DE2D2B"/>
    <w:rsid w:val="49F904C5"/>
    <w:rsid w:val="4B337A07"/>
    <w:rsid w:val="4BD034A7"/>
    <w:rsid w:val="4C6D6F48"/>
    <w:rsid w:val="4C800A2A"/>
    <w:rsid w:val="4CA14FD3"/>
    <w:rsid w:val="4DD157E1"/>
    <w:rsid w:val="4EA07161"/>
    <w:rsid w:val="4F3F4BCC"/>
    <w:rsid w:val="4FBA3333"/>
    <w:rsid w:val="51434BC7"/>
    <w:rsid w:val="51E2619A"/>
    <w:rsid w:val="52E15F9A"/>
    <w:rsid w:val="541B1FFD"/>
    <w:rsid w:val="5505196F"/>
    <w:rsid w:val="55075641"/>
    <w:rsid w:val="55A41C2D"/>
    <w:rsid w:val="576A47B0"/>
    <w:rsid w:val="5AF43B5C"/>
    <w:rsid w:val="5B180A09"/>
    <w:rsid w:val="5B94004E"/>
    <w:rsid w:val="5D436920"/>
    <w:rsid w:val="5E4F4700"/>
    <w:rsid w:val="60EF37AE"/>
    <w:rsid w:val="61E37639"/>
    <w:rsid w:val="632225B3"/>
    <w:rsid w:val="63496693"/>
    <w:rsid w:val="64346872"/>
    <w:rsid w:val="67851192"/>
    <w:rsid w:val="68B0223F"/>
    <w:rsid w:val="691C78D4"/>
    <w:rsid w:val="69782D5D"/>
    <w:rsid w:val="698E432E"/>
    <w:rsid w:val="6BF177B4"/>
    <w:rsid w:val="6CB00A5F"/>
    <w:rsid w:val="6CF85158"/>
    <w:rsid w:val="6D23134E"/>
    <w:rsid w:val="6DB830E4"/>
    <w:rsid w:val="6EA02D14"/>
    <w:rsid w:val="73EF00BF"/>
    <w:rsid w:val="742064CB"/>
    <w:rsid w:val="74424693"/>
    <w:rsid w:val="748A6EAF"/>
    <w:rsid w:val="75175F92"/>
    <w:rsid w:val="757F5473"/>
    <w:rsid w:val="761D7DFA"/>
    <w:rsid w:val="762B51A7"/>
    <w:rsid w:val="76FE0619"/>
    <w:rsid w:val="79294073"/>
    <w:rsid w:val="7A8552D9"/>
    <w:rsid w:val="7AED6EE5"/>
    <w:rsid w:val="7B424F78"/>
    <w:rsid w:val="7C655F11"/>
    <w:rsid w:val="7D256900"/>
    <w:rsid w:val="7D7C0F62"/>
    <w:rsid w:val="7E9C0E44"/>
    <w:rsid w:val="7FE707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Autospacing="1" w:afterAutospacing="1"/>
      <w:jc w:val="left"/>
      <w:outlineLvl w:val="0"/>
    </w:pPr>
    <w:rPr>
      <w:rFonts w:hint="eastAsia" w:ascii="宋体" w:hAnsi="宋体" w:eastAsia="宋体" w:cs="Times New Roman"/>
      <w:b/>
      <w:kern w:val="44"/>
      <w:sz w:val="48"/>
      <w:szCs w:val="48"/>
    </w:rPr>
  </w:style>
  <w:style w:type="paragraph" w:styleId="3">
    <w:name w:val="heading 2"/>
    <w:basedOn w:val="1"/>
    <w:next w:val="1"/>
    <w:semiHidden/>
    <w:unhideWhenUsed/>
    <w:qFormat/>
    <w:uiPriority w:val="0"/>
    <w:pPr>
      <w:spacing w:beforeAutospacing="1" w:afterAutospacing="1"/>
      <w:jc w:val="left"/>
      <w:outlineLvl w:val="1"/>
    </w:pPr>
    <w:rPr>
      <w:rFonts w:hint="eastAsia" w:ascii="宋体" w:hAnsi="宋体" w:eastAsia="宋体" w:cs="Times New Roman"/>
      <w:b/>
      <w:kern w:val="0"/>
      <w:sz w:val="36"/>
      <w:szCs w:val="36"/>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link w:val="16"/>
    <w:qFormat/>
    <w:uiPriority w:val="0"/>
    <w:pPr>
      <w:jc w:val="left"/>
    </w:pPr>
  </w:style>
  <w:style w:type="paragraph" w:styleId="5">
    <w:name w:val="Body Text"/>
    <w:basedOn w:val="1"/>
    <w:qFormat/>
    <w:uiPriority w:val="1"/>
    <w:rPr>
      <w:rFonts w:ascii="仿宋" w:hAnsi="仿宋" w:eastAsia="仿宋" w:cs="仿宋"/>
      <w:sz w:val="32"/>
      <w:szCs w:val="32"/>
      <w:lang w:val="zh-CN" w:bidi="zh-CN"/>
    </w:r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8">
    <w:name w:val="Normal (Web)"/>
    <w:basedOn w:val="1"/>
    <w:qFormat/>
    <w:uiPriority w:val="0"/>
    <w:rPr>
      <w:sz w:val="24"/>
    </w:rPr>
  </w:style>
  <w:style w:type="paragraph" w:styleId="9">
    <w:name w:val="annotation subject"/>
    <w:basedOn w:val="4"/>
    <w:next w:val="4"/>
    <w:link w:val="17"/>
    <w:qFormat/>
    <w:uiPriority w:val="0"/>
    <w:rPr>
      <w:b/>
      <w:bCs/>
    </w:rPr>
  </w:style>
  <w:style w:type="table" w:styleId="11">
    <w:name w:val="Table Grid"/>
    <w:basedOn w:val="1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Strong"/>
    <w:basedOn w:val="12"/>
    <w:qFormat/>
    <w:uiPriority w:val="0"/>
    <w:rPr>
      <w:b/>
    </w:rPr>
  </w:style>
  <w:style w:type="character" w:styleId="14">
    <w:name w:val="annotation reference"/>
    <w:basedOn w:val="12"/>
    <w:qFormat/>
    <w:uiPriority w:val="0"/>
    <w:rPr>
      <w:sz w:val="21"/>
      <w:szCs w:val="21"/>
    </w:rPr>
  </w:style>
  <w:style w:type="paragraph" w:customStyle="1" w:styleId="15">
    <w:name w:val="修订1"/>
    <w:hidden/>
    <w:semiHidden/>
    <w:qFormat/>
    <w:uiPriority w:val="99"/>
    <w:rPr>
      <w:rFonts w:asciiTheme="minorHAnsi" w:hAnsiTheme="minorHAnsi" w:eastAsiaTheme="minorEastAsia" w:cstheme="minorBidi"/>
      <w:kern w:val="2"/>
      <w:sz w:val="21"/>
      <w:szCs w:val="24"/>
      <w:lang w:val="en-US" w:eastAsia="zh-CN" w:bidi="ar-SA"/>
    </w:rPr>
  </w:style>
  <w:style w:type="character" w:customStyle="1" w:styleId="16">
    <w:name w:val="批注文字 字符"/>
    <w:basedOn w:val="12"/>
    <w:link w:val="4"/>
    <w:qFormat/>
    <w:uiPriority w:val="0"/>
    <w:rPr>
      <w:kern w:val="2"/>
      <w:sz w:val="21"/>
      <w:szCs w:val="24"/>
    </w:rPr>
  </w:style>
  <w:style w:type="character" w:customStyle="1" w:styleId="17">
    <w:name w:val="批注主题 字符"/>
    <w:basedOn w:val="16"/>
    <w:link w:val="9"/>
    <w:qFormat/>
    <w:uiPriority w:val="0"/>
    <w:rPr>
      <w:b/>
      <w:bCs/>
      <w:kern w:val="2"/>
      <w:sz w:val="21"/>
      <w:szCs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微软中国</Company>
  <Pages>10</Pages>
  <Words>4285</Words>
  <Characters>4488</Characters>
  <Lines>33</Lines>
  <Paragraphs>9</Paragraphs>
  <TotalTime>7</TotalTime>
  <ScaleCrop>false</ScaleCrop>
  <LinksUpToDate>false</LinksUpToDate>
  <CharactersWithSpaces>4560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2022-05-29T06:38:00Z</dcterms:created>
  <dc:creator>lenovo</dc:creator>
  <cp:lastModifiedBy>郭森森</cp:lastModifiedBy>
  <dcterms:modified xsi:type="dcterms:W3CDTF">2025-07-10T09:36:31Z</dcterms:modified>
  <cp:revision>39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220ED92E61094DB6A62DB7FD9340E17B_13</vt:lpwstr>
  </property>
  <property fmtid="{D5CDD505-2E9C-101B-9397-08002B2CF9AE}" pid="4" name="KSOTemplateDocerSaveRecord">
    <vt:lpwstr>eyJoZGlkIjoiY2RiMmE2YWMzNjM1OGQ2YjAyMWZiODMyZTJkZGE5MTQiLCJ1c2VySWQiOiIzNjk0NTYxOTIifQ==</vt:lpwstr>
  </property>
</Properties>
</file>