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档案室机器人目标检测（YOLOv8s）数据采集与处理方案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基于YOLOv8s源码数据输入规范，结合档案室机器人“抓取-运送-放置”全流程业务场景，聚焦档案摆放形态、环境特征及机器人作业视角，制定“场景全覆盖、数据可复用、流程可落地”的数据采集与处理方案，确保训练后的模型满足实际作业精度与实时性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一、方案核心目标与适配逻辑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功能适配</w:t>
      </w:r>
      <w:r>
        <w:rPr>
          <w:rFonts w:eastAsia="等线" w:ascii="Arial" w:cs="Arial" w:hAnsi="Arial"/>
          <w:sz w:val="22"/>
        </w:rPr>
        <w:t>：确保数据支撑YOLOv8s模型实现“档案精准识别+定位”，满足机器人抓取时的边界框误差≤5mm、运送时的目标跟踪稳定性≥95%、放置时的位置校验准确率≥98%。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迭代兼容</w:t>
      </w:r>
      <w:r>
        <w:rPr>
          <w:rFonts w:eastAsia="等线" w:ascii="Arial" w:cs="Arial" w:hAnsi="Arial"/>
          <w:sz w:val="22"/>
        </w:rPr>
        <w:t>：数据采集与标注兼顾当前基础检测需求，同时为后续叠加旋转检测（倾斜档案）预留扩展空间，避免重复返工。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效率优化</w:t>
      </w:r>
      <w:r>
        <w:rPr>
          <w:rFonts w:eastAsia="等线" w:ascii="Arial" w:cs="Arial" w:hAnsi="Arial"/>
          <w:sz w:val="22"/>
        </w:rPr>
        <w:t>：通过数据增强减少30%-50%真实样本采集量，结合YOLOv8s内置增强模块实现数据快速迭代。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与YOLOv8s源码的适配逻辑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YOLOv8s训练数据要求为“图像文件+对应标签文件（txt/xml）”，标签需包含目标类别、边界框坐标（归一化xywh格式）。本方案采集的图像尺寸、标注格式直接匹配源码</w:t>
      </w:r>
      <w:r>
        <w:rPr>
          <w:rFonts w:eastAsia="Consolas" w:ascii="Consolas" w:cs="Consolas" w:hAnsi="Consolas"/>
          <w:sz w:val="22"/>
          <w:shd w:fill="EFF0F1"/>
        </w:rPr>
        <w:t>ultralytics/data/dataset.py</w:t>
      </w:r>
      <w:r>
        <w:rPr>
          <w:rFonts w:eastAsia="等线" w:ascii="Arial" w:cs="Arial" w:hAnsi="Arial"/>
          <w:sz w:val="22"/>
        </w:rPr>
        <w:t>中的数据读取逻辑，处理后的数据集可直接通过</w:t>
      </w:r>
      <w:r>
        <w:rPr>
          <w:rFonts w:eastAsia="Consolas" w:ascii="Consolas" w:cs="Consolas" w:hAnsi="Consolas"/>
          <w:sz w:val="22"/>
          <w:shd w:fill="EFF0F1"/>
        </w:rPr>
        <w:t>data.yaml</w:t>
      </w:r>
      <w:r>
        <w:rPr>
          <w:rFonts w:eastAsia="等线" w:ascii="Arial" w:cs="Arial" w:hAnsi="Arial"/>
          <w:sz w:val="22"/>
        </w:rPr>
        <w:t>配置文件接入训练流程，无需修改源码核心逻辑。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关键适配点：YOLOv8s内置增强模块（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ultralytics/data/augment.py</w:t>
            </w:r>
            <w:r>
              <w:rPr>
                <w:rFonts w:eastAsia="等线" w:ascii="Arial" w:cs="Arial" w:hAnsi="Arial"/>
                <w:sz w:val="22"/>
              </w:rPr>
              <w:t>）支持边界框同步变换，本方案采集时的标注规范可直接适配后续增强处理，避免标注失效。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二、数据采集方案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采集核心原则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以“机器人作业视角为中心、真实场景为边界、分阶段采集”为原则，具体包括：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视角一致性：全程采用OAK-D Pro Wide模拟机器人作业视角（高度80-120cm，俯角30°-60°，与实际抓取时镜头角度一致）。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场景真实性：采集数据完全复刻档案室真实环境，不使用合成数据或通用数据集。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分阶迭代性：第一阶段采集“正放+简单堆叠”样本支撑基础检测；第二阶段补充“倾斜+复杂堆叠”样本适配旋转检测。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采集范围与场景定义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结合机器人“抓取-运送-放置”全流程，划分3大核心场景，覆盖12个子场景，具体如下表：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子场景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场景描述（匹配真实作业需求）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采集优先级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抓取场景（核心）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货架正放（单层）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档案垂直正放于货架单层，间距5-10cm，无遮挡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P0（最高）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货架正放（多层）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货架1-3层均有正放档案，不同层数光照差异（上层强光、下层弱光）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简单堆叠（2-3本）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货架或桌面有2-3本档案堆叠，顶部档案正放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倾斜摆放（15°-45°）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档案自然倾斜于货架，倾斜角度覆盖15°、30°、45°三个梯度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P2（后续补充）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复杂堆叠（4-5本）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多层堆叠且部分档案外露，存在边缘遮挡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P2（后续补充）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运送场景（辅助）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抓取后平视视角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机器人抓取档案后，镜头平视档案（模拟运送中目标跟踪场景）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轻微晃动视角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模拟机器人移动时的轻微抖动，镜头有±5°晃动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遮挡干扰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运送中档案被机器人机械臂部分遮挡（遮挡面积≤30%）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放置场景（校验）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目标放置点正放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档案即将放置于目标位置（如货架空位、工作台），正视角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放置点拥挤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目标放置点周围有其他档案，存在相邻遮挡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不同材质档案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覆盖纸质档案袋、塑料档案盒、牛皮纸档案等常见类型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极端光照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窗边强光反光、角落弱光（光照强度≤50lux）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采集设备与参数设置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统一设备参数确保数据一致性，适配OAK-D Pro Wide与YOLOv8s训练需求：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采集设备</w:t>
      </w:r>
      <w:r>
        <w:rPr>
          <w:rFonts w:eastAsia="等线" w:ascii="Arial" w:cs="Arial" w:hAnsi="Arial"/>
          <w:sz w:val="22"/>
        </w:rPr>
        <w:t>：OAK-D Pro Wide（与机器人部署设备一致，避免镜头参数差异导致模型泛化差）。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核心参数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分辨率：1280×720（平衡帧率与精度，YOLOv8s默认输入640×640，后续可通过源码自动缩放）。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帧率：15fps（模拟机器人作业时的实时采集频率）。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曝光：自动曝光（适配不同光照场景），ISO范围100-800（避免噪点过多）。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存储格式：图像为JPG格式（压缩比80%，兼顾质量与存储），视频为MP4格式（后续可抽帧补充样本）。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辅助工具</w:t>
      </w:r>
      <w:r>
        <w:rPr>
          <w:rFonts w:eastAsia="等线" w:ascii="Arial" w:cs="Arial" w:hAnsi="Arial"/>
          <w:sz w:val="22"/>
        </w:rPr>
        <w:t>：三脚架（固定视角高度与俯角）、卷尺（校准档案间距与尺寸）、补光灯（模拟极端光照场景）。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样本数量与采集规范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2.4.1 样本数量规划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采用“基础样本+增强样本”组合，减少真实采集量，具体数量如下：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真实样本数量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增强样本比例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等效样本总量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第一阶段（基础检测）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正放+简单堆叠+核心光照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300张（每子场景≥50张）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1:3（1张原始生成3张增强）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1200张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第二阶段（旋转检测）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倾斜+复杂堆叠+极端场景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200张（每子场景≥40张）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1:2（1张原始生成2张增强）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600张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注意：单张图像中目标数量控制为1-5个，避免过多目标导致标注误差；同一场景下需包含不同外观的档案（颜色、大小、厚度），提升模型泛化性。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2.4.2 采集操作规范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视角校准</w:t>
      </w:r>
      <w:r>
        <w:rPr>
          <w:rFonts w:eastAsia="等线" w:ascii="Arial" w:cs="Arial" w:hAnsi="Arial"/>
          <w:sz w:val="22"/>
        </w:rPr>
        <w:t>：每次采集前用三脚架固定OAK-D Pro Wide，通过卷尺确认镜头高度（如100cm）和俯角（如45°），记录于采集日志。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场景记录</w:t>
      </w:r>
      <w:r>
        <w:rPr>
          <w:rFonts w:eastAsia="等线" w:ascii="Arial" w:cs="Arial" w:hAnsi="Arial"/>
          <w:sz w:val="22"/>
        </w:rPr>
        <w:t>：每张样本命名格式为“场景编号_日期_光照_目标数量.jpg”，例如“shelf_01_20251116_normal_3.jpg”（shelf_01表示货架第一层正放场景）。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动态补充</w:t>
      </w:r>
      <w:r>
        <w:rPr>
          <w:rFonts w:eastAsia="等线" w:ascii="Arial" w:cs="Arial" w:hAnsi="Arial"/>
          <w:sz w:val="22"/>
        </w:rPr>
        <w:t>：采集过程中实时查看样本，若发现某类场景样本模糊或目标不清晰，立即重拍；每日采集后随机抽取10%样本检查质量。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三、数据处理方案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处理流程总览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数据处理遵循“预处理→标注→格式转换→增强→划分”的全流程，每一步均适配YOLOv8s源码要求，具体流程如下：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预处理：筛选有效样本，统一尺寸与质量。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标注：采用边界框标注，兼顾基础检测与后续旋转检测。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格式转换：将标注结果转为YOLOv8s支持的txt格式（归一化坐标）。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增强：结合YOLOv8s内置模块，分场景针对性增强。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划分：按比例拆分训练集、验证集、测试集。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数据预处理（适配源码输入要求）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预处理核心目标是统一数据质量，避免无效样本影响训练效果，具体步骤：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样本筛选</w:t>
      </w:r>
      <w:r>
        <w:rPr>
          <w:rFonts w:eastAsia="等线" w:ascii="Arial" w:cs="Arial" w:hAnsi="Arial"/>
          <w:sz w:val="22"/>
        </w:rPr>
        <w:t>：删除模糊（清晰度≤0.8，用OpenCV的laplacian算子计算）、过曝（灰度值≥240的像素占比≥30%）、欠曝（灰度值≤20的像素占比≥30%）的样本。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尺寸统一</w:t>
      </w:r>
      <w:r>
        <w:rPr>
          <w:rFonts w:eastAsia="等线" w:ascii="Arial" w:cs="Arial" w:hAnsi="Arial"/>
          <w:sz w:val="22"/>
        </w:rPr>
        <w:t>：无需手动缩放（YOLOv8s源码</w:t>
      </w:r>
      <w:r>
        <w:rPr>
          <w:rFonts w:eastAsia="Consolas" w:ascii="Consolas" w:cs="Consolas" w:hAnsi="Consolas"/>
          <w:sz w:val="22"/>
          <w:shd w:fill="EFF0F1"/>
        </w:rPr>
        <w:t>ultralytics/data/augment.py</w:t>
      </w:r>
      <w:r>
        <w:rPr>
          <w:rFonts w:eastAsia="等线" w:ascii="Arial" w:cs="Arial" w:hAnsi="Arial"/>
          <w:sz w:val="22"/>
        </w:rPr>
        <w:t>会自动将输入图像缩放至640×640），仅需确保原始图像分辨率为1280×720（比例与640×640一致，避免拉伸变形）。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噪声去除</w:t>
      </w:r>
      <w:r>
        <w:rPr>
          <w:rFonts w:eastAsia="等线" w:ascii="Arial" w:cs="Arial" w:hAnsi="Arial"/>
          <w:sz w:val="22"/>
        </w:rPr>
        <w:t>：对弱光场景样本，用OpenCV的高斯滤波（kernel=3×3）去除噪点，避免影响标注精度。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批量处理工具</w:t>
      </w:r>
      <w:r>
        <w:rPr>
          <w:rFonts w:eastAsia="等线" w:ascii="Arial" w:cs="Arial" w:hAnsi="Arial"/>
          <w:sz w:val="22"/>
        </w:rPr>
        <w:t>：用Python脚本批量执行筛选与去噪，核心代码示例（适配OAK-D Pro Wide输出格式）：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import cv2</w:t>
        <w:br/>
        <w:t>import os</w:t>
        <w:br/>
        <w:br/>
        <w:t>def preprocess_archive_data(input_dir, output_dir):</w:t>
        <w:br/>
        <w:t xml:space="preserve">    if not os.path.exists(output_dir):</w:t>
        <w:br/>
        <w:t xml:space="preserve">        os.makedirs(output_dir)</w:t>
        <w:br/>
        <w:t xml:space="preserve">    for img_name in os.listdir(input_dir):</w:t>
        <w:br/>
        <w:t xml:space="preserve">        if img_name.endswith(".jpg"):</w:t>
        <w:br/>
        <w:t xml:space="preserve">            img_path = os.path.join(input_dir, img_name)</w:t>
        <w:br/>
        <w:t xml:space="preserve">            img = cv2.imread(img_path)</w:t>
        <w:br/>
        <w:t xml:space="preserve">            # 清晰度检测</w:t>
        <w:br/>
        <w:t xml:space="preserve">            gray = cv2.cvtColor(img, cv2.COLOR_BGR2GRAY)</w:t>
        <w:br/>
        <w:t xml:space="preserve">            clarity = cv2.Laplacian(gray, cv2.CV_64F).var()</w:t>
        <w:br/>
        <w:t xml:space="preserve">            if clarity &lt; 0.8:</w:t>
        <w:br/>
        <w:t xml:space="preserve">                continue</w:t>
        <w:br/>
        <w:t xml:space="preserve">            # 高斯去噪</w:t>
        <w:br/>
        <w:t xml:space="preserve">            denoised_img = cv2.GaussianBlur(img, (3, 3), 0)</w:t>
        <w:br/>
        <w:t xml:space="preserve">            # 保存</w:t>
        <w:br/>
        <w:t xml:space="preserve">            cv2.imwrite(os.path.join(output_dir, img_name), denoised_img)</w:t>
        <w:br/>
        <w:br/>
        <w:t># 调用函数</w:t>
        <w:br/>
        <w:t>preprocess_archive_data("raw_data", "preprocessed_data")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数据标注（兼顾当前与未来需求）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3.3.1 标注工具与类别定义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标注工具</w:t>
      </w:r>
      <w:r>
        <w:rPr>
          <w:rFonts w:eastAsia="等线" w:ascii="Arial" w:cs="Arial" w:hAnsi="Arial"/>
          <w:sz w:val="22"/>
        </w:rPr>
        <w:t>：选用LabelImg（简单易用，支持YOLO格式直接导出）或Roboflow（支持批量标注与旋转边界框标注，适配后续旋转检测）。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类别定义</w:t>
      </w:r>
      <w:r>
        <w:rPr>
          <w:rFonts w:eastAsia="等线" w:ascii="Arial" w:cs="Arial" w:hAnsi="Arial"/>
          <w:sz w:val="22"/>
        </w:rPr>
        <w:t>：初期简化类别为“archive”（统一代表档案，降低标注复杂度）；若需细分类型，可扩展为“paper_archive”（纸质档案袋）、“plastic_archive”（塑料档案盒），类别ID分别为0、1（适配YOLOv8s的类别索引规则）。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3.3.2 标注规范（适配边界框同步增强）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基础检测标注</w:t>
      </w:r>
      <w:r>
        <w:rPr>
          <w:rFonts w:eastAsia="等线" w:ascii="Arial" w:cs="Arial" w:hAnsi="Arial"/>
          <w:sz w:val="22"/>
        </w:rPr>
        <w:t>：正放与简单堆叠档案标注轴对齐边界框，框选范围为档案边缘外扩2-3像素（避免漏框），确保边界框完全包裹目标。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旋转检测预留标注</w:t>
      </w:r>
      <w:r>
        <w:rPr>
          <w:rFonts w:eastAsia="等线" w:ascii="Arial" w:cs="Arial" w:hAnsi="Arial"/>
          <w:sz w:val="22"/>
        </w:rPr>
        <w:t>：倾斜档案标注旋转边界框（LabelImg需开启旋转标注模式，Roboflow直接支持），记录角度参数θ（范围0°-360°），标注时确保旋转框与档案实际倾斜角度一致。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标注质量校验</w:t>
      </w:r>
      <w:r>
        <w:rPr>
          <w:rFonts w:eastAsia="等线" w:ascii="Arial" w:cs="Arial" w:hAnsi="Arial"/>
          <w:sz w:val="22"/>
        </w:rPr>
        <w:t>：标注完成后，随机抽取20%样本进行校验，重点检查边界框漏标、错标、类别混淆问题，错误率需≤5%。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标注文件格式</w:t>
      </w:r>
      <w:r>
        <w:rPr>
          <w:rFonts w:eastAsia="等线" w:ascii="Arial" w:cs="Arial" w:hAnsi="Arial"/>
          <w:sz w:val="22"/>
        </w:rPr>
        <w:t>：直接导出为YOLO格式txt文件，每个目标占一行，格式为“类别ID 归一化x 归一化y 归一化w 归一化h [角度θ]”（角度θ为旋转检测预留参数，基础检测阶段可省略），文件命名与对应图像一致（如shelf_01_20251116_normal_3.txt）。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3.4 数据增强（结合YOLOv8s内置模块）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核心思路是“利用YOLOv8s原生增强能力+针对性场景配置”，避免手动增强导致的标注错位，具体方案：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3.4.1 增强策略分场景配置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根据档案场景特征，在训练时通过参数配置调用YOLOv8s内置增强模块，不同场景增强策略如下：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启用增强方式（对应源码参数）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参数配置（平衡效果与效率）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增强目的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正放档案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平移、缩放、翻转、光照调整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translate=0.1, scale=0.2, flipud=0.5, fliplr=0.5, hsv_v=0.3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覆盖不同位置、大小、光照的正放场景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倾斜档案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旋转、剪切（轻微）、光照调整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degrees=45, shear=0.05, hsv_h=0.015, hsv_s=0.7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扩展倾斜角度范围，提升模型对倾斜目标的识别能力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复杂堆叠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马赛克拼接、混合增强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mosaic=1.0, mixup=0.2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增强模型对遮挡、多目标场景的鲁棒性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实现方式：训练时通过命令行参数直接配置，无需修改源码，示例命令：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yolo detect train data=archive_data.yaml model=yolov8s.pt epochs=100 translate=0.1 scale=0.2 degrees=45 hsv_v=0.3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3.4.2 增强禁忌（避免破坏档案特征）</w:t>
      </w:r>
      <w:bookmarkEnd w:id="1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禁用极端扭曲增强（如shear&gt;0.1），避免档案形态失真。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旋转角度限制为0°-45°（超出真实场景范围的旋转样本无效）。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马赛克拼接仅用于复杂堆叠场景，正放场景禁用（避免生成非真实的堆叠效果）。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3.5 数据集划分与格式封装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3.5.1 数据集划分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按“7:2:1”比例划分训练集、验证集、测试集，确保各集场景分布一致（避免某一场景集中在单一集合），具体划分方式：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训练集（70%）：用于模型参数学习，包含所有场景的样本。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验证集（20%）：用于训练过程中参数调优，监测过拟合情况。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测试集（10%）：用于最终模型性能评估，选用未参与标注的全新场景样本（如不同货架、新类型档案）。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批量划分工具：用Python脚本按比例随机划分，核心代码示例：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shutil</w:t>
              <w:br/>
              <w:t>import random</w:t>
              <w:br/>
              <w:br/>
              <w:t>def split_dataset(input_dir, output_dir, train_ratio=0.7, val_ratio=0.2):</w:t>
              <w:br/>
              <w:t xml:space="preserve">    # 创建输出目录</w:t>
              <w:br/>
              <w:t xml:space="preserve">    for split in ["train", "val", "test"]:</w:t>
              <w:br/>
              <w:t xml:space="preserve">        img_dir = os.path.join(output_dir, split, "images")</w:t>
              <w:br/>
              <w:t xml:space="preserve">        lbl_dir = os.path.join(output_dir, split, "labels")</w:t>
              <w:br/>
              <w:t xml:space="preserve">        os.makedirs(img_dir, exist_ok=True)</w:t>
              <w:br/>
              <w:t xml:space="preserve">        os.makedirs(lbl_dir, exist_ok=True)</w:t>
              <w:br/>
              <w:t xml:space="preserve">    # 获取所有样本</w:t>
              <w:br/>
              <w:t xml:space="preserve">    img_files = [f for f in os.listdir(os.path.join(input_dir, "images")) if f.endswith(".jpg")]</w:t>
              <w:br/>
              <w:t xml:space="preserve">    random.shuffle(img_files)  # 随机打乱</w:t>
              <w:br/>
              <w:t xml:space="preserve">    # 划分索引</w:t>
              <w:br/>
              <w:t xml:space="preserve">    train_num = int(len(img_files) * train_ratio)</w:t>
              <w:br/>
              <w:t xml:space="preserve">    val_num = int(len(img_files) * val_ratio)</w:t>
              <w:br/>
              <w:t xml:space="preserve">    # 复制文件</w:t>
              <w:br/>
              <w:t xml:space="preserve">    for i, img_name in enumerate(img_files):</w:t>
              <w:br/>
              <w:t xml:space="preserve">        lbl_name = img_name.replace(".jpg", ".txt")</w:t>
              <w:br/>
              <w:t xml:space="preserve">        img_src = os.path.join(input_dir, "images", img_name)</w:t>
              <w:br/>
              <w:t xml:space="preserve">        lbl_src = os.path.join(input_dir, "labels", lbl_name)</w:t>
              <w:br/>
              <w:t xml:space="preserve">        if i &lt; train_num:</w:t>
              <w:br/>
              <w:t xml:space="preserve">            split = "train"</w:t>
              <w:br/>
              <w:t xml:space="preserve">        elif i &lt; train_num + val_num:</w:t>
              <w:br/>
              <w:t xml:space="preserve">            split = "val"</w:t>
              <w:br/>
              <w:t xml:space="preserve">        else:</w:t>
              <w:br/>
              <w:t xml:space="preserve">            split = "test"</w:t>
              <w:br/>
              <w:t xml:space="preserve">        shutil.copy(img_src, os.path.join(output_dir, split, "images", img_name))</w:t>
              <w:br/>
              <w:t xml:space="preserve">        shutil.copy(lbl_src, os.path.join(output_dir, split, "labels", lbl_name))</w:t>
              <w:br/>
              <w:br/>
              <w:t># 调用函数</w:t>
              <w:br/>
              <w:t>split_dataset("labeled_data", "archive_dataset")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3.5.2 格式封装（适配YOLOv8s配置文件）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</w:t>
      </w:r>
      <w:r>
        <w:rPr>
          <w:rFonts w:eastAsia="Consolas" w:ascii="Consolas" w:cs="Consolas" w:hAnsi="Consolas"/>
          <w:sz w:val="22"/>
          <w:shd w:fill="EFF0F1"/>
        </w:rPr>
        <w:t>archive_data.yaml</w:t>
      </w:r>
      <w:r>
        <w:rPr>
          <w:rFonts w:eastAsia="等线" w:ascii="Arial" w:cs="Arial" w:hAnsi="Arial"/>
          <w:sz w:val="22"/>
        </w:rPr>
        <w:t>配置文件，指定数据集路径、类别数与类别名称，源码训练时直接调用该文件，配置内容示例：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path: ./archive_dataset  # 数据集根路径</w:t>
              <w:br/>
              <w:t>train: train/images      # 训练集图像路径</w:t>
              <w:br/>
              <w:t>val: val/images          # 验证集图像路径</w:t>
              <w:br/>
              <w:t>test: test/images        # 测试集图像路径</w:t>
              <w:br/>
              <w:br/>
              <w:t>nc: 1  # 类别数（若细分则改为2）</w:t>
              <w:br/>
              <w:t>names: ['archive']  # 类别名称（细分时改为['paper_archive', 'plastic_archive']）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四、质量保障与迭代优化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 数据质量评估指标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通过以下指标确保数据质量，评估不达标时需返回对应环节返工：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样本有效性</w:t>
      </w:r>
      <w:r>
        <w:rPr>
          <w:rFonts w:eastAsia="等线" w:ascii="Arial" w:cs="Arial" w:hAnsi="Arial"/>
          <w:sz w:val="22"/>
        </w:rPr>
        <w:t>：有效样本占比≥95%（无效样本为模糊、过曝、欠曝样本）。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标注准确率</w:t>
      </w:r>
      <w:r>
        <w:rPr>
          <w:rFonts w:eastAsia="等线" w:ascii="Arial" w:cs="Arial" w:hAnsi="Arial"/>
          <w:sz w:val="22"/>
        </w:rPr>
        <w:t>：标注错误率≤5%（错误包括漏标、错标、边界框偏移）。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场景覆盖率</w:t>
      </w:r>
      <w:r>
        <w:rPr>
          <w:rFonts w:eastAsia="等线" w:ascii="Arial" w:cs="Arial" w:hAnsi="Arial"/>
          <w:sz w:val="22"/>
        </w:rPr>
        <w:t>：核心场景（P0优先级）覆盖率100%，无遗漏。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增强有效性</w:t>
      </w:r>
      <w:r>
        <w:rPr>
          <w:rFonts w:eastAsia="等线" w:ascii="Arial" w:cs="Arial" w:hAnsi="Arial"/>
          <w:sz w:val="22"/>
        </w:rPr>
        <w:t>：增强后样本通过可视化检查，无目标变形、标注错位问题。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4.2 迭代优化策略</w:t>
      </w:r>
      <w:bookmarkEnd w:id="2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模型反馈迭代</w:t>
      </w:r>
      <w:r>
        <w:rPr>
          <w:rFonts w:eastAsia="等线" w:ascii="Arial" w:cs="Arial" w:hAnsi="Arial"/>
          <w:sz w:val="22"/>
        </w:rPr>
        <w:t>：训练后通过验证集分析模型错误案例（如漏检倾斜档案、误检杂物），针对性补充对应场景样本。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场景扩展迭代</w:t>
      </w:r>
      <w:r>
        <w:rPr>
          <w:rFonts w:eastAsia="等线" w:ascii="Arial" w:cs="Arial" w:hAnsi="Arial"/>
          <w:sz w:val="22"/>
        </w:rPr>
        <w:t>：当档案室新增货架、档案类型或机器人作业范围调整时，及时采集新增场景样本，更新数据集。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数据版本管理</w:t>
      </w:r>
      <w:r>
        <w:rPr>
          <w:rFonts w:eastAsia="等线" w:ascii="Arial" w:cs="Arial" w:hAnsi="Arial"/>
          <w:sz w:val="22"/>
        </w:rPr>
        <w:t>：为每个阶段的数据集建立版本（如V1.0为基础检测数据集，V2.0为叠加旋转检测的数据集），记录版本变更内容（新增场景、样本数量），便于回溯。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五、工具与资源清单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具体工具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采集设备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OAK-D Pro Wide、三脚架、卷尺、补光灯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标准化采集样本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标注工具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LabelImg、Roboflow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边界框标注与格式导出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处理工具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Python（OpenCV、Ultralytics库）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预处理、增强、划分数据集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质量评估工具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OpenCV（清晰度检测）、人工校验清单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评估样本与标注质量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通过标准化的采集与处理流程，确保数据完全适配YOLOv8s训练需求，同时兼顾机器人全流程作业场景，为模型高精度识别与定位奠定基础。实施过程中可根据实际档案室环境微调场景参数，确保数据的真实性与有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9541">
    <w:lvl>
      <w:numFmt w:val="bullet"/>
      <w:suff w:val="tab"/>
      <w:lvlText w:val="•"/>
      <w:rPr>
        <w:color w:val="3370ff"/>
      </w:rPr>
    </w:lvl>
  </w:abstractNum>
  <w:abstractNum w:abstractNumId="779542">
    <w:lvl>
      <w:numFmt w:val="bullet"/>
      <w:suff w:val="tab"/>
      <w:lvlText w:val="•"/>
      <w:rPr>
        <w:color w:val="3370ff"/>
      </w:rPr>
    </w:lvl>
  </w:abstractNum>
  <w:abstractNum w:abstractNumId="779543">
    <w:lvl>
      <w:numFmt w:val="bullet"/>
      <w:suff w:val="tab"/>
      <w:lvlText w:val="•"/>
      <w:rPr>
        <w:color w:val="3370ff"/>
      </w:rPr>
    </w:lvl>
  </w:abstractNum>
  <w:abstractNum w:abstractNumId="779544">
    <w:lvl>
      <w:numFmt w:val="bullet"/>
      <w:suff w:val="tab"/>
      <w:lvlText w:val="•"/>
      <w:rPr>
        <w:color w:val="3370ff"/>
      </w:rPr>
    </w:lvl>
  </w:abstractNum>
  <w:abstractNum w:abstractNumId="779545">
    <w:lvl>
      <w:numFmt w:val="bullet"/>
      <w:suff w:val="tab"/>
      <w:lvlText w:val="•"/>
      <w:rPr>
        <w:color w:val="3370ff"/>
      </w:rPr>
    </w:lvl>
  </w:abstractNum>
  <w:abstractNum w:abstractNumId="779546">
    <w:lvl>
      <w:numFmt w:val="bullet"/>
      <w:suff w:val="tab"/>
      <w:lvlText w:val="•"/>
      <w:rPr>
        <w:color w:val="3370ff"/>
      </w:rPr>
    </w:lvl>
  </w:abstractNum>
  <w:abstractNum w:abstractNumId="779547">
    <w:lvl>
      <w:numFmt w:val="bullet"/>
      <w:suff w:val="tab"/>
      <w:lvlText w:val="•"/>
      <w:rPr>
        <w:color w:val="3370ff"/>
      </w:rPr>
    </w:lvl>
  </w:abstractNum>
  <w:abstractNum w:abstractNumId="779548">
    <w:lvl>
      <w:numFmt w:val="bullet"/>
      <w:suff w:val="tab"/>
      <w:lvlText w:val="•"/>
      <w:rPr>
        <w:color w:val="3370ff"/>
      </w:rPr>
    </w:lvl>
  </w:abstractNum>
  <w:abstractNum w:abstractNumId="779549">
    <w:lvl>
      <w:numFmt w:val="bullet"/>
      <w:suff w:val="tab"/>
      <w:lvlText w:val="•"/>
      <w:rPr>
        <w:color w:val="3370ff"/>
      </w:rPr>
    </w:lvl>
  </w:abstractNum>
  <w:abstractNum w:abstractNumId="779550">
    <w:lvl>
      <w:numFmt w:val="bullet"/>
      <w:suff w:val="tab"/>
      <w:lvlText w:val="•"/>
      <w:rPr>
        <w:color w:val="3370ff"/>
      </w:rPr>
    </w:lvl>
  </w:abstractNum>
  <w:abstractNum w:abstractNumId="779551">
    <w:lvl>
      <w:numFmt w:val="bullet"/>
      <w:suff w:val="tab"/>
      <w:lvlText w:val="•"/>
      <w:rPr>
        <w:color w:val="3370ff"/>
      </w:rPr>
    </w:lvl>
  </w:abstractNum>
  <w:abstractNum w:abstractNumId="779552">
    <w:lvl>
      <w:start w:val="1"/>
      <w:numFmt w:val="decimal"/>
      <w:suff w:val="tab"/>
      <w:lvlText w:val="%1."/>
      <w:rPr>
        <w:color w:val="3370ff"/>
      </w:rPr>
    </w:lvl>
  </w:abstractNum>
  <w:abstractNum w:abstractNumId="779553">
    <w:lvl>
      <w:start w:val="2"/>
      <w:numFmt w:val="decimal"/>
      <w:suff w:val="tab"/>
      <w:lvlText w:val="%1."/>
      <w:rPr>
        <w:color w:val="3370ff"/>
      </w:rPr>
    </w:lvl>
  </w:abstractNum>
  <w:abstractNum w:abstractNumId="779554">
    <w:lvl>
      <w:start w:val="3"/>
      <w:numFmt w:val="decimal"/>
      <w:suff w:val="tab"/>
      <w:lvlText w:val="%1."/>
      <w:rPr>
        <w:color w:val="3370ff"/>
      </w:rPr>
    </w:lvl>
  </w:abstractNum>
  <w:abstractNum w:abstractNumId="779555">
    <w:lvl>
      <w:start w:val="1"/>
      <w:numFmt w:val="decimal"/>
      <w:suff w:val="tab"/>
      <w:lvlText w:val="%1."/>
      <w:rPr>
        <w:color w:val="3370ff"/>
      </w:rPr>
    </w:lvl>
  </w:abstractNum>
  <w:abstractNum w:abstractNumId="779556">
    <w:lvl>
      <w:start w:val="2"/>
      <w:numFmt w:val="decimal"/>
      <w:suff w:val="tab"/>
      <w:lvlText w:val="%1."/>
      <w:rPr>
        <w:color w:val="3370ff"/>
      </w:rPr>
    </w:lvl>
  </w:abstractNum>
  <w:abstractNum w:abstractNumId="779557">
    <w:lvl>
      <w:start w:val="3"/>
      <w:numFmt w:val="decimal"/>
      <w:suff w:val="tab"/>
      <w:lvlText w:val="%1."/>
      <w:rPr>
        <w:color w:val="3370ff"/>
      </w:rPr>
    </w:lvl>
  </w:abstractNum>
  <w:abstractNum w:abstractNumId="779558">
    <w:lvl>
      <w:start w:val="4"/>
      <w:numFmt w:val="decimal"/>
      <w:suff w:val="tab"/>
      <w:lvlText w:val="%1."/>
      <w:rPr>
        <w:color w:val="3370ff"/>
      </w:rPr>
    </w:lvl>
  </w:abstractNum>
  <w:abstractNum w:abstractNumId="779559">
    <w:lvl>
      <w:start w:val="5"/>
      <w:numFmt w:val="decimal"/>
      <w:suff w:val="tab"/>
      <w:lvlText w:val="%1."/>
      <w:rPr>
        <w:color w:val="3370ff"/>
      </w:rPr>
    </w:lvl>
  </w:abstractNum>
  <w:abstractNum w:abstractNumId="779560">
    <w:lvl>
      <w:numFmt w:val="bullet"/>
      <w:suff w:val="tab"/>
      <w:lvlText w:val="•"/>
      <w:rPr>
        <w:color w:val="3370ff"/>
      </w:rPr>
    </w:lvl>
  </w:abstractNum>
  <w:abstractNum w:abstractNumId="779561">
    <w:lvl>
      <w:numFmt w:val="bullet"/>
      <w:suff w:val="tab"/>
      <w:lvlText w:val="•"/>
      <w:rPr>
        <w:color w:val="3370ff"/>
      </w:rPr>
    </w:lvl>
  </w:abstractNum>
  <w:abstractNum w:abstractNumId="779562">
    <w:lvl>
      <w:numFmt w:val="bullet"/>
      <w:suff w:val="tab"/>
      <w:lvlText w:val="•"/>
      <w:rPr>
        <w:color w:val="3370ff"/>
      </w:rPr>
    </w:lvl>
  </w:abstractNum>
  <w:abstractNum w:abstractNumId="779563">
    <w:lvl>
      <w:numFmt w:val="bullet"/>
      <w:suff w:val="tab"/>
      <w:lvlText w:val="•"/>
      <w:rPr>
        <w:color w:val="3370ff"/>
      </w:rPr>
    </w:lvl>
  </w:abstractNum>
  <w:abstractNum w:abstractNumId="779564">
    <w:lvl>
      <w:numFmt w:val="bullet"/>
      <w:suff w:val="tab"/>
      <w:lvlText w:val="•"/>
      <w:rPr>
        <w:color w:val="3370ff"/>
      </w:rPr>
    </w:lvl>
  </w:abstractNum>
  <w:abstractNum w:abstractNumId="779565">
    <w:lvl>
      <w:numFmt w:val="bullet"/>
      <w:suff w:val="tab"/>
      <w:lvlText w:val="•"/>
      <w:rPr>
        <w:color w:val="3370ff"/>
      </w:rPr>
    </w:lvl>
  </w:abstractNum>
  <w:abstractNum w:abstractNumId="779566">
    <w:lvl>
      <w:numFmt w:val="bullet"/>
      <w:suff w:val="tab"/>
      <w:lvlText w:val="•"/>
      <w:rPr>
        <w:color w:val="3370ff"/>
      </w:rPr>
    </w:lvl>
  </w:abstractNum>
  <w:abstractNum w:abstractNumId="779567">
    <w:lvl>
      <w:numFmt w:val="bullet"/>
      <w:suff w:val="tab"/>
      <w:lvlText w:val="•"/>
      <w:rPr>
        <w:color w:val="3370ff"/>
      </w:rPr>
    </w:lvl>
  </w:abstractNum>
  <w:abstractNum w:abstractNumId="779568">
    <w:lvl>
      <w:numFmt w:val="bullet"/>
      <w:suff w:val="tab"/>
      <w:lvlText w:val="•"/>
      <w:rPr>
        <w:color w:val="3370ff"/>
      </w:rPr>
    </w:lvl>
  </w:abstractNum>
  <w:abstractNum w:abstractNumId="779569">
    <w:lvl>
      <w:numFmt w:val="bullet"/>
      <w:suff w:val="tab"/>
      <w:lvlText w:val="•"/>
      <w:rPr>
        <w:color w:val="3370ff"/>
      </w:rPr>
    </w:lvl>
  </w:abstractNum>
  <w:abstractNum w:abstractNumId="779570">
    <w:lvl>
      <w:numFmt w:val="bullet"/>
      <w:suff w:val="tab"/>
      <w:lvlText w:val="•"/>
      <w:rPr>
        <w:color w:val="3370ff"/>
      </w:rPr>
    </w:lvl>
  </w:abstractNum>
  <w:abstractNum w:abstractNumId="779571">
    <w:lvl>
      <w:numFmt w:val="bullet"/>
      <w:suff w:val="tab"/>
      <w:lvlText w:val="•"/>
      <w:rPr>
        <w:color w:val="3370ff"/>
      </w:rPr>
    </w:lvl>
  </w:abstractNum>
  <w:abstractNum w:abstractNumId="779572">
    <w:lvl>
      <w:numFmt w:val="bullet"/>
      <w:suff w:val="tab"/>
      <w:lvlText w:val="•"/>
      <w:rPr>
        <w:color w:val="3370ff"/>
      </w:rPr>
    </w:lvl>
  </w:abstractNum>
  <w:abstractNum w:abstractNumId="779573">
    <w:lvl>
      <w:numFmt w:val="bullet"/>
      <w:suff w:val="tab"/>
      <w:lvlText w:val="•"/>
      <w:rPr>
        <w:color w:val="3370ff"/>
      </w:rPr>
    </w:lvl>
  </w:abstractNum>
  <w:abstractNum w:abstractNumId="779574">
    <w:lvl>
      <w:numFmt w:val="bullet"/>
      <w:suff w:val="tab"/>
      <w:lvlText w:val="•"/>
      <w:rPr>
        <w:color w:val="3370ff"/>
      </w:rPr>
    </w:lvl>
  </w:abstractNum>
  <w:abstractNum w:abstractNumId="779575">
    <w:lvl>
      <w:numFmt w:val="bullet"/>
      <w:suff w:val="tab"/>
      <w:lvlText w:val="•"/>
      <w:rPr>
        <w:color w:val="3370ff"/>
      </w:rPr>
    </w:lvl>
  </w:abstractNum>
  <w:abstractNum w:abstractNumId="779576">
    <w:lvl>
      <w:numFmt w:val="bullet"/>
      <w:suff w:val="tab"/>
      <w:lvlText w:val="•"/>
      <w:rPr>
        <w:color w:val="3370ff"/>
      </w:rPr>
    </w:lvl>
  </w:abstractNum>
  <w:abstractNum w:abstractNumId="779577">
    <w:lvl>
      <w:numFmt w:val="bullet"/>
      <w:suff w:val="tab"/>
      <w:lvlText w:val="•"/>
      <w:rPr>
        <w:color w:val="3370ff"/>
      </w:rPr>
    </w:lvl>
  </w:abstractNum>
  <w:abstractNum w:abstractNumId="779578">
    <w:lvl>
      <w:numFmt w:val="bullet"/>
      <w:suff w:val="tab"/>
      <w:lvlText w:val="•"/>
      <w:rPr>
        <w:color w:val="3370ff"/>
      </w:rPr>
    </w:lvl>
  </w:abstractNum>
  <w:abstractNum w:abstractNumId="779579">
    <w:lvl>
      <w:numFmt w:val="bullet"/>
      <w:suff w:val="tab"/>
      <w:lvlText w:val="•"/>
      <w:rPr>
        <w:color w:val="3370ff"/>
      </w:rPr>
    </w:lvl>
  </w:abstractNum>
  <w:abstractNum w:abstractNumId="779580">
    <w:lvl>
      <w:start w:val="1"/>
      <w:numFmt w:val="decimal"/>
      <w:suff w:val="tab"/>
      <w:lvlText w:val="%1."/>
      <w:rPr>
        <w:color w:val="3370ff"/>
      </w:rPr>
    </w:lvl>
  </w:abstractNum>
  <w:abstractNum w:abstractNumId="779581">
    <w:lvl>
      <w:start w:val="2"/>
      <w:numFmt w:val="decimal"/>
      <w:suff w:val="tab"/>
      <w:lvlText w:val="%1."/>
      <w:rPr>
        <w:color w:val="3370ff"/>
      </w:rPr>
    </w:lvl>
  </w:abstractNum>
  <w:abstractNum w:abstractNumId="77958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79541"/>
  </w:num>
  <w:num w:numId="2">
    <w:abstractNumId w:val="779542"/>
  </w:num>
  <w:num w:numId="3">
    <w:abstractNumId w:val="779543"/>
  </w:num>
  <w:num w:numId="4">
    <w:abstractNumId w:val="779544"/>
  </w:num>
  <w:num w:numId="5">
    <w:abstractNumId w:val="779545"/>
  </w:num>
  <w:num w:numId="6">
    <w:abstractNumId w:val="779546"/>
  </w:num>
  <w:num w:numId="7">
    <w:abstractNumId w:val="779547"/>
  </w:num>
  <w:num w:numId="8">
    <w:abstractNumId w:val="779548"/>
  </w:num>
  <w:num w:numId="9">
    <w:abstractNumId w:val="779549"/>
  </w:num>
  <w:num w:numId="10">
    <w:abstractNumId w:val="779550"/>
  </w:num>
  <w:num w:numId="11">
    <w:abstractNumId w:val="779551"/>
  </w:num>
  <w:num w:numId="12">
    <w:abstractNumId w:val="779552"/>
  </w:num>
  <w:num w:numId="13">
    <w:abstractNumId w:val="779553"/>
  </w:num>
  <w:num w:numId="14">
    <w:abstractNumId w:val="779554"/>
  </w:num>
  <w:num w:numId="15">
    <w:abstractNumId w:val="779555"/>
  </w:num>
  <w:num w:numId="16">
    <w:abstractNumId w:val="779556"/>
  </w:num>
  <w:num w:numId="17">
    <w:abstractNumId w:val="779557"/>
  </w:num>
  <w:num w:numId="18">
    <w:abstractNumId w:val="779558"/>
  </w:num>
  <w:num w:numId="19">
    <w:abstractNumId w:val="779559"/>
  </w:num>
  <w:num w:numId="20">
    <w:abstractNumId w:val="779560"/>
  </w:num>
  <w:num w:numId="21">
    <w:abstractNumId w:val="779561"/>
  </w:num>
  <w:num w:numId="22">
    <w:abstractNumId w:val="779562"/>
  </w:num>
  <w:num w:numId="23">
    <w:abstractNumId w:val="779563"/>
  </w:num>
  <w:num w:numId="24">
    <w:abstractNumId w:val="779564"/>
  </w:num>
  <w:num w:numId="25">
    <w:abstractNumId w:val="779565"/>
  </w:num>
  <w:num w:numId="26">
    <w:abstractNumId w:val="779566"/>
  </w:num>
  <w:num w:numId="27">
    <w:abstractNumId w:val="779567"/>
  </w:num>
  <w:num w:numId="28">
    <w:abstractNumId w:val="779568"/>
  </w:num>
  <w:num w:numId="29">
    <w:abstractNumId w:val="779569"/>
  </w:num>
  <w:num w:numId="30">
    <w:abstractNumId w:val="779570"/>
  </w:num>
  <w:num w:numId="31">
    <w:abstractNumId w:val="779571"/>
  </w:num>
  <w:num w:numId="32">
    <w:abstractNumId w:val="779572"/>
  </w:num>
  <w:num w:numId="33">
    <w:abstractNumId w:val="779573"/>
  </w:num>
  <w:num w:numId="34">
    <w:abstractNumId w:val="779574"/>
  </w:num>
  <w:num w:numId="35">
    <w:abstractNumId w:val="779575"/>
  </w:num>
  <w:num w:numId="36">
    <w:abstractNumId w:val="779576"/>
  </w:num>
  <w:num w:numId="37">
    <w:abstractNumId w:val="779577"/>
  </w:num>
  <w:num w:numId="38">
    <w:abstractNumId w:val="779578"/>
  </w:num>
  <w:num w:numId="39">
    <w:abstractNumId w:val="779579"/>
  </w:num>
  <w:num w:numId="40">
    <w:abstractNumId w:val="779580"/>
  </w:num>
  <w:num w:numId="41">
    <w:abstractNumId w:val="779581"/>
  </w:num>
  <w:num w:numId="42">
    <w:abstractNumId w:val="779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2025-11-16T11:38:20Z</dcterms:created>
  <dc:creator>Apache POI</dc:creator>
</cp:coreProperties>
</file>