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医院计费系统升级计划说明</w:t>
      </w:r>
    </w:p>
    <w:p>
      <w:pPr>
        <w:spacing w:before="120" w:after="240"/>
        <w:ind w:left="283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面向业务方 | 编制日期：2026年7月10日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一、项目背景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医院计费系统用于处理各医院灭菌发货表的对账与计费校正。随着合作医院增多、产品种类和计费规则日益复杂，原先分散在系统各处的客户信息、产品规则难以统一维护，也存在「界面显示与实际计费不一致」的风险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本次升级的核心方向是：</w:t>
      </w:r>
      <w:r>
        <w:rPr>
          <w:rFonts w:ascii="微软雅黑" w:hAnsi="微软雅黑" w:eastAsia="微软雅黑"/>
          <w:b/>
          <w:i w:val="0"/>
          <w:sz w:val="22"/>
        </w:rPr>
        <w:t>把客户、产品、计费规则集中管理，让业务人员可在界面上维护，减少依赖技术人员改代码。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二、本次升级目标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建立统一的</w:t>
      </w:r>
      <w:r>
        <w:rPr>
          <w:rFonts w:ascii="微软雅黑" w:hAnsi="微软雅黑" w:eastAsia="微软雅黑"/>
          <w:b/>
          <w:i w:val="0"/>
          <w:sz w:val="22"/>
        </w:rPr>
        <w:t>客户（医院）档案</w:t>
      </w:r>
      <w:r>
        <w:rPr>
          <w:rFonts w:ascii="微软雅黑" w:hAnsi="微软雅黑" w:eastAsia="微软雅黑"/>
          <w:b w:val="0"/>
          <w:i w:val="0"/>
          <w:sz w:val="22"/>
        </w:rPr>
        <w:t>，支持别名识别与折扣设置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建立</w:t>
      </w:r>
      <w:r>
        <w:rPr>
          <w:rFonts w:ascii="微软雅黑" w:hAnsi="微软雅黑" w:eastAsia="微软雅黑"/>
          <w:b/>
          <w:i w:val="0"/>
          <w:sz w:val="22"/>
        </w:rPr>
        <w:t>产品分类与产品目录</w:t>
      </w:r>
      <w:r>
        <w:rPr>
          <w:rFonts w:ascii="微软雅黑" w:hAnsi="微软雅黑" w:eastAsia="微软雅黑"/>
          <w:b w:val="0"/>
          <w:i w:val="0"/>
          <w:sz w:val="22"/>
        </w:rPr>
        <w:t>，按业务类型区分不同计费方式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为产品配置</w:t>
      </w:r>
      <w:r>
        <w:rPr>
          <w:rFonts w:ascii="微软雅黑" w:hAnsi="微软雅黑" w:eastAsia="微软雅黑"/>
          <w:b/>
          <w:i w:val="0"/>
          <w:sz w:val="22"/>
        </w:rPr>
        <w:t>结构化匹配与计价规则</w:t>
      </w:r>
      <w:r>
        <w:rPr>
          <w:rFonts w:ascii="微软雅黑" w:hAnsi="微软雅黑" w:eastAsia="微软雅黑"/>
          <w:b w:val="0"/>
          <w:i w:val="0"/>
          <w:sz w:val="22"/>
        </w:rPr>
        <w:t>，逐步替代原先隐式、分散的规则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优化系统菜单与操作入口，主数据管理更清晰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提升系统</w:t>
      </w:r>
      <w:r>
        <w:rPr>
          <w:rFonts w:ascii="微软雅黑" w:hAnsi="微软雅黑" w:eastAsia="微软雅黑"/>
          <w:b/>
          <w:i w:val="0"/>
          <w:sz w:val="22"/>
        </w:rPr>
        <w:t>部署便捷性与运行稳定性</w:t>
      </w:r>
      <w:r>
        <w:rPr>
          <w:rFonts w:ascii="微软雅黑" w:hAnsi="微软雅黑" w:eastAsia="微软雅黑"/>
          <w:b w:val="0"/>
          <w:i w:val="0"/>
          <w:sz w:val="22"/>
        </w:rPr>
        <w:t>，保障数据安全持久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2"/>
        </w:rPr>
        <w:t>预计完成时间：2026年7月13日 晚上 10:00 前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三、升级功能清单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3120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功能模块</w:t>
            </w:r>
          </w:p>
        </w:tc>
        <w:tc>
          <w:tcPr>
            <w:tcW w:type="dxa" w:w="3120"/>
            <w:shd w:fill="1F4E79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业务说明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客户（医院）信息管理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统一维护各合作医院的基本资料；支持维护医院别名（如发货表中简称、括号写法不同），便于系统自动识别；可设置客户级折扣系数及封顶等特殊计费策略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产品分类管理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按小件、敷料、高温纸塑、低温纸塑等业务类型划分产品分类；支持新增、删除分类；分类决定后续采用何种计价方式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产品管理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维护产品名称、关键词及匹配规则；支持「精确名称」「包含关键词」等多种识别方式；可预览某包名是否能正确匹配到对应产品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系统界面优化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新增「主数据」菜单，集中入口：客户管理、产品分类、产品管理；与对账作业区分，查找功能更直观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部署与稳定性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系统部署流程简化，升级更顺畅；业务数据持久保存，重启后数据不丢失；运行环境更稳定可靠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四、升级后您能获得什么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客户资料一处维护</w:t>
      </w:r>
      <w:r>
        <w:rPr>
          <w:rFonts w:ascii="微软雅黑" w:hAnsi="微软雅黑" w:eastAsia="微软雅黑"/>
          <w:b w:val="0"/>
          <w:i w:val="0"/>
          <w:sz w:val="22"/>
        </w:rPr>
        <w:t>：新增或修改医院别名、折扣，无需再口头告知技术人员改系统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产品规则可见可改</w:t>
      </w:r>
      <w:r>
        <w:rPr>
          <w:rFonts w:ascii="微软雅黑" w:hAnsi="微软雅黑" w:eastAsia="微软雅黑"/>
          <w:b w:val="0"/>
          <w:i w:val="0"/>
          <w:sz w:val="22"/>
        </w:rPr>
        <w:t>：常见产品（如洁牙机尖、克氏针、空心钉等）可在界面查看和维护匹配规则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减少计费偏差</w:t>
      </w:r>
      <w:r>
        <w:rPr>
          <w:rFonts w:ascii="微软雅黑" w:hAnsi="微软雅黑" w:eastAsia="微软雅黑"/>
          <w:b w:val="0"/>
          <w:i w:val="0"/>
          <w:sz w:val="22"/>
        </w:rPr>
        <w:t>：界面展示的规则与后台实际使用的规则逐步对齐，降低「看着是一套、算出来是另一套」的风险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上手更快</w:t>
      </w:r>
      <w:r>
        <w:rPr>
          <w:rFonts w:ascii="微软雅黑" w:hAnsi="微软雅黑" w:eastAsia="微软雅黑"/>
          <w:b w:val="0"/>
          <w:i w:val="0"/>
          <w:sz w:val="22"/>
        </w:rPr>
        <w:t>：主数据与对账作业分开展示，新同事也能快速找到对应功能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运维更省心</w:t>
      </w:r>
      <w:r>
        <w:rPr>
          <w:rFonts w:ascii="微软雅黑" w:hAnsi="微软雅黑" w:eastAsia="微软雅黑"/>
          <w:b w:val="0"/>
          <w:i w:val="0"/>
          <w:sz w:val="22"/>
        </w:rPr>
        <w:t>：系统升级、日常重启对业务数据影响更小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五、分阶段说明</w:t>
      </w:r>
    </w:p>
    <w:p>
      <w:pPr>
        <w:pStyle w:val="Heading2"/>
      </w:pPr>
      <w:r>
        <w:t>已完成（近期迭代）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客户管理：已导入约 18 家合作医院种子数据，支持增删改、别名与折扣维护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产品分类：已建立业务分类体系，支持分类的新增与删除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产品管理：已支持结构化匹配规则配置与匹配预览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界面：「主数据」菜单及上述三个管理页面已上线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部署：部署流程与数据持久化能力已改进</w:t>
      </w:r>
    </w:p>
    <w:p>
      <w:pPr>
        <w:pStyle w:val="Heading2"/>
      </w:pPr>
      <w:r>
        <w:t>本次交付（截至 7 月 13 日 22:00）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上述功能在正式/验收环境中可用、稳定运行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种子数据完整，界面操作流畅，满足日常主数据维护需求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部署与稳定性改进落地，可正常完成系统升级</w:t>
      </w:r>
    </w:p>
    <w:p>
      <w:pPr>
        <w:pStyle w:val="Heading2"/>
      </w:pPr>
      <w:r>
        <w:t>后续规划（简要）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计费规则全面配置化</w:t>
      </w:r>
      <w:r>
        <w:rPr>
          <w:rFonts w:ascii="微软雅黑" w:hAnsi="微软雅黑" w:eastAsia="微软雅黑"/>
          <w:b w:val="0"/>
          <w:i w:val="0"/>
          <w:sz w:val="22"/>
        </w:rPr>
        <w:t>：将目前仍写在系统内部的特殊计价规则（固定单价、小件折算、加收费用等）全部迁移到可配置界面，实现「所见即所算」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2"/>
        </w:rPr>
        <w:t>对账流程对接新主数据</w:t>
      </w:r>
      <w:r>
        <w:rPr>
          <w:rFonts w:ascii="微软雅黑" w:hAnsi="微软雅黑" w:eastAsia="微软雅黑"/>
          <w:b w:val="0"/>
          <w:i w:val="0"/>
          <w:sz w:val="22"/>
        </w:rPr>
        <w:t>：上传发货表时自动识别对应客户，对账结果与客户档案、产品规则完整关联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六、交付与验收说明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升级完成后，建议按以下步骤确认：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i w:val="0"/>
          <w:sz w:val="22"/>
        </w:rPr>
        <w:t>登录系统</w:t>
      </w:r>
      <w:r>
        <w:rPr>
          <w:rFonts w:ascii="微软雅黑" w:hAnsi="微软雅黑" w:eastAsia="微软雅黑"/>
          <w:b w:val="0"/>
          <w:i w:val="0"/>
          <w:sz w:val="22"/>
        </w:rPr>
        <w:t>，在左侧菜单找到「主数据」，确认可见「客户管理」「产品分类」「产品管理」三个入口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i w:val="0"/>
          <w:sz w:val="22"/>
        </w:rPr>
        <w:t>客户管理</w:t>
      </w:r>
      <w:r>
        <w:rPr>
          <w:rFonts w:ascii="微软雅黑" w:hAnsi="微软雅黑" w:eastAsia="微软雅黑"/>
          <w:b w:val="0"/>
          <w:i w:val="0"/>
          <w:sz w:val="22"/>
        </w:rPr>
        <w:t>：查看合作医院列表（约 18 家），尝试新增或编辑一条客户信息及别名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i w:val="0"/>
          <w:sz w:val="22"/>
        </w:rPr>
        <w:t>产品分类</w:t>
      </w:r>
      <w:r>
        <w:rPr>
          <w:rFonts w:ascii="微软雅黑" w:hAnsi="微软雅黑" w:eastAsia="微软雅黑"/>
          <w:b w:val="0"/>
          <w:i w:val="0"/>
          <w:sz w:val="22"/>
        </w:rPr>
        <w:t>：查看现有分类，尝试新增一个空分类或删除无产品的分类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i w:val="0"/>
          <w:sz w:val="22"/>
        </w:rPr>
        <w:t>产品管理</w:t>
      </w:r>
      <w:r>
        <w:rPr>
          <w:rFonts w:ascii="微软雅黑" w:hAnsi="微软雅黑" w:eastAsia="微软雅黑"/>
          <w:b w:val="0"/>
          <w:i w:val="0"/>
          <w:sz w:val="22"/>
        </w:rPr>
        <w:t>：打开已有产品（如洁牙机尖），使用「匹配预览」输入发货表中的包名，确认能正确识别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i w:val="0"/>
          <w:sz w:val="22"/>
        </w:rPr>
        <w:t>对账作业</w:t>
      </w:r>
      <w:r>
        <w:rPr>
          <w:rFonts w:ascii="微软雅黑" w:hAnsi="微软雅黑" w:eastAsia="微软雅黑"/>
          <w:b w:val="0"/>
          <w:i w:val="0"/>
          <w:sz w:val="22"/>
        </w:rPr>
        <w:t>：确认原有发货表上传、账单导出等功能仍可正常使用，不受本次升级影响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i w:val="0"/>
          <w:sz w:val="22"/>
        </w:rPr>
        <w:t>稳定性</w:t>
      </w:r>
      <w:r>
        <w:rPr>
          <w:rFonts w:ascii="微软雅黑" w:hAnsi="微软雅黑" w:eastAsia="微软雅黑"/>
          <w:b w:val="0"/>
          <w:i w:val="0"/>
          <w:sz w:val="22"/>
        </w:rPr>
        <w:t>：确认系统重启后客户、产品等数据仍然存在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以上步骤均可正常完成，即视为本次升级验收通过。如有疑问或发现与预期不符之处，请及时反馈，我们将在后续迭代中跟进处理。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七、联系方式与说明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本次升级</w:t>
      </w:r>
      <w:r>
        <w:rPr>
          <w:rFonts w:ascii="微软雅黑" w:hAnsi="微软雅黑" w:eastAsia="微软雅黑"/>
          <w:b/>
          <w:i w:val="0"/>
          <w:sz w:val="22"/>
        </w:rPr>
        <w:t>不改变</w:t>
      </w:r>
      <w:r>
        <w:rPr>
          <w:rFonts w:ascii="微软雅黑" w:hAnsi="微软雅黑" w:eastAsia="微软雅黑"/>
          <w:b w:val="0"/>
          <w:i w:val="0"/>
          <w:sz w:val="22"/>
        </w:rPr>
        <w:t>现有发货表上传、账单导出、历史记录查看等核心对账流程的使用方式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计费规则的全面迁移属于后续阶段，过渡期内部分特殊规则仍由系统内置逻辑保障，不影响日常对账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验收过程中如需演示或培训，可另行安排</w:t>
      </w:r>
    </w:p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文档版本：v1.0 | 2026-07-10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