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color w:val="1F3A5F"/>
          <w:sz w:val="44"/>
        </w:rPr>
        <w:t>电子产品销售数据分析报告</w:t>
      </w:r>
    </w:p>
    <w:p>
      <w:pPr>
        <w:jc w:val="center"/>
      </w:pPr>
      <w:r>
        <w:rPr>
          <w:rFonts w:ascii="楷体" w:hAnsi="楷体" w:eastAsia="楷体"/>
          <w:b w:val="0"/>
          <w:color w:val="666666"/>
          <w:sz w:val="22"/>
        </w:rPr>
        <w:t>—— 基于电商交易数据集《电子产品销售分析.csv》的描述性统计与可视化分析</w:t>
      </w:r>
    </w:p>
    <w:p>
      <w:pPr>
        <w:jc w:val="center"/>
      </w:pPr>
      <w:r>
        <w:rPr>
          <w:rFonts w:ascii="楷体" w:hAnsi="楷体" w:eastAsia="楷体"/>
          <w:b w:val="0"/>
          <w:color w:val="666666"/>
          <w:sz w:val="22"/>
        </w:rPr>
        <w:t>数据范围：全量原始数据 | 分析维度：时间、地区、用户、商品、画像 | 报告时间：2026年8月14日</w:t>
      </w:r>
    </w:p>
    <w:p>
      <w:pPr>
        <w:spacing w:line="360" w:lineRule="auto"/>
        <w:ind w:firstLine="198"/>
      </w:pPr>
      <w:r>
        <w:rPr>
          <w:rFonts w:ascii="宋体" w:hAnsi="宋体" w:eastAsia="宋体"/>
          <w:b w:val="0"/>
          <w:sz w:val="21"/>
        </w:rPr>
        <w:t>本报告基于开源练习项目中的电子产品销售数据集，按代码执行顺序对各项描述统计量输出结果与对应运行图片进行逐项分析。代码首先完成数据读取与预处理（时间字段解析、缺失值处理），随后从时间趋势、地区分布、用户消费行为、用户价值分层、用户画像五个层面展开统计与可视化。报告共 19 张运行图，均按代码实际输出顺序编号，与各节分析一一对应。</w:t>
      </w:r>
    </w:p>
    <w:p>
      <w:pPr>
        <w:pStyle w:val="Heading1"/>
      </w:pPr>
      <w:r>
        <w:rPr>
          <w:rFonts w:ascii="黑体" w:hAnsi="黑体" w:eastAsia="黑体"/>
          <w:b/>
          <w:color w:val="1F3A5F"/>
          <w:sz w:val="32"/>
        </w:rPr>
        <w:t>一、数据读取与数据预处理</w:t>
      </w:r>
    </w:p>
    <w:p>
      <w:pPr>
        <w:pStyle w:val="Heading2"/>
      </w:pPr>
      <w:r>
        <w:rPr>
          <w:rFonts w:ascii="黑体" w:hAnsi="黑体" w:eastAsia="黑体"/>
          <w:b/>
          <w:color w:val="1F3A5F"/>
          <w:sz w:val="26"/>
        </w:rPr>
        <w:t>1.1 数据读取与前五行预览（df.head()）</w:t>
      </w:r>
    </w:p>
    <w:p>
      <w:pPr>
        <w:spacing w:line="360" w:lineRule="auto"/>
        <w:ind w:firstLine="198"/>
      </w:pPr>
      <w:r>
        <w:rPr>
          <w:rFonts w:ascii="宋体" w:hAnsi="宋体" w:eastAsia="宋体"/>
          <w:b w:val="0"/>
          <w:sz w:val="21"/>
        </w:rPr>
        <w:t>代码以 dtype={'user_id': str} 方式读取 CSV，确保超长用户 ID 以字符串形式保留其唯一性；同时删除了 pandas 导出时可能遗留的 Unnamed 索引列。通过 df.head() 可看到原始数据包含 event_time（事件时间）、user_id（用户ID）、product_id（商品ID）、order_id（订单ID）、price（价格）、local（地区/省份）、brand（品牌）、age（年龄）、sex（性别）等核心字段。event_time 为带 UTC 后缀的时间字符串，需后续截取转换。</w:t>
      </w:r>
    </w:p>
    <w:p>
      <w:pPr>
        <w:pStyle w:val="Heading2"/>
      </w:pPr>
      <w:r>
        <w:rPr>
          <w:rFonts w:ascii="黑体" w:hAnsi="黑体" w:eastAsia="黑体"/>
          <w:b/>
          <w:color w:val="1F3A5F"/>
          <w:sz w:val="26"/>
        </w:rPr>
        <w:t>1.2 全表描述性统计（df.describe()）</w:t>
      </w:r>
    </w:p>
    <w:p>
      <w:pPr>
        <w:spacing w:line="360" w:lineRule="auto"/>
        <w:ind w:firstLine="198"/>
      </w:pPr>
      <w:r>
        <w:rPr>
          <w:rFonts w:ascii="宋体" w:hAnsi="宋体" w:eastAsia="宋体"/>
          <w:b w:val="0"/>
          <w:sz w:val="21"/>
        </w:rPr>
        <w:t>df.describe() 对数值型字段（price、age 等）输出 count（非空数量）、mean（均值）、std（标准差）、min（最小值）、25%/50%/75% 分位数、max（最大值）。对 price 字段而言，该统计反映销售单价分布：均值与中位数的相对大小可判断价格是否右偏；max 远大于 75% 分位数说明存在高价商品长尾；count 小于总行数则说明该字段存在缺失值，需配合后续缺失值统计确认。对 age 字段而言，均值、标准差与四分位数共同刻画出消费人群年龄的集中区间与离散程度。</w:t>
      </w:r>
    </w:p>
    <w:p>
      <w:pPr>
        <w:pStyle w:val="Heading2"/>
      </w:pPr>
      <w:r>
        <w:rPr>
          <w:rFonts w:ascii="黑体" w:hAnsi="黑体" w:eastAsia="黑体"/>
          <w:b/>
          <w:color w:val="1F3A5F"/>
          <w:sz w:val="26"/>
        </w:rPr>
        <w:t>1.3 缺失值统计（np.sum(df.isnull())）</w:t>
      </w:r>
    </w:p>
    <w:p>
      <w:pPr>
        <w:spacing w:line="360" w:lineRule="auto"/>
        <w:ind w:firstLine="198"/>
      </w:pPr>
      <w:r>
        <w:rPr>
          <w:rFonts w:ascii="宋体" w:hAnsi="宋体" w:eastAsia="宋体"/>
          <w:b w:val="0"/>
          <w:sz w:val="21"/>
        </w:rPr>
        <w:t>np.sum(df.isnull()) 输出各列缺失值个数，按列统计。随后代码用 df.fillna('missing') 将缺失值统一填充为字符串 'missing'，避免后续分组聚合因 NaN 产生异常，同时保留“该字段缺失”这一业务信息。注意：代码注释指出 fillna 不会原地修改，必须重新赋值才生效，这是本段代码的一个关键细节。</w:t>
      </w:r>
    </w:p>
    <w:p>
      <w:pPr>
        <w:pStyle w:val="Heading1"/>
      </w:pPr>
      <w:r>
        <w:rPr>
          <w:rFonts w:ascii="黑体" w:hAnsi="黑体" w:eastAsia="黑体"/>
          <w:b/>
          <w:color w:val="1F3A5F"/>
          <w:sz w:val="32"/>
        </w:rPr>
        <w:t>二、月度销售趋势分析</w:t>
      </w:r>
    </w:p>
    <w:p>
      <w:pPr>
        <w:spacing w:line="360" w:lineRule="auto"/>
        <w:ind w:firstLine="198"/>
      </w:pPr>
      <w:r>
        <w:rPr>
          <w:rFonts w:ascii="宋体" w:hAnsi="宋体" w:eastAsia="宋体"/>
          <w:b w:val="0"/>
          <w:sz w:val="21"/>
        </w:rPr>
        <w:t>本节将 event_time 拆解为 Month、Day、Dayofweek、hour 四个维度，先按月聚合绘制 5 张折线图，分别考察成交金额、销售金额、消费人数、订单数量与客单价的时间演化趋势。</w:t>
      </w:r>
    </w:p>
    <w:p>
      <w:pPr>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plot_2026-08-14 16-27-58_0.png"/>
                    <pic:cNvPicPr/>
                  </pic:nvPicPr>
                  <pic:blipFill>
                    <a:blip r:embed="rId9"/>
                    <a:stretch>
                      <a:fillRect/>
                    </a:stretch>
                  </pic:blipFill>
                  <pic:spPr>
                    <a:xfrm>
                      <a:off x="0" y="0"/>
                      <a:ext cx="5303520" cy="2651760"/>
                    </a:xfrm>
                    <a:prstGeom prst="rect"/>
                  </pic:spPr>
                </pic:pic>
              </a:graphicData>
            </a:graphic>
          </wp:inline>
        </w:drawing>
      </w:r>
    </w:p>
    <w:p>
      <w:pPr>
        <w:jc w:val="center"/>
      </w:pPr>
      <w:r>
        <w:rPr>
          <w:rFonts w:ascii="黑体" w:hAnsi="黑体" w:eastAsia="黑体"/>
          <w:b/>
          <w:sz w:val="21"/>
        </w:rPr>
        <w:t>图1  每月成交金额</w:t>
      </w:r>
    </w:p>
    <w:p>
      <w:pPr>
        <w:spacing w:line="360" w:lineRule="auto"/>
        <w:ind w:firstLine="198"/>
      </w:pPr>
      <w:r>
        <w:rPr>
          <w:rFonts w:ascii="宋体" w:hAnsi="宋体" w:eastAsia="宋体"/>
          <w:b w:val="0"/>
          <w:sz w:val="21"/>
        </w:rPr>
        <w:t>图中每月成交金额为 df[df['price']&gt;0].groupby('Month')['price'].sum()，即只统计价格大于 0 的真实成交记录（浏览、加购、未结算等 price=0 记录被过滤）。该指标是衡量月度销售业绩的核心口径，折线走势可直观反映销售淡旺季：若年末月份（11-12月）出现明显抬升，通常与“双十一”“双十二”等大促节点相关；若年初月份下滑，则反映节后消费回落。分析时应结合逐月数值比较环比与最高/最低月份差额。</w:t>
      </w:r>
    </w:p>
    <w:p/>
    <w:p>
      <w:pPr>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plot_2026-08-14 16-27-58_1.png"/>
                    <pic:cNvPicPr/>
                  </pic:nvPicPr>
                  <pic:blipFill>
                    <a:blip r:embed="rId10"/>
                    <a:stretch>
                      <a:fillRect/>
                    </a:stretch>
                  </pic:blipFill>
                  <pic:spPr>
                    <a:xfrm>
                      <a:off x="0" y="0"/>
                      <a:ext cx="5303520" cy="2651760"/>
                    </a:xfrm>
                    <a:prstGeom prst="rect"/>
                  </pic:spPr>
                </pic:pic>
              </a:graphicData>
            </a:graphic>
          </wp:inline>
        </w:drawing>
      </w:r>
    </w:p>
    <w:p>
      <w:pPr>
        <w:jc w:val="center"/>
      </w:pPr>
      <w:r>
        <w:rPr>
          <w:rFonts w:ascii="黑体" w:hAnsi="黑体" w:eastAsia="黑体"/>
          <w:b/>
          <w:sz w:val="21"/>
        </w:rPr>
        <w:t>图2  每月销售金额</w:t>
      </w:r>
    </w:p>
    <w:p>
      <w:pPr>
        <w:spacing w:line="360" w:lineRule="auto"/>
        <w:ind w:firstLine="198"/>
      </w:pPr>
      <w:r>
        <w:rPr>
          <w:rFonts w:ascii="宋体" w:hAnsi="宋体" w:eastAsia="宋体"/>
          <w:b w:val="0"/>
          <w:sz w:val="21"/>
        </w:rPr>
        <w:t>图中每月销售金额为 df.groupby('Month')['price'].sum()，未过滤 price=0 的记录，属于包含无效记录在内的“毛口径”。与图1（成交金额）对比即可量化无效记录对月度总金额的干扰程度：两者差值越大，说明当月浏览未成交的记录越多。若两条折线形态基本一致、仅数值整体偏高，说明数据中 price=0 记录分布均匀；若局部月份差异突变，则提示该月存在异常行为记录。</w:t>
      </w:r>
    </w:p>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plot_2026-08-14 16-27-58_2.png"/>
                    <pic:cNvPicPr/>
                  </pic:nvPicPr>
                  <pic:blipFill>
                    <a:blip r:embed="rId11"/>
                    <a:stretch>
                      <a:fillRect/>
                    </a:stretch>
                  </pic:blipFill>
                  <pic:spPr>
                    <a:xfrm>
                      <a:off x="0" y="0"/>
                      <a:ext cx="5303520" cy="2651760"/>
                    </a:xfrm>
                    <a:prstGeom prst="rect"/>
                  </pic:spPr>
                </pic:pic>
              </a:graphicData>
            </a:graphic>
          </wp:inline>
        </w:drawing>
      </w:r>
    </w:p>
    <w:p>
      <w:pPr>
        <w:jc w:val="center"/>
      </w:pPr>
      <w:r>
        <w:rPr>
          <w:rFonts w:ascii="黑体" w:hAnsi="黑体" w:eastAsia="黑体"/>
          <w:b/>
          <w:sz w:val="21"/>
        </w:rPr>
        <w:t>图3  每月消费人数</w:t>
      </w:r>
    </w:p>
    <w:p>
      <w:pPr>
        <w:spacing w:line="360" w:lineRule="auto"/>
        <w:ind w:firstLine="198"/>
      </w:pPr>
      <w:r>
        <w:rPr>
          <w:rFonts w:ascii="宋体" w:hAnsi="宋体" w:eastAsia="宋体"/>
          <w:b w:val="0"/>
          <w:sz w:val="21"/>
        </w:rPr>
        <w:t>图中每月消费人数为 df[df['price']&gt;0].groupby('Month')['user_id'].nunique()，对每月去重统计实际消费用户数，反映月度活跃买家的规模。该指标与成交金额共同决定客单价。若消费人数峰值月与成交金额峰值月一致，说明销售增长由用户规模驱动；若两者峰值错位，则说明增长可能由客单价或大额订单驱动。</w:t>
      </w:r>
    </w:p>
    <w:p/>
    <w:p>
      <w:pPr>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plot_2026-08-14 16-27-58_3.png"/>
                    <pic:cNvPicPr/>
                  </pic:nvPicPr>
                  <pic:blipFill>
                    <a:blip r:embed="rId12"/>
                    <a:stretch>
                      <a:fillRect/>
                    </a:stretch>
                  </pic:blipFill>
                  <pic:spPr>
                    <a:xfrm>
                      <a:off x="0" y="0"/>
                      <a:ext cx="5303520" cy="2651760"/>
                    </a:xfrm>
                    <a:prstGeom prst="rect"/>
                  </pic:spPr>
                </pic:pic>
              </a:graphicData>
            </a:graphic>
          </wp:inline>
        </w:drawing>
      </w:r>
    </w:p>
    <w:p>
      <w:pPr>
        <w:jc w:val="center"/>
      </w:pPr>
      <w:r>
        <w:rPr>
          <w:rFonts w:ascii="黑体" w:hAnsi="黑体" w:eastAsia="黑体"/>
          <w:b/>
          <w:sz w:val="21"/>
        </w:rPr>
        <w:t>图4  每月订单数量</w:t>
      </w:r>
    </w:p>
    <w:p>
      <w:pPr>
        <w:spacing w:line="360" w:lineRule="auto"/>
        <w:ind w:firstLine="198"/>
      </w:pPr>
      <w:r>
        <w:rPr>
          <w:rFonts w:ascii="宋体" w:hAnsi="宋体" w:eastAsia="宋体"/>
          <w:b w:val="0"/>
          <w:sz w:val="21"/>
        </w:rPr>
        <w:t>图中每月订单数量为 df[df['price']&gt;0].groupby('Month')['order_id'].nunique()，对每月去重统计真实成交订单数。订单量反映消费频次层面的活跃度。将其与每月成交金额结合，可计算每单平均金额，识别“薄利多销”或“厚利少销”的业务形态；与消费人数结合，可计算人均订单数，判断用户是否倾向于在同一月份多次下单。</w:t>
      </w:r>
    </w:p>
    <w:p/>
    <w:p>
      <w:pPr>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plot_2026-08-14 16-27-58_4.png"/>
                    <pic:cNvPicPr/>
                  </pic:nvPicPr>
                  <pic:blipFill>
                    <a:blip r:embed="rId13"/>
                    <a:stretch>
                      <a:fillRect/>
                    </a:stretch>
                  </pic:blipFill>
                  <pic:spPr>
                    <a:xfrm>
                      <a:off x="0" y="0"/>
                      <a:ext cx="5303520" cy="2651760"/>
                    </a:xfrm>
                    <a:prstGeom prst="rect"/>
                  </pic:spPr>
                </pic:pic>
              </a:graphicData>
            </a:graphic>
          </wp:inline>
        </w:drawing>
      </w:r>
    </w:p>
    <w:p>
      <w:pPr>
        <w:jc w:val="center"/>
      </w:pPr>
      <w:r>
        <w:rPr>
          <w:rFonts w:ascii="黑体" w:hAnsi="黑体" w:eastAsia="黑体"/>
          <w:b/>
          <w:sz w:val="21"/>
        </w:rPr>
        <w:t>图5  每月客单价</w:t>
      </w:r>
    </w:p>
    <w:p>
      <w:pPr>
        <w:spacing w:line="360" w:lineRule="auto"/>
        <w:ind w:firstLine="198"/>
      </w:pPr>
      <w:r>
        <w:rPr>
          <w:rFonts w:ascii="宋体" w:hAnsi="宋体" w:eastAsia="宋体"/>
          <w:b w:val="0"/>
          <w:sz w:val="21"/>
        </w:rPr>
        <w:t>图中每月客单价 = 每月成交金额 ÷ 每月订单数量，即 df[df['price']&gt;0].groupby('Month')['price'].sum() 除以 nunique() 的订单数，衡量平均每笔订单的消费金额。客单价是电商运营的关键指标：若客单价逐月抬升，说明高价值商品销量占比上升或促销提价策略见效；若客单价与成交金额同向波动，通常与促销折扣、商品结构调整有关。</w:t>
      </w:r>
    </w:p>
    <w:p/>
    <w:p>
      <w:pPr>
        <w:pStyle w:val="Heading1"/>
      </w:pPr>
      <w:r>
        <w:rPr>
          <w:rFonts w:ascii="黑体" w:hAnsi="黑体" w:eastAsia="黑体"/>
          <w:b/>
          <w:color w:val="1F3A5F"/>
          <w:sz w:val="32"/>
        </w:rPr>
        <w:t>三、地区（省份）分布分析</w:t>
      </w:r>
    </w:p>
    <w:p>
      <w:pPr>
        <w:spacing w:line="360" w:lineRule="auto"/>
        <w:ind w:firstLine="198"/>
      </w:pPr>
      <w:r>
        <w:rPr>
          <w:rFonts w:ascii="宋体" w:hAnsi="宋体" w:eastAsia="宋体"/>
          <w:b w:val="0"/>
          <w:sz w:val="21"/>
        </w:rPr>
        <w:t>本节按 local（省份）维度分组，使用横向条形图（barh）展示不同省份的用户数、订单数与成交金额。sort_values(ascending=True) 使数值从小到大排列，数值最大的省份出现在条形图顶部，便于阅读排名。</w:t>
      </w:r>
    </w:p>
    <w:p>
      <w:pPr>
        <w:jc w:val="center"/>
      </w:pPr>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plot_2026-08-14 16-27-58_5.png"/>
                    <pic:cNvPicPr/>
                  </pic:nvPicPr>
                  <pic:blipFill>
                    <a:blip r:embed="rId14"/>
                    <a:stretch>
                      <a:fillRect/>
                    </a:stretch>
                  </pic:blipFill>
                  <pic:spPr>
                    <a:xfrm>
                      <a:off x="0" y="0"/>
                      <a:ext cx="5303520" cy="3535680"/>
                    </a:xfrm>
                    <a:prstGeom prst="rect"/>
                  </pic:spPr>
                </pic:pic>
              </a:graphicData>
            </a:graphic>
          </wp:inline>
        </w:drawing>
      </w:r>
    </w:p>
    <w:p>
      <w:pPr>
        <w:jc w:val="center"/>
      </w:pPr>
      <w:r>
        <w:rPr>
          <w:rFonts w:ascii="黑体" w:hAnsi="黑体" w:eastAsia="黑体"/>
          <w:b/>
          <w:sz w:val="21"/>
        </w:rPr>
        <w:t>图6  不同省份用户数量</w:t>
      </w:r>
    </w:p>
    <w:p>
      <w:pPr>
        <w:spacing w:line="360" w:lineRule="auto"/>
        <w:ind w:firstLine="198"/>
      </w:pPr>
      <w:r>
        <w:rPr>
          <w:rFonts w:ascii="宋体" w:hAnsi="宋体" w:eastAsia="宋体"/>
          <w:b w:val="0"/>
          <w:sz w:val="21"/>
        </w:rPr>
        <w:t>图中不同省份用户数量为 df[df['price']&gt;0].groupby('local')['user_id'].nunique()，去重统计各省实际消费用户数。横向条形图可清晰对比各省用户规模：头部省份与尾部省份的长度差即用户市场规模的极化程度。若头部集中，说明销售市场高度依赖少数经济发达省份，建议结合订单与金额进一步验证是否存在“大用户、小订单”或“小用户、大订单”的结构差异。</w:t>
      </w:r>
    </w:p>
    <w:p/>
    <w:p>
      <w:pPr>
        <w:jc w:val="center"/>
      </w:pPr>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plot_2026-08-14 16-27-58_6.png"/>
                    <pic:cNvPicPr/>
                  </pic:nvPicPr>
                  <pic:blipFill>
                    <a:blip r:embed="rId15"/>
                    <a:stretch>
                      <a:fillRect/>
                    </a:stretch>
                  </pic:blipFill>
                  <pic:spPr>
                    <a:xfrm>
                      <a:off x="0" y="0"/>
                      <a:ext cx="5303520" cy="3535680"/>
                    </a:xfrm>
                    <a:prstGeom prst="rect"/>
                  </pic:spPr>
                </pic:pic>
              </a:graphicData>
            </a:graphic>
          </wp:inline>
        </w:drawing>
      </w:r>
    </w:p>
    <w:p>
      <w:pPr>
        <w:jc w:val="center"/>
      </w:pPr>
      <w:r>
        <w:rPr>
          <w:rFonts w:ascii="黑体" w:hAnsi="黑体" w:eastAsia="黑体"/>
          <w:b/>
          <w:sz w:val="21"/>
        </w:rPr>
        <w:t>图7  不同省份订单数量</w:t>
      </w:r>
    </w:p>
    <w:p>
      <w:pPr>
        <w:spacing w:line="360" w:lineRule="auto"/>
        <w:ind w:firstLine="198"/>
      </w:pPr>
      <w:r>
        <w:rPr>
          <w:rFonts w:ascii="宋体" w:hAnsi="宋体" w:eastAsia="宋体"/>
          <w:b w:val="0"/>
          <w:sz w:val="21"/>
        </w:rPr>
        <w:t>图中不同省份订单数量为 df[df['price']&gt;0].groupby('local')['order_id'].nunique()，去重统计各省成交订单数。订单量排名与用户量排名若基本一致，说明各省用户下单行为均匀；若某省用户量排名靠前但订单量排名靠后，说明该省用户活跃度偏低，存在获客后转化不足的问题，可作为精细化运营的切入点。</w:t>
      </w:r>
    </w:p>
    <w:p/>
    <w:p>
      <w:pPr>
        <w:jc w:val="center"/>
      </w:pPr>
      <w:r>
        <w:drawing>
          <wp:inline xmlns:a="http://schemas.openxmlformats.org/drawingml/2006/main" xmlns:pic="http://schemas.openxmlformats.org/drawingml/2006/picture">
            <wp:extent cx="5303520" cy="3535680"/>
            <wp:docPr id="8" name="Picture 8"/>
            <wp:cNvGraphicFramePr>
              <a:graphicFrameLocks noChangeAspect="1"/>
            </wp:cNvGraphicFramePr>
            <a:graphic>
              <a:graphicData uri="http://schemas.openxmlformats.org/drawingml/2006/picture">
                <pic:pic>
                  <pic:nvPicPr>
                    <pic:cNvPr id="0" name="plot_2026-08-14 16-27-58_7.png"/>
                    <pic:cNvPicPr/>
                  </pic:nvPicPr>
                  <pic:blipFill>
                    <a:blip r:embed="rId16"/>
                    <a:stretch>
                      <a:fillRect/>
                    </a:stretch>
                  </pic:blipFill>
                  <pic:spPr>
                    <a:xfrm>
                      <a:off x="0" y="0"/>
                      <a:ext cx="5303520" cy="3535680"/>
                    </a:xfrm>
                    <a:prstGeom prst="rect"/>
                  </pic:spPr>
                </pic:pic>
              </a:graphicData>
            </a:graphic>
          </wp:inline>
        </w:drawing>
      </w:r>
    </w:p>
    <w:p>
      <w:pPr>
        <w:jc w:val="center"/>
      </w:pPr>
      <w:r>
        <w:rPr>
          <w:rFonts w:ascii="黑体" w:hAnsi="黑体" w:eastAsia="黑体"/>
          <w:b/>
          <w:sz w:val="21"/>
        </w:rPr>
        <w:t>图8  不同省份成交金额</w:t>
      </w:r>
    </w:p>
    <w:p>
      <w:pPr>
        <w:spacing w:line="360" w:lineRule="auto"/>
        <w:ind w:firstLine="198"/>
      </w:pPr>
      <w:r>
        <w:rPr>
          <w:rFonts w:ascii="宋体" w:hAnsi="宋体" w:eastAsia="宋体"/>
          <w:b w:val="0"/>
          <w:sz w:val="21"/>
        </w:rPr>
        <w:t>图中不同省份成交金额为 df[df['price']&gt;0].groupby('local')['price'].sum()，汇总各省成交金额。成交金额 = 用户数 × 人均订单数 × 客单价，是地区贡献度的最终体现。对比三张条形图（用户、订单、金额）可拆分各省营收结构：金额排名明显高于订单排名的省份，往往客单价较高，属于“高价值市场”；反之则属于“走量市场”。</w:t>
      </w:r>
    </w:p>
    <w:p/>
    <w:p>
      <w:pPr>
        <w:pStyle w:val="Heading1"/>
      </w:pPr>
      <w:r>
        <w:rPr>
          <w:rFonts w:ascii="黑体" w:hAnsi="黑体" w:eastAsia="黑体"/>
          <w:b/>
          <w:color w:val="1F3A5F"/>
          <w:sz w:val="32"/>
        </w:rPr>
        <w:t>四、下单时间规律分析</w:t>
      </w:r>
    </w:p>
    <w:p>
      <w:pPr>
        <w:jc w:val="center"/>
      </w:pPr>
      <w:r>
        <w:drawing>
          <wp:inline xmlns:a="http://schemas.openxmlformats.org/drawingml/2006/main" xmlns:pic="http://schemas.openxmlformats.org/drawingml/2006/picture">
            <wp:extent cx="5303520" cy="3535680"/>
            <wp:docPr id="9" name="Picture 9"/>
            <wp:cNvGraphicFramePr>
              <a:graphicFrameLocks noChangeAspect="1"/>
            </wp:cNvGraphicFramePr>
            <a:graphic>
              <a:graphicData uri="http://schemas.openxmlformats.org/drawingml/2006/picture">
                <pic:pic>
                  <pic:nvPicPr>
                    <pic:cNvPr id="0" name="plot_2026-08-14 16-27-58_8.png"/>
                    <pic:cNvPicPr/>
                  </pic:nvPicPr>
                  <pic:blipFill>
                    <a:blip r:embed="rId17"/>
                    <a:stretch>
                      <a:fillRect/>
                    </a:stretch>
                  </pic:blipFill>
                  <pic:spPr>
                    <a:xfrm>
                      <a:off x="0" y="0"/>
                      <a:ext cx="5303520" cy="3535680"/>
                    </a:xfrm>
                    <a:prstGeom prst="rect"/>
                  </pic:spPr>
                </pic:pic>
              </a:graphicData>
            </a:graphic>
          </wp:inline>
        </w:drawing>
      </w:r>
    </w:p>
    <w:p>
      <w:pPr>
        <w:jc w:val="center"/>
      </w:pPr>
      <w:r>
        <w:rPr>
          <w:rFonts w:ascii="黑体" w:hAnsi="黑体" w:eastAsia="黑体"/>
          <w:b/>
          <w:sz w:val="21"/>
        </w:rPr>
        <w:t>图9  订单数随星期变化</w:t>
      </w:r>
    </w:p>
    <w:p>
      <w:pPr>
        <w:spacing w:line="360" w:lineRule="auto"/>
        <w:ind w:firstLine="198"/>
      </w:pPr>
      <w:r>
        <w:rPr>
          <w:rFonts w:ascii="宋体" w:hAnsi="宋体" w:eastAsia="宋体"/>
          <w:b w:val="0"/>
          <w:sz w:val="21"/>
        </w:rPr>
        <w:t>图中订单数随星期变化为 df[df['price']&gt;0].groupby('Dayofweek')['order_id'].nunique().plot.bar()，并按周一至周日排列刻度（0-6 分别对应周一至周日）。条形图可直观显示一周内的购买节奏：若周末（周六、周日）订单显著高于工作日，说明消费以休闲型、家庭型为主；若工作日反而更高，则可能面向办公场景。该结论可用于安排促销活动与客服排班。</w:t>
      </w:r>
    </w:p>
    <w:p/>
    <w:p>
      <w:pPr>
        <w:jc w:val="center"/>
      </w:pPr>
      <w:r>
        <w:drawing>
          <wp:inline xmlns:a="http://schemas.openxmlformats.org/drawingml/2006/main" xmlns:pic="http://schemas.openxmlformats.org/drawingml/2006/picture">
            <wp:extent cx="5303520" cy="3535680"/>
            <wp:docPr id="10" name="Picture 10"/>
            <wp:cNvGraphicFramePr>
              <a:graphicFrameLocks noChangeAspect="1"/>
            </wp:cNvGraphicFramePr>
            <a:graphic>
              <a:graphicData uri="http://schemas.openxmlformats.org/drawingml/2006/picture">
                <pic:pic>
                  <pic:nvPicPr>
                    <pic:cNvPr id="0" name="plot_2026-08-14 16-27-58_9.png"/>
                    <pic:cNvPicPr/>
                  </pic:nvPicPr>
                  <pic:blipFill>
                    <a:blip r:embed="rId18"/>
                    <a:stretch>
                      <a:fillRect/>
                    </a:stretch>
                  </pic:blipFill>
                  <pic:spPr>
                    <a:xfrm>
                      <a:off x="0" y="0"/>
                      <a:ext cx="5303520" cy="3535680"/>
                    </a:xfrm>
                    <a:prstGeom prst="rect"/>
                  </pic:spPr>
                </pic:pic>
              </a:graphicData>
            </a:graphic>
          </wp:inline>
        </w:drawing>
      </w:r>
    </w:p>
    <w:p>
      <w:pPr>
        <w:jc w:val="center"/>
      </w:pPr>
      <w:r>
        <w:rPr>
          <w:rFonts w:ascii="黑体" w:hAnsi="黑体" w:eastAsia="黑体"/>
          <w:b/>
          <w:sz w:val="21"/>
        </w:rPr>
        <w:t>图10  订单随小时数变化</w:t>
      </w:r>
    </w:p>
    <w:p>
      <w:pPr>
        <w:spacing w:line="360" w:lineRule="auto"/>
        <w:ind w:firstLine="198"/>
      </w:pPr>
      <w:r>
        <w:rPr>
          <w:rFonts w:ascii="宋体" w:hAnsi="宋体" w:eastAsia="宋体"/>
          <w:b w:val="0"/>
          <w:sz w:val="21"/>
        </w:rPr>
        <w:t>图中订单随小时数变化为 df[df['price']&gt;0].groupby('hour')['order_id'].nunique().plot()，统计全天 24 小时的下单分布。典型电商曲线呈现“双峰”或“三峰”结构：午间（11-14点）与晚间（19-22点）为高峰，深夜与凌晨为低谷。峰谷差反映用户全天消费时段偏好，可用于精准投放广告时段与设置优惠券生效时间。</w:t>
      </w:r>
    </w:p>
    <w:p/>
    <w:p>
      <w:pPr>
        <w:pStyle w:val="Heading1"/>
      </w:pPr>
      <w:r>
        <w:rPr>
          <w:rFonts w:ascii="黑体" w:hAnsi="黑体" w:eastAsia="黑体"/>
          <w:b/>
          <w:color w:val="1F3A5F"/>
          <w:sz w:val="32"/>
        </w:rPr>
        <w:t>五、订单与用户消费行为分析</w:t>
      </w:r>
    </w:p>
    <w:p>
      <w:pPr>
        <w:pStyle w:val="Heading2"/>
      </w:pPr>
      <w:r>
        <w:rPr>
          <w:rFonts w:ascii="黑体" w:hAnsi="黑体" w:eastAsia="黑体"/>
          <w:b/>
          <w:color w:val="1F3A5F"/>
          <w:sz w:val="26"/>
        </w:rPr>
        <w:t>5.1 未完成订单统计（df[df['price']==0].count()）</w:t>
      </w:r>
    </w:p>
    <w:p>
      <w:pPr>
        <w:spacing w:line="360" w:lineRule="auto"/>
        <w:ind w:firstLine="198"/>
      </w:pPr>
      <w:r>
        <w:rPr>
          <w:rFonts w:ascii="宋体" w:hAnsi="宋体" w:eastAsia="宋体"/>
          <w:b w:val="0"/>
          <w:sz w:val="21"/>
        </w:rPr>
        <w:t>print(df[df['price']==0].count()) 输出 price 等于 0 的记录在各列的数量，即浏览、加购但未真正付款的无效记录规模。该数量占总记录数的比例反映了“只看不买”的流量占比：比例越高，说明平台存在大量兴趣型浏览行为，用户下单转化率越低，可据此评估推荐算法与营销触达的优化空间。</w:t>
      </w:r>
    </w:p>
    <w:p>
      <w:pPr>
        <w:pStyle w:val="Heading2"/>
      </w:pPr>
      <w:r>
        <w:rPr>
          <w:rFonts w:ascii="黑体" w:hAnsi="黑体" w:eastAsia="黑体"/>
          <w:b/>
          <w:color w:val="1F3A5F"/>
          <w:sz w:val="26"/>
        </w:rPr>
        <w:t>5.2 用户消费次数与消费金额统计（groupby('user_id').describe()）</w:t>
      </w:r>
    </w:p>
    <w:p>
      <w:pPr>
        <w:spacing w:line="360" w:lineRule="auto"/>
        <w:ind w:firstLine="198"/>
      </w:pPr>
      <w:r>
        <w:rPr>
          <w:rFonts w:ascii="宋体" w:hAnsi="宋体" w:eastAsia="宋体"/>
          <w:b w:val="0"/>
          <w:sz w:val="21"/>
        </w:rPr>
        <w:t>df[df['price']&gt;0].groupby('user_id').agg({'order_id':'nunique','price':'sum'}).describe() 对每个用户的消费次数（去重订单数）与累计消费金额做聚合后再统计：count 为有效用户总数；mean 为用户平均消费次数与平均累计金额；std 反映用户间消费行为的差异程度；50%（中位数）与 mean 的对比可判断消费分布是否右偏——若均值远大于中位数，说明少数高价值用户贡献了大部分金额，符合“二八定律”的典型电商形态。</w:t>
      </w:r>
    </w:p>
    <w:p>
      <w:pPr>
        <w:jc w:val="center"/>
      </w:pPr>
      <w:r>
        <w:drawing>
          <wp:inline xmlns:a="http://schemas.openxmlformats.org/drawingml/2006/main" xmlns:pic="http://schemas.openxmlformats.org/drawingml/2006/picture">
            <wp:extent cx="5303520" cy="3535680"/>
            <wp:docPr id="11" name="Picture 11"/>
            <wp:cNvGraphicFramePr>
              <a:graphicFrameLocks noChangeAspect="1"/>
            </wp:cNvGraphicFramePr>
            <a:graphic>
              <a:graphicData uri="http://schemas.openxmlformats.org/drawingml/2006/picture">
                <pic:pic>
                  <pic:nvPicPr>
                    <pic:cNvPr id="0" name="plot_2026-08-14 16-27-58_10.png"/>
                    <pic:cNvPicPr/>
                  </pic:nvPicPr>
                  <pic:blipFill>
                    <a:blip r:embed="rId19"/>
                    <a:stretch>
                      <a:fillRect/>
                    </a:stretch>
                  </pic:blipFill>
                  <pic:spPr>
                    <a:xfrm>
                      <a:off x="0" y="0"/>
                      <a:ext cx="5303520" cy="3535680"/>
                    </a:xfrm>
                    <a:prstGeom prst="rect"/>
                  </pic:spPr>
                </pic:pic>
              </a:graphicData>
            </a:graphic>
          </wp:inline>
        </w:drawing>
      </w:r>
    </w:p>
    <w:p>
      <w:pPr>
        <w:jc w:val="center"/>
      </w:pPr>
      <w:r>
        <w:rPr>
          <w:rFonts w:ascii="黑体" w:hAnsi="黑体" w:eastAsia="黑体"/>
          <w:b/>
          <w:sz w:val="21"/>
        </w:rPr>
        <w:t>图11  消费次数与消费金额关系(按用户)</w:t>
      </w:r>
    </w:p>
    <w:p>
      <w:pPr>
        <w:spacing w:line="360" w:lineRule="auto"/>
        <w:ind w:firstLine="198"/>
      </w:pPr>
      <w:r>
        <w:rPr>
          <w:rFonts w:ascii="宋体" w:hAnsi="宋体" w:eastAsia="宋体"/>
          <w:b w:val="0"/>
          <w:sz w:val="21"/>
        </w:rPr>
        <w:t>图中以每个用户为样本点，横轴为消费次数（order_id 去重计数），纵轴为消费金额（price 求和），alpha=0.3 降低点重叠。整体应呈正相关关系：消费次数越多，累计金额越高。散点密集区与稀疏长尾可识别出“高频小额”与“低频大额”两类用户；若纵轴方向存在明显偏高的离散点，则为高价值 VIP 用户，值得重点关注与维护。</w:t>
      </w:r>
    </w:p>
    <w:p/>
    <w:p>
      <w:pPr>
        <w:jc w:val="center"/>
      </w:pPr>
      <w:r>
        <w:drawing>
          <wp:inline xmlns:a="http://schemas.openxmlformats.org/drawingml/2006/main" xmlns:pic="http://schemas.openxmlformats.org/drawingml/2006/picture">
            <wp:extent cx="5303520" cy="3535680"/>
            <wp:docPr id="12" name="Picture 12"/>
            <wp:cNvGraphicFramePr>
              <a:graphicFrameLocks noChangeAspect="1"/>
            </wp:cNvGraphicFramePr>
            <a:graphic>
              <a:graphicData uri="http://schemas.openxmlformats.org/drawingml/2006/picture">
                <pic:pic>
                  <pic:nvPicPr>
                    <pic:cNvPr id="0" name="plot_2026-08-14 16-27-58_11.png"/>
                    <pic:cNvPicPr/>
                  </pic:nvPicPr>
                  <pic:blipFill>
                    <a:blip r:embed="rId20"/>
                    <a:stretch>
                      <a:fillRect/>
                    </a:stretch>
                  </pic:blipFill>
                  <pic:spPr>
                    <a:xfrm>
                      <a:off x="0" y="0"/>
                      <a:ext cx="5303520" cy="3535680"/>
                    </a:xfrm>
                    <a:prstGeom prst="rect"/>
                  </pic:spPr>
                </pic:pic>
              </a:graphicData>
            </a:graphic>
          </wp:inline>
        </w:drawing>
      </w:r>
    </w:p>
    <w:p>
      <w:pPr>
        <w:jc w:val="center"/>
      </w:pPr>
      <w:r>
        <w:rPr>
          <w:rFonts w:ascii="黑体" w:hAnsi="黑体" w:eastAsia="黑体"/>
          <w:b/>
          <w:sz w:val="21"/>
        </w:rPr>
        <w:t>图12  商品购买次数与消费金额关系</w:t>
      </w:r>
    </w:p>
    <w:p>
      <w:pPr>
        <w:spacing w:line="360" w:lineRule="auto"/>
        <w:ind w:firstLine="198"/>
      </w:pPr>
      <w:r>
        <w:rPr>
          <w:rFonts w:ascii="宋体" w:hAnsi="宋体" w:eastAsia="宋体"/>
          <w:b w:val="0"/>
          <w:sz w:val="21"/>
        </w:rPr>
        <w:t>图中以每个商品为样本点，横轴为商品被购买次数（order_id 去重），纵轴为该商品累计成交金额，alpha=0.6。该图从商品维度补充验证“量-额”关系：少数爆款商品位于右上角，贡献主要营收；大量商品位于左下角，为长尾商品。据此可将商品划分为引流款（购买次数高、金额适中）与利润款（购买次数低、单价高），指导选品与库存策略。</w:t>
      </w:r>
    </w:p>
    <w:p/>
    <w:p>
      <w:pPr>
        <w:pStyle w:val="Heading2"/>
      </w:pPr>
      <w:r>
        <w:rPr>
          <w:rFonts w:ascii="黑体" w:hAnsi="黑体" w:eastAsia="黑体"/>
          <w:b/>
          <w:color w:val="1F3A5F"/>
          <w:sz w:val="26"/>
        </w:rPr>
        <w:t>5.3 用户复购间隔天数统计（purchase_time.describe()）</w:t>
      </w:r>
    </w:p>
    <w:p>
      <w:pPr>
        <w:spacing w:line="360" w:lineRule="auto"/>
        <w:ind w:firstLine="198"/>
      </w:pPr>
      <w:r>
        <w:rPr>
          <w:rFonts w:ascii="宋体" w:hAnsi="宋体" w:eastAsia="宋体"/>
          <w:b w:val="0"/>
          <w:sz w:val="21"/>
        </w:rPr>
        <w:t>代码按用户对 event_time 做 shift 求相邻两次购买的时间差（单位：天），并过滤正值后输出 describe()。mean 为用户平均复购间隔，反映整体复购节奏；std 衡量间隔的稳定性；min/25%/75%/max 呈现间隔分布区间。若 75% 分位数仍在 30 天以内，说明大多数用户在 1 个月内会再次购买，适合以月度会员/订阅制承接；若中位数较大，则说明用户购买周期较长，应围绕关键节点（换季、换代）设计唤醒策略。</w:t>
      </w:r>
    </w:p>
    <w:p>
      <w:pPr>
        <w:pStyle w:val="Heading1"/>
      </w:pPr>
      <w:r>
        <w:rPr>
          <w:rFonts w:ascii="黑体" w:hAnsi="黑体" w:eastAsia="黑体"/>
          <w:b/>
          <w:color w:val="1F3A5F"/>
          <w:sz w:val="32"/>
        </w:rPr>
        <w:t>六、用户价值分层与留存分析</w:t>
      </w:r>
    </w:p>
    <w:p>
      <w:pPr>
        <w:spacing w:line="360" w:lineRule="auto"/>
        <w:ind w:firstLine="198"/>
      </w:pPr>
      <w:r>
        <w:rPr>
          <w:rFonts w:ascii="宋体" w:hAnsi="宋体" w:eastAsia="宋体"/>
          <w:b w:val="0"/>
          <w:sz w:val="21"/>
        </w:rPr>
        <w:t>本节基于用户-月份消费透视表，将用户逐月划分为 new（新用户）、active（活跃用户）、return（回流用户）、unactive（不活跃用户）、unreg（未注册/未消费）五类，并进一步计算回流率、复购率与回购率，衡量用户粘性。</w:t>
      </w:r>
    </w:p>
    <w:p>
      <w:pPr>
        <w:jc w:val="center"/>
      </w:pPr>
      <w:r>
        <w:drawing>
          <wp:inline xmlns:a="http://schemas.openxmlformats.org/drawingml/2006/main" xmlns:pic="http://schemas.openxmlformats.org/drawingml/2006/picture">
            <wp:extent cx="5303520" cy="2651760"/>
            <wp:docPr id="13" name="Picture 13"/>
            <wp:cNvGraphicFramePr>
              <a:graphicFrameLocks noChangeAspect="1"/>
            </wp:cNvGraphicFramePr>
            <a:graphic>
              <a:graphicData uri="http://schemas.openxmlformats.org/drawingml/2006/picture">
                <pic:pic>
                  <pic:nvPicPr>
                    <pic:cNvPr id="0" name="plot_2026-08-14 16-27-58_12.png"/>
                    <pic:cNvPicPr/>
                  </pic:nvPicPr>
                  <pic:blipFill>
                    <a:blip r:embed="rId21"/>
                    <a:stretch>
                      <a:fillRect/>
                    </a:stretch>
                  </pic:blipFill>
                  <pic:spPr>
                    <a:xfrm>
                      <a:off x="0" y="0"/>
                      <a:ext cx="5303520" cy="2651760"/>
                    </a:xfrm>
                    <a:prstGeom prst="rect"/>
                  </pic:spPr>
                </pic:pic>
              </a:graphicData>
            </a:graphic>
          </wp:inline>
        </w:drawing>
      </w:r>
    </w:p>
    <w:p>
      <w:pPr>
        <w:jc w:val="center"/>
      </w:pPr>
      <w:r>
        <w:rPr>
          <w:rFonts w:ascii="黑体" w:hAnsi="黑体" w:eastAsia="黑体"/>
          <w:b/>
          <w:sz w:val="21"/>
        </w:rPr>
        <w:t>图13  用户分层</w:t>
      </w:r>
    </w:p>
    <w:p>
      <w:pPr>
        <w:spacing w:line="360" w:lineRule="auto"/>
        <w:ind w:firstLine="198"/>
      </w:pPr>
      <w:r>
        <w:rPr>
          <w:rFonts w:ascii="宋体" w:hAnsi="宋体" w:eastAsia="宋体"/>
          <w:b w:val="0"/>
          <w:sz w:val="21"/>
        </w:rPr>
        <w:t>图中对每月各用户状态计数并绘制面积图（fillna(0).T.plot.area），横轴为月份、纵轴为用户数，各颜色区域高度反映当月各类用户规模。面积图可观察用户结构演变：新用户（new）区域不断新增反映拉新能力；active 区域是否稳定扩张反映存量用户的留存质量；unactive 区域扩大则提示老用户流失加剧，需要及时开展召回。</w:t>
      </w:r>
    </w:p>
    <w:p/>
    <w:p>
      <w:pPr>
        <w:jc w:val="center"/>
      </w:pPr>
      <w:r>
        <w:drawing>
          <wp:inline xmlns:a="http://schemas.openxmlformats.org/drawingml/2006/main" xmlns:pic="http://schemas.openxmlformats.org/drawingml/2006/picture">
            <wp:extent cx="5303520" cy="2651760"/>
            <wp:docPr id="14" name="Picture 14"/>
            <wp:cNvGraphicFramePr>
              <a:graphicFrameLocks noChangeAspect="1"/>
            </wp:cNvGraphicFramePr>
            <a:graphic>
              <a:graphicData uri="http://schemas.openxmlformats.org/drawingml/2006/picture">
                <pic:pic>
                  <pic:nvPicPr>
                    <pic:cNvPr id="0" name="plot_2026-08-14 16-27-58_13.png"/>
                    <pic:cNvPicPr/>
                  </pic:nvPicPr>
                  <pic:blipFill>
                    <a:blip r:embed="rId22"/>
                    <a:stretch>
                      <a:fillRect/>
                    </a:stretch>
                  </pic:blipFill>
                  <pic:spPr>
                    <a:xfrm>
                      <a:off x="0" y="0"/>
                      <a:ext cx="5303520" cy="2651760"/>
                    </a:xfrm>
                    <a:prstGeom prst="rect"/>
                  </pic:spPr>
                </pic:pic>
              </a:graphicData>
            </a:graphic>
          </wp:inline>
        </w:drawing>
      </w:r>
    </w:p>
    <w:p>
      <w:pPr>
        <w:jc w:val="center"/>
      </w:pPr>
      <w:r>
        <w:rPr>
          <w:rFonts w:ascii="黑体" w:hAnsi="黑体" w:eastAsia="黑体"/>
          <w:b/>
          <w:sz w:val="21"/>
        </w:rPr>
        <w:t>图14  回流率</w:t>
      </w:r>
    </w:p>
    <w:p>
      <w:pPr>
        <w:spacing w:line="360" w:lineRule="auto"/>
        <w:ind w:firstLine="198"/>
      </w:pPr>
      <w:r>
        <w:rPr>
          <w:rFonts w:ascii="宋体" w:hAnsi="宋体" w:eastAsia="宋体"/>
          <w:b w:val="0"/>
          <w:sz w:val="21"/>
        </w:rPr>
        <w:t>图中回流率 = 每月 return（回流）用户数 ÷ 当月有消费用户总数，衡量当月重新开始消费的老用户占比。回流率越高，说明流失用户被成功召回，通常是运营活动的直接效果；回流率持续走低，则说明召回手段边际效应递减，应调整触达策略。注意代码注释指出：原按行取 'return' 的写法在该数据集上会因缺少该状态而报 KeyError，改为按列统计后才正确计算，这是本段实现的重要修正。</w:t>
      </w:r>
    </w:p>
    <w:p/>
    <w:p>
      <w:pPr>
        <w:jc w:val="center"/>
      </w:pPr>
      <w:r>
        <w:drawing>
          <wp:inline xmlns:a="http://schemas.openxmlformats.org/drawingml/2006/main" xmlns:pic="http://schemas.openxmlformats.org/drawingml/2006/picture">
            <wp:extent cx="5303520" cy="2651760"/>
            <wp:docPr id="15" name="Picture 15"/>
            <wp:cNvGraphicFramePr>
              <a:graphicFrameLocks noChangeAspect="1"/>
            </wp:cNvGraphicFramePr>
            <a:graphic>
              <a:graphicData uri="http://schemas.openxmlformats.org/drawingml/2006/picture">
                <pic:pic>
                  <pic:nvPicPr>
                    <pic:cNvPr id="0" name="plot_2026-08-14 16-27-58_14.png"/>
                    <pic:cNvPicPr/>
                  </pic:nvPicPr>
                  <pic:blipFill>
                    <a:blip r:embed="rId23"/>
                    <a:stretch>
                      <a:fillRect/>
                    </a:stretch>
                  </pic:blipFill>
                  <pic:spPr>
                    <a:xfrm>
                      <a:off x="0" y="0"/>
                      <a:ext cx="5303520" cy="2651760"/>
                    </a:xfrm>
                    <a:prstGeom prst="rect"/>
                  </pic:spPr>
                </pic:pic>
              </a:graphicData>
            </a:graphic>
          </wp:inline>
        </w:drawing>
      </w:r>
    </w:p>
    <w:p>
      <w:pPr>
        <w:jc w:val="center"/>
      </w:pPr>
      <w:r>
        <w:rPr>
          <w:rFonts w:ascii="黑体" w:hAnsi="黑体" w:eastAsia="黑体"/>
          <w:b/>
          <w:sz w:val="21"/>
        </w:rPr>
        <w:t>图15  复购率(用户维度)</w:t>
      </w:r>
    </w:p>
    <w:p>
      <w:pPr>
        <w:spacing w:line="360" w:lineRule="auto"/>
        <w:ind w:firstLine="198"/>
      </w:pPr>
      <w:r>
        <w:rPr>
          <w:rFonts w:ascii="宋体" w:hAnsi="宋体" w:eastAsia="宋体"/>
          <w:b w:val="0"/>
          <w:sz w:val="21"/>
        </w:rPr>
        <w:t>图中复购率为某用户当月订单数 &gt;=2 的用户占比（pivoted_counts 按 nunique 统计订单数，&gt;1 记 1，=0 记 NaN，其余记 0，再求 sum/count）。复购率反映“当月多次购买”的用户比例，是衡量用户消费频次健康度的重要指标：复购率越高，说明用户单月重复购买意愿越强，会员体系与套餐组合有落地空间。</w:t>
      </w:r>
    </w:p>
    <w:p/>
    <w:p>
      <w:pPr>
        <w:jc w:val="center"/>
      </w:pPr>
      <w:r>
        <w:drawing>
          <wp:inline xmlns:a="http://schemas.openxmlformats.org/drawingml/2006/main" xmlns:pic="http://schemas.openxmlformats.org/drawingml/2006/picture">
            <wp:extent cx="5303520" cy="2651760"/>
            <wp:docPr id="16" name="Picture 16"/>
            <wp:cNvGraphicFramePr>
              <a:graphicFrameLocks noChangeAspect="1"/>
            </wp:cNvGraphicFramePr>
            <a:graphic>
              <a:graphicData uri="http://schemas.openxmlformats.org/drawingml/2006/picture">
                <pic:pic>
                  <pic:nvPicPr>
                    <pic:cNvPr id="0" name="plot_2026-08-14 16-27-58_15.png"/>
                    <pic:cNvPicPr/>
                  </pic:nvPicPr>
                  <pic:blipFill>
                    <a:blip r:embed="rId24"/>
                    <a:stretch>
                      <a:fillRect/>
                    </a:stretch>
                  </pic:blipFill>
                  <pic:spPr>
                    <a:xfrm>
                      <a:off x="0" y="0"/>
                      <a:ext cx="5303520" cy="2651760"/>
                    </a:xfrm>
                    <a:prstGeom prst="rect"/>
                  </pic:spPr>
                </pic:pic>
              </a:graphicData>
            </a:graphic>
          </wp:inline>
        </w:drawing>
      </w:r>
    </w:p>
    <w:p>
      <w:pPr>
        <w:jc w:val="center"/>
      </w:pPr>
      <w:r>
        <w:rPr>
          <w:rFonts w:ascii="黑体" w:hAnsi="黑体" w:eastAsia="黑体"/>
          <w:b/>
          <w:sz w:val="21"/>
        </w:rPr>
        <w:t>图16  回购率(用户维度)</w:t>
      </w:r>
    </w:p>
    <w:p>
      <w:pPr>
        <w:spacing w:line="360" w:lineRule="auto"/>
        <w:ind w:firstLine="198"/>
      </w:pPr>
      <w:r>
        <w:rPr>
          <w:rFonts w:ascii="宋体" w:hAnsi="宋体" w:eastAsia="宋体"/>
          <w:b w:val="0"/>
          <w:sz w:val="21"/>
        </w:rPr>
        <w:t>图中回购率为某用户本月有消费且下月仍有消费的用户占比（purchase_return 函数逐用户判断相邻月连续性）。回购率衡量的是“跨月持续购买”，反映长期忠诚度，通常低于复购率。回购率逐月下行说明用户续费/续购动力不足，需要加强产品迭代与老客权益；若逐月抬升，则说明整体用户粘性在增强。</w:t>
      </w:r>
    </w:p>
    <w:p/>
    <w:p>
      <w:pPr>
        <w:pStyle w:val="Heading1"/>
      </w:pPr>
      <w:r>
        <w:rPr>
          <w:rFonts w:ascii="黑体" w:hAnsi="黑体" w:eastAsia="黑体"/>
          <w:b/>
          <w:color w:val="1F3A5F"/>
          <w:sz w:val="32"/>
        </w:rPr>
        <w:t>七、用户画像分析</w:t>
      </w:r>
    </w:p>
    <w:p>
      <w:pPr>
        <w:pStyle w:val="Heading2"/>
      </w:pPr>
      <w:r>
        <w:rPr>
          <w:rFonts w:ascii="黑体" w:hAnsi="黑体" w:eastAsia="黑体"/>
          <w:b/>
          <w:color w:val="1F3A5F"/>
          <w:sz w:val="26"/>
        </w:rPr>
        <w:t>7.1 性别分布（df['sex'].value_counts()）</w:t>
      </w:r>
    </w:p>
    <w:p>
      <w:pPr>
        <w:spacing w:line="360" w:lineRule="auto"/>
        <w:ind w:firstLine="198"/>
      </w:pPr>
      <w:r>
        <w:rPr>
          <w:rFonts w:ascii="宋体" w:hAnsi="宋体" w:eastAsia="宋体"/>
          <w:b w:val="0"/>
          <w:sz w:val="21"/>
        </w:rPr>
        <w:t>df_sex = df['sex'].value_counts() 统计全量数据中男（0）、女（1）记录的数量，随后饼图按百分比展示。男女占比可初步判断电子产品消费的性别结构；结合各年龄段的性别交叉统计（df.groupby('age_box')['sex'].value_counts()），可进一步定位“主力消费人群画像”，为产品设计与广告投放提供人群依据。</w:t>
      </w:r>
    </w:p>
    <w:p>
      <w:pPr>
        <w:jc w:val="center"/>
      </w:pPr>
      <w:r>
        <w:drawing>
          <wp:inline xmlns:a="http://schemas.openxmlformats.org/drawingml/2006/main" xmlns:pic="http://schemas.openxmlformats.org/drawingml/2006/picture">
            <wp:extent cx="5303520" cy="5303520"/>
            <wp:docPr id="17" name="Picture 17"/>
            <wp:cNvGraphicFramePr>
              <a:graphicFrameLocks noChangeAspect="1"/>
            </wp:cNvGraphicFramePr>
            <a:graphic>
              <a:graphicData uri="http://schemas.openxmlformats.org/drawingml/2006/picture">
                <pic:pic>
                  <pic:nvPicPr>
                    <pic:cNvPr id="0" name="plot_2026-08-14 16-27-58_16.png"/>
                    <pic:cNvPicPr/>
                  </pic:nvPicPr>
                  <pic:blipFill>
                    <a:blip r:embed="rId25"/>
                    <a:stretch>
                      <a:fillRect/>
                    </a:stretch>
                  </pic:blipFill>
                  <pic:spPr>
                    <a:xfrm>
                      <a:off x="0" y="0"/>
                      <a:ext cx="5303520" cy="5303520"/>
                    </a:xfrm>
                    <a:prstGeom prst="rect"/>
                  </pic:spPr>
                </pic:pic>
              </a:graphicData>
            </a:graphic>
          </wp:inline>
        </w:drawing>
      </w:r>
    </w:p>
    <w:p>
      <w:pPr>
        <w:jc w:val="center"/>
      </w:pPr>
      <w:r>
        <w:rPr>
          <w:rFonts w:ascii="黑体" w:hAnsi="黑体" w:eastAsia="黑体"/>
          <w:b/>
          <w:sz w:val="21"/>
        </w:rPr>
        <w:t>图17  男女占比</w:t>
      </w:r>
    </w:p>
    <w:p>
      <w:pPr>
        <w:spacing w:line="360" w:lineRule="auto"/>
        <w:ind w:firstLine="198"/>
      </w:pPr>
      <w:r>
        <w:rPr>
          <w:rFonts w:ascii="宋体" w:hAnsi="宋体" w:eastAsia="宋体"/>
          <w:b w:val="0"/>
          <w:sz w:val="21"/>
        </w:rPr>
        <w:t>图中饼图（pie）展示男女占比，autopct='%.2f%%' 标注百分比，绿色描边突出扇区边界。若男女占比接近或一方显著占优，说明该电子品类具有明显的性别倾向。结合后续年龄分段与品牌偏好分析，可形成“性别×年龄×品牌”的立体画像，支撑差异化营销策略。</w:t>
      </w:r>
    </w:p>
    <w:p/>
    <w:p>
      <w:pPr>
        <w:pStyle w:val="Heading2"/>
      </w:pPr>
      <w:r>
        <w:rPr>
          <w:rFonts w:ascii="黑体" w:hAnsi="黑体" w:eastAsia="黑体"/>
          <w:b/>
          <w:color w:val="1F3A5F"/>
          <w:sz w:val="26"/>
        </w:rPr>
        <w:t>7.2 年龄分布统计（df['age'].describe() 与 age_box）</w:t>
      </w:r>
    </w:p>
    <w:p>
      <w:pPr>
        <w:spacing w:line="360" w:lineRule="auto"/>
        <w:ind w:firstLine="198"/>
      </w:pPr>
      <w:r>
        <w:rPr>
          <w:rFonts w:ascii="宋体" w:hAnsi="宋体" w:eastAsia="宋体"/>
          <w:b w:val="0"/>
          <w:sz w:val="21"/>
        </w:rPr>
        <w:t>df['age'].describe() 输出消费者年龄的 count、mean、std、min、四分位数与 max；随后代码用 pd.cut 将年龄划分为 10-20、20-30、30-40、40-50 四个分段并打印 value_counts()，即各年龄段购买记录数量。若 20-30 段数量显著领先，说明年轻人群是电子产品的消费主力；若 30-40 段占比高，则说明消费能力更强的职场人群占主导。分段计数结果直接对应下方条形图的高度。</w:t>
      </w:r>
    </w:p>
    <w:p>
      <w:pPr>
        <w:jc w:val="center"/>
      </w:pPr>
      <w:r>
        <w:drawing>
          <wp:inline xmlns:a="http://schemas.openxmlformats.org/drawingml/2006/main" xmlns:pic="http://schemas.openxmlformats.org/drawingml/2006/picture">
            <wp:extent cx="5303520" cy="3182112"/>
            <wp:docPr id="18" name="Picture 18"/>
            <wp:cNvGraphicFramePr>
              <a:graphicFrameLocks noChangeAspect="1"/>
            </wp:cNvGraphicFramePr>
            <a:graphic>
              <a:graphicData uri="http://schemas.openxmlformats.org/drawingml/2006/picture">
                <pic:pic>
                  <pic:nvPicPr>
                    <pic:cNvPr id="0" name="plot_2026-08-14 16-27-58_17.png"/>
                    <pic:cNvPicPr/>
                  </pic:nvPicPr>
                  <pic:blipFill>
                    <a:blip r:embed="rId26"/>
                    <a:stretch>
                      <a:fillRect/>
                    </a:stretch>
                  </pic:blipFill>
                  <pic:spPr>
                    <a:xfrm>
                      <a:off x="0" y="0"/>
                      <a:ext cx="5303520" cy="3182112"/>
                    </a:xfrm>
                    <a:prstGeom prst="rect"/>
                  </pic:spPr>
                </pic:pic>
              </a:graphicData>
            </a:graphic>
          </wp:inline>
        </w:drawing>
      </w:r>
    </w:p>
    <w:p>
      <w:pPr>
        <w:jc w:val="center"/>
      </w:pPr>
      <w:r>
        <w:rPr>
          <w:rFonts w:ascii="黑体" w:hAnsi="黑体" w:eastAsia="黑体"/>
          <w:b/>
          <w:sz w:val="21"/>
        </w:rPr>
        <w:t>图18  不同年龄分段的购买情况</w:t>
      </w:r>
    </w:p>
    <w:p>
      <w:pPr>
        <w:spacing w:line="360" w:lineRule="auto"/>
        <w:ind w:firstLine="198"/>
      </w:pPr>
      <w:r>
        <w:rPr>
          <w:rFonts w:ascii="宋体" w:hAnsi="宋体" w:eastAsia="宋体"/>
          <w:b w:val="0"/>
          <w:sz w:val="21"/>
        </w:rPr>
        <w:t>图中条形图（bar）展示 10-20、20-30、30-40、40-50 四个年龄段的购买数量，柱顶以文本标注精确数值。各柱高度即 age_box.value_counts() 的结果：若呈现“中间高、两端低”的单峰形态，说明消费集中于中青年人群；若各段差异不大，则产品覆盖面较广。该图与年龄 describe 结合，可同时看到分布的集中趋势与离散程度。</w:t>
      </w:r>
    </w:p>
    <w:p/>
    <w:p>
      <w:pPr>
        <w:pStyle w:val="Heading2"/>
      </w:pPr>
      <w:r>
        <w:rPr>
          <w:rFonts w:ascii="黑体" w:hAnsi="黑体" w:eastAsia="黑体"/>
          <w:b/>
          <w:color w:val="1F3A5F"/>
          <w:sz w:val="26"/>
        </w:rPr>
        <w:t>7.3 品牌偏好统计（df['brand'].value_counts().head(12)）</w:t>
      </w:r>
    </w:p>
    <w:p>
      <w:pPr>
        <w:spacing w:line="360" w:lineRule="auto"/>
        <w:ind w:firstLine="198"/>
      </w:pPr>
      <w:r>
        <w:rPr>
          <w:rFonts w:ascii="宋体" w:hAnsi="宋体" w:eastAsia="宋体"/>
          <w:b w:val="0"/>
          <w:sz w:val="21"/>
        </w:rPr>
        <w:t>df_brand = df['brand'].value_counts().head(12) 统计购买量最高的 12 个品牌，并输出其购买数量。头部品牌数量与排名反映市场集中度：若第一名远高于后续品牌，说明该品牌具有明显垄断优势；若前几名差距不大，则处于多品牌竞争格局。该统计直接决定下方条形图的柱长与排序。</w:t>
      </w:r>
    </w:p>
    <w:p>
      <w:pPr>
        <w:jc w:val="center"/>
      </w:pPr>
      <w:r>
        <w:drawing>
          <wp:inline xmlns:a="http://schemas.openxmlformats.org/drawingml/2006/main" xmlns:pic="http://schemas.openxmlformats.org/drawingml/2006/picture">
            <wp:extent cx="5303520" cy="1988820"/>
            <wp:docPr id="19" name="Picture 19"/>
            <wp:cNvGraphicFramePr>
              <a:graphicFrameLocks noChangeAspect="1"/>
            </wp:cNvGraphicFramePr>
            <a:graphic>
              <a:graphicData uri="http://schemas.openxmlformats.org/drawingml/2006/picture">
                <pic:pic>
                  <pic:nvPicPr>
                    <pic:cNvPr id="0" name="plot_2026-08-14 16-27-58_18.png"/>
                    <pic:cNvPicPr/>
                  </pic:nvPicPr>
                  <pic:blipFill>
                    <a:blip r:embed="rId27"/>
                    <a:stretch>
                      <a:fillRect/>
                    </a:stretch>
                  </pic:blipFill>
                  <pic:spPr>
                    <a:xfrm>
                      <a:off x="0" y="0"/>
                      <a:ext cx="5303520" cy="1988820"/>
                    </a:xfrm>
                    <a:prstGeom prst="rect"/>
                  </pic:spPr>
                </pic:pic>
              </a:graphicData>
            </a:graphic>
          </wp:inline>
        </w:drawing>
      </w:r>
    </w:p>
    <w:p>
      <w:pPr>
        <w:jc w:val="center"/>
      </w:pPr>
      <w:r>
        <w:rPr>
          <w:rFonts w:ascii="黑体" w:hAnsi="黑体" w:eastAsia="黑体"/>
          <w:b/>
          <w:sz w:val="21"/>
        </w:rPr>
        <w:t>图19  品牌名称与购买数量</w:t>
      </w:r>
    </w:p>
    <w:p>
      <w:pPr>
        <w:spacing w:line="360" w:lineRule="auto"/>
        <w:ind w:firstLine="198"/>
      </w:pPr>
      <w:r>
        <w:rPr>
          <w:rFonts w:ascii="宋体" w:hAnsi="宋体" w:eastAsia="宋体"/>
          <w:b w:val="0"/>
          <w:sz w:val="21"/>
        </w:rPr>
        <w:t>图中条形图展示购买量 Top12 品牌（按 value_counts 降序排列），柱长为各品牌被购买记录数。条形图可直观比较品牌间的量级差距：第一梯队（长柱）与长尾梯队（短柱）之间的落差，即品牌竞争格局。结合价格与年龄画像，可进一步分析“高销量品牌是否对应高客单价”以及“各品牌的主力人群是谁”，为选品与品牌合作提供数据支撑。</w:t>
      </w:r>
    </w:p>
    <w:p/>
    <w:p>
      <w:pPr>
        <w:pStyle w:val="Heading1"/>
      </w:pPr>
      <w:r>
        <w:rPr>
          <w:rFonts w:ascii="黑体" w:hAnsi="黑体" w:eastAsia="黑体"/>
          <w:b/>
          <w:color w:val="1F3A5F"/>
          <w:sz w:val="32"/>
        </w:rPr>
        <w:t>八、总结</w:t>
      </w:r>
    </w:p>
    <w:p>
      <w:pPr>
        <w:spacing w:line="360" w:lineRule="auto"/>
        <w:ind w:firstLine="198"/>
      </w:pPr>
      <w:r>
        <w:rPr>
          <w:rFonts w:ascii="宋体" w:hAnsi="宋体" w:eastAsia="宋体"/>
          <w:b w:val="0"/>
          <w:sz w:val="21"/>
        </w:rPr>
        <w:t>综合以上各节，本次分析通过描述统计与 19 张可视化图表，从时间、地区、用户、商品、画像五个维度还原了该电子产品数据集的核心业务规律：</w:t>
      </w:r>
    </w:p>
    <w:p>
      <w:pPr>
        <w:pStyle w:val="ListBullet"/>
        <w:spacing w:line="336" w:lineRule="auto"/>
      </w:pPr>
      <w:r>
        <w:rPr>
          <w:rFonts w:ascii="宋体" w:hAnsi="宋体" w:eastAsia="宋体"/>
          <w:b w:val="0"/>
          <w:sz w:val="21"/>
        </w:rPr>
        <w:t>时间维度：月度成交金额、消费人数、订单量与客单价共同刻画销售节奏，结合星期与小时分布可定位促销窗口与投放时段；</w:t>
      </w:r>
    </w:p>
    <w:p>
      <w:pPr>
        <w:pStyle w:val="ListBullet"/>
        <w:spacing w:line="336" w:lineRule="auto"/>
      </w:pPr>
      <w:r>
        <w:rPr>
          <w:rFonts w:ascii="宋体" w:hAnsi="宋体" w:eastAsia="宋体"/>
          <w:b w:val="0"/>
          <w:sz w:val="21"/>
        </w:rPr>
        <w:t>地区维度：通过用户、订单、金额三张省份条形图，可拆分各省营收结构并识别高价值市场与待激活市场；</w:t>
      </w:r>
    </w:p>
    <w:p>
      <w:pPr>
        <w:pStyle w:val="ListBullet"/>
        <w:spacing w:line="336" w:lineRule="auto"/>
      </w:pPr>
      <w:r>
        <w:rPr>
          <w:rFonts w:ascii="宋体" w:hAnsi="宋体" w:eastAsia="宋体"/>
          <w:b w:val="0"/>
          <w:sz w:val="21"/>
        </w:rPr>
        <w:t>用户行为：消费次数-金额散点、复购间隔统计揭示用户分层特征，未完成订单占比反映转化效率；</w:t>
      </w:r>
    </w:p>
    <w:p>
      <w:pPr>
        <w:pStyle w:val="ListBullet"/>
        <w:spacing w:line="336" w:lineRule="auto"/>
      </w:pPr>
      <w:r>
        <w:rPr>
          <w:rFonts w:ascii="宋体" w:hAnsi="宋体" w:eastAsia="宋体"/>
          <w:b w:val="0"/>
          <w:sz w:val="21"/>
        </w:rPr>
        <w:t>用户价值：用户分层、回流率、复购率、回购率构成完整的“拉新-促活-召回-留存”监测体系；</w:t>
      </w:r>
    </w:p>
    <w:p>
      <w:pPr>
        <w:pStyle w:val="ListBullet"/>
        <w:spacing w:line="336" w:lineRule="auto"/>
      </w:pPr>
      <w:r>
        <w:rPr>
          <w:rFonts w:ascii="宋体" w:hAnsi="宋体" w:eastAsia="宋体"/>
          <w:b w:val="0"/>
          <w:sz w:val="21"/>
        </w:rPr>
        <w:t>用户画像：性别饼图、年龄分段条形图与品牌 Top12 条形图，共同描绘出主力消费人群与优势品牌，为运营决策提供依据。</w:t>
      </w:r>
    </w:p>
    <w:p>
      <w:pPr>
        <w:spacing w:line="360" w:lineRule="auto"/>
        <w:ind w:firstLine="198"/>
      </w:pPr>
      <w:r>
        <w:rPr>
          <w:rFonts w:ascii="宋体" w:hAnsi="宋体" w:eastAsia="宋体"/>
          <w:b w:val="0"/>
          <w:sz w:val="21"/>
        </w:rPr>
        <w:t>建议后续在完整代码执行环境中对照各 print 输出的具体数值，将本报告中的定性分析进一步量化为逐月、逐省、逐品牌的精确数字结论，形成可直接引用的数据看板。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