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A3A5C"/>
          <w:sz w:val="72"/>
          <w:szCs w:val="72"/>
        </w:rPr>
        <w:t xml:space="preserve">TENDER360</w:t>
      </w:r>
    </w:p>
    <w:p>
      <w:pPr>
        <w:spacing w:after="0" w:before="0"/>
        <w:jc w:val="center"/>
      </w:pPr>
      <w:r>
        <w:rPr>
          <w:rFonts w:ascii="Arial" w:cs="Arial" w:eastAsia="Arial" w:hAnsi="Arial"/>
          <w:b/>
          <w:bCs/>
          <w:color w:val="16A085"/>
          <w:sz w:val="32"/>
          <w:szCs w:val="32"/>
        </w:rPr>
        <w:t xml:space="preserve">AI Tender Intelligence Platform</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top"/>
          </w:tcPr>
          <w:p>
            <w:pPr>
              <w:spacing w:after="120" w:before="120"/>
              <w:jc w:val="center"/>
            </w:pPr>
            <w:r>
              <w:rPr>
                <w:rFonts w:ascii="Arial" w:cs="Arial" w:eastAsia="Arial" w:hAnsi="Arial"/>
                <w:b/>
                <w:bCs/>
                <w:color w:val="FFFFFF"/>
                <w:sz w:val="36"/>
                <w:szCs w:val="36"/>
              </w:rPr>
              <w:t xml:space="preserve">Developer Implementation Guide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top"/>
          </w:tcPr>
          <w:p>
            <w:r>
              <w:rPr>
                <w:rFonts w:ascii="Arial" w:cs="Arial" w:eastAsia="Arial" w:hAnsi="Arial"/>
                <w:b/>
                <w:bCs/>
                <w:color w:val="1A3A5C"/>
                <w:sz w:val="18"/>
                <w:szCs w:val="18"/>
              </w:rPr>
              <w:t xml:space="preserve">Document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Tender360 — Developer Implementation Guide (Priority-Ordered)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Version</w:t>
            </w:r>
          </w:p>
        </w:tc>
        <w:tc>
          <w:tcPr>
            <w:tcW w:type="dxa" w:w="6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1.0 — Combined Claude Code + Cursor Audit Output</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top"/>
          </w:tcPr>
          <w:p>
            <w:r>
              <w:rPr>
                <w:rFonts w:ascii="Arial" w:cs="Arial" w:eastAsia="Arial" w:hAnsi="Arial"/>
                <w:b/>
                <w:bCs/>
                <w:color w:val="1A3A5C"/>
                <w:sz w:val="18"/>
                <w:szCs w:val="18"/>
              </w:rPr>
              <w:t xml:space="preserve">Prepared by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Celeris Ventures — Product &amp; Architecture Team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Date</w:t>
            </w:r>
          </w:p>
        </w:tc>
        <w:tc>
          <w:tcPr>
            <w:tcW w:type="dxa" w:w="6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June 2026</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top"/>
          </w:tcPr>
          <w:p>
            <w:r>
              <w:rPr>
                <w:rFonts w:ascii="Arial" w:cs="Arial" w:eastAsia="Arial" w:hAnsi="Arial"/>
                <w:b/>
                <w:bCs/>
                <w:color w:val="1A3A5C"/>
                <w:sz w:val="18"/>
                <w:szCs w:val="18"/>
              </w:rPr>
              <w:t xml:space="preserve">Status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ACTIVE — For immediate developer handoff</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Audience</w:t>
            </w:r>
          </w:p>
        </w:tc>
        <w:tc>
          <w:tcPr>
            <w:tcW w:type="dxa" w:w="6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Backend Developers, AI/ML Engineers, Frontend Developers</w:t>
            </w:r>
          </w:p>
        </w:tc>
      </w:tr>
    </w:tbl>
    <w:p>
      <w:pPr>
        <w:spacing w:after="0" w:before="0"/>
      </w:pPr>
      <w:r>
        <w:t xml:space="preserve"/>
      </w:r>
    </w:p>
    <w:p>
      <w:pPr>
        <w:spacing w:after="0" w:before="0"/>
      </w:pPr>
      <w:r>
        <w:t xml:space="preserve"/>
      </w:r>
    </w:p>
    <w:p>
      <w:pPr>
        <w:spacing w:after="120" w:before="0"/>
      </w:pPr>
      <w:r>
        <w:rPr>
          <w:rFonts w:ascii="Arial" w:cs="Arial" w:eastAsia="Arial" w:hAnsi="Arial"/>
          <w:i/>
          <w:iCs/>
          <w:color w:val="5D6D7E"/>
          <w:sz w:val="20"/>
          <w:szCs w:val="20"/>
        </w:rPr>
        <w:t xml:space="preserve">This document consolidates the full static codebase audit conducted by Claude Code and Cursor against the Thermo Fisher RTM. It is ordered strictly by delivery priority. Developers must complete each phase before starting the next. Every item includes: current status, exact file location, what to build, and acceptance test.</w:t>
      </w:r>
    </w:p>
    <w:r>
      <w:br w:type="page"/>
    </w:r>
    <w:p>
      <w:pPr>
        <w:pStyle w:val="Heading1"/>
        <w:spacing w:after="160" w:before="360"/>
      </w:pPr>
      <w:r>
        <w:rPr>
          <w:rFonts w:ascii="Arial" w:cs="Arial" w:eastAsia="Arial" w:hAnsi="Arial"/>
          <w:b/>
          <w:bCs/>
          <w:color w:val="1A3A5C"/>
          <w:sz w:val="36"/>
          <w:szCs w:val="36"/>
        </w:rPr>
        <w:t xml:space="preserve">Executive Summary — Combined Audit Findings</w:t>
      </w:r>
    </w:p>
    <w:p>
      <w:pPr>
        <w:spacing w:after="120" w:before="0"/>
      </w:pPr>
      <w:r>
        <w:rPr>
          <w:rFonts w:ascii="Arial" w:cs="Arial" w:eastAsia="Arial" w:hAnsi="Arial"/>
          <w:color w:val="000000"/>
          <w:sz w:val="20"/>
          <w:szCs w:val="20"/>
        </w:rPr>
        <w:t xml:space="preserve">Two independent static analyses (Claude Code + Cursor) were run against the full Tender360 codebase. Both audits independently agreed on the same critical gaps. The system is approximately 35% functional end-to-end against the Thermo Fisher RTM.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top"/>
          </w:tcPr>
          <w:p>
            <w:r>
              <w:rPr>
                <w:rFonts w:ascii="Arial" w:cs="Arial" w:eastAsia="Arial" w:hAnsi="Arial"/>
                <w:b/>
                <w:bCs/>
                <w:color w:val="FFFFFF"/>
                <w:sz w:val="26"/>
                <w:szCs w:val="26"/>
              </w:rPr>
              <w:t xml:space="preserve">Overall Readiness Score: 35% Functional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Workflow Block</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Readiness</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RTM Items</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Biggest Gap</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GovWin + SAM.gov Discovery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7AE60"/>
                <w:sz w:val="18"/>
                <w:szCs w:val="18"/>
              </w:rPr>
              <w:t xml:space="preserve">70%</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6A085"/>
                <w:sz w:val="18"/>
                <w:szCs w:val="18"/>
              </w:rPr>
              <w:t xml:space="preserve">TB-001 → TB-006</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Auth model wrong; saved search ID missing; placeholder file fallback</w:t>
            </w:r>
          </w:p>
        </w:tc>
      </w:tr>
      <w:tr>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Email Tender Scanning (ATS)</w:t>
            </w:r>
          </w:p>
        </w:tc>
        <w:tc>
          <w:tcPr>
            <w:tcW w:type="dxa" w:w="2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F39C12"/>
                <w:sz w:val="18"/>
                <w:szCs w:val="18"/>
              </w:rPr>
              <w:t xml:space="preserve">60%</w:t>
            </w:r>
          </w:p>
        </w:tc>
        <w:tc>
          <w:tcPr>
            <w:tcW w:type="dxa" w:w="16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color w:val="16A085"/>
                <w:sz w:val="18"/>
                <w:szCs w:val="18"/>
              </w:rPr>
              <w:t xml:space="preserve">ATS-001 → ATS-010</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Excel keyword loader missing; PDF attachment scan not wired; Thermo mailboxes not configured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Document Intelligence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15%</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6A085"/>
                <w:sz w:val="18"/>
                <w:szCs w:val="18"/>
              </w:rPr>
              <w:t xml:space="preserve">TB-007 → TB-010</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Only generic AI summary; no ship-to, T&amp;C, or pricing extraction</w:t>
            </w:r>
          </w:p>
        </w:tc>
      </w:tr>
      <w:tr>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Storage &amp; Output</w:t>
            </w:r>
          </w:p>
        </w:tc>
        <w:tc>
          <w:tcPr>
            <w:tcW w:type="dxa" w:w="2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5%</w:t>
            </w:r>
          </w:p>
        </w:tc>
        <w:tc>
          <w:tcPr>
            <w:tcW w:type="dxa" w:w="16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color w:val="16A085"/>
                <w:sz w:val="18"/>
                <w:szCs w:val="18"/>
              </w:rPr>
              <w:t xml:space="preserve">TB-011 → TB-016</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No PostgreSQL, no SharePoint, no Excel reports — nothing built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Scheduler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D35400"/>
                <w:sz w:val="18"/>
                <w:szCs w:val="18"/>
              </w:rPr>
              <w:t xml:space="preserve">40%</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6A085"/>
                <w:sz w:val="18"/>
                <w:szCs w:val="18"/>
              </w:rPr>
              <w:t xml:space="preserve">Cross-cutting</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setInterval only; no production cron; no 3 AM UTC guarantee</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Where the Two Audits Agreed (Validated Findings)</w:t>
      </w:r>
    </w:p>
    <w:p>
      <w:pPr>
        <w:spacing w:after="80" w:before="0"/>
      </w:pPr>
      <w:r>
        <w:rPr>
          <w:rFonts w:ascii="Arial" w:cs="Arial" w:eastAsia="Arial" w:hAnsi="Arial"/>
          <w:color w:val="000000"/>
          <w:sz w:val="20"/>
          <w:szCs w:val="20"/>
        </w:rPr>
        <w:t xml:space="preserve">The following findings were independently confirmed by both Claude Code and Cursor — treat these as highest-confidence gaps:</w:t>
      </w:r>
    </w:p>
    <w:p>
      <w:pPr>
        <w:pStyle w:val="ListParagraph"/>
        <w:numPr>
          <w:ilvl w:val="0"/>
          <w:numId w:val="2"/>
        </w:numPr>
        <w:spacing w:after="40" w:before="40"/>
      </w:pPr>
      <w:r>
        <w:rPr>
          <w:rFonts w:ascii="Arial" w:cs="Arial" w:eastAsia="Arial" w:hAnsi="Arial"/>
          <w:color w:val="000000"/>
          <w:sz w:val="20"/>
          <w:szCs w:val="20"/>
        </w:rPr>
        <w:t xml:space="preserve">GovWin uses apiKey + baseUrl — searchID / userID fields do not exist anywhere in the codebase</w:t>
      </w:r>
    </w:p>
    <w:p>
      <w:pPr>
        <w:pStyle w:val="ListParagraph"/>
        <w:numPr>
          <w:ilvl w:val="0"/>
          <w:numId w:val="2"/>
        </w:numPr>
        <w:spacing w:after="40" w:before="40"/>
      </w:pPr>
      <w:r>
        <w:rPr>
          <w:rFonts w:ascii="Arial" w:cs="Arial" w:eastAsia="Arial" w:hAnsi="Arial"/>
          <w:color w:val="000000"/>
          <w:sz w:val="20"/>
          <w:szCs w:val="20"/>
        </w:rPr>
        <w:t xml:space="preserve">PostgreSQL: zero instances. Entire persistence layer is MongoDB/Mongoose. No pg, prisma, or sequelize in package.json</w:t>
      </w:r>
    </w:p>
    <w:p>
      <w:pPr>
        <w:pStyle w:val="ListParagraph"/>
        <w:numPr>
          <w:ilvl w:val="0"/>
          <w:numId w:val="2"/>
        </w:numPr>
        <w:spacing w:after="40" w:before="40"/>
      </w:pPr>
      <w:r>
        <w:rPr>
          <w:rFonts w:ascii="Arial" w:cs="Arial" w:eastAsia="Arial" w:hAnsi="Arial"/>
          <w:color w:val="000000"/>
          <w:sz w:val="20"/>
          <w:szCs w:val="20"/>
        </w:rPr>
        <w:t xml:space="preserve">SharePoint / Teams: Graph API used for Outlook email only. No drive upload, no folder provisioning, no @microsoft/microsoft-graph-client</w:t>
      </w:r>
    </w:p>
    <w:p>
      <w:pPr>
        <w:pStyle w:val="ListParagraph"/>
        <w:numPr>
          <w:ilvl w:val="0"/>
          <w:numId w:val="2"/>
        </w:numPr>
        <w:spacing w:after="40" w:before="40"/>
      </w:pPr>
      <w:r>
        <w:rPr>
          <w:rFonts w:ascii="Arial" w:cs="Arial" w:eastAsia="Arial" w:hAnsi="Arial"/>
          <w:color w:val="000000"/>
          <w:sz w:val="20"/>
          <w:szCs w:val="20"/>
        </w:rPr>
        <w:t xml:space="preserve">Excel report generation: no exceljs or xlsx-write in package.json. No report builder code exists</w:t>
      </w:r>
    </w:p>
    <w:p>
      <w:pPr>
        <w:pStyle w:val="ListParagraph"/>
        <w:numPr>
          <w:ilvl w:val="0"/>
          <w:numId w:val="2"/>
        </w:numPr>
        <w:spacing w:after="40" w:before="40"/>
      </w:pPr>
      <w:r>
        <w:rPr>
          <w:rFonts w:ascii="Arial" w:cs="Arial" w:eastAsia="Arial" w:hAnsi="Arial"/>
          <w:color w:val="000000"/>
          <w:sz w:val="20"/>
          <w:szCs w:val="20"/>
        </w:rPr>
        <w:t xml:space="preserve">PDF attachment scanning in ATS: pdf-parse library EXISTS but is NOT wired into the email scanning path — only used in document-intelligence module</w:t>
      </w:r>
    </w:p>
    <w:p>
      <w:pPr>
        <w:pStyle w:val="ListParagraph"/>
        <w:numPr>
          <w:ilvl w:val="0"/>
          <w:numId w:val="2"/>
        </w:numPr>
        <w:spacing w:after="40" w:before="40"/>
      </w:pPr>
      <w:r>
        <w:rPr>
          <w:rFonts w:ascii="Arial" w:cs="Arial" w:eastAsia="Arial" w:hAnsi="Arial"/>
          <w:color w:val="000000"/>
          <w:sz w:val="20"/>
          <w:szCs w:val="20"/>
        </w:rPr>
        <w:t xml:space="preserve">Scheduler: setInterval with 60s default. No cron library. 3 AM UTC is impossible in current architecture</w:t>
      </w:r>
    </w:p>
    <w:p>
      <w:pPr>
        <w:pStyle w:val="ListParagraph"/>
        <w:numPr>
          <w:ilvl w:val="0"/>
          <w:numId w:val="2"/>
        </w:numPr>
        <w:spacing w:after="40" w:before="40"/>
      </w:pPr>
      <w:r>
        <w:rPr>
          <w:rFonts w:ascii="Arial" w:cs="Arial" w:eastAsia="Arial" w:hAnsi="Arial"/>
          <w:color w:val="000000"/>
          <w:sz w:val="20"/>
          <w:szCs w:val="20"/>
        </w:rPr>
        <w:t xml:space="preserve">Attachment download fallback: createPlaceholderFile() writes fake 50-byte text files when download fails — this will expose the gap in a demo</w:t>
      </w:r>
    </w:p>
    <w:p>
      <w:pPr>
        <w:pStyle w:val="ListParagraph"/>
        <w:numPr>
          <w:ilvl w:val="0"/>
          <w:numId w:val="2"/>
        </w:numPr>
        <w:spacing w:after="40" w:before="40"/>
      </w:pPr>
      <w:r>
        <w:rPr>
          <w:rFonts w:ascii="Arial" w:cs="Arial" w:eastAsia="Arial" w:hAnsi="Arial"/>
          <w:color w:val="000000"/>
          <w:sz w:val="20"/>
          <w:szCs w:val="20"/>
        </w:rPr>
        <w:t xml:space="preserve">ATS-002 keyword loading from Excel: no Excel file loader. Keywords come from MongoDB, not the Excel file the client specified</w:t>
      </w:r>
    </w:p>
    <w:p>
      <w:pPr>
        <w:spacing w:after="0" w:before="0"/>
      </w:pPr>
      <w:r>
        <w:t xml:space="preserve"/>
      </w:r>
    </w:p>
    <w:p>
      <w:pPr>
        <w:pStyle w:val="Heading2"/>
        <w:spacing w:after="120" w:before="280"/>
      </w:pPr>
      <w:r>
        <w:rPr>
          <w:rFonts w:ascii="Arial" w:cs="Arial" w:eastAsia="Arial" w:hAnsi="Arial"/>
          <w:b/>
          <w:bCs/>
          <w:color w:val="1A3A5C"/>
          <w:sz w:val="28"/>
          <w:szCs w:val="28"/>
        </w:rPr>
        <w:t xml:space="preserve">What IS Demo-Ready Today</w:t>
      </w:r>
    </w:p>
    <w:p>
      <w:pPr>
        <w:pStyle w:val="ListParagraph"/>
        <w:numPr>
          <w:ilvl w:val="0"/>
          <w:numId w:val="2"/>
        </w:numPr>
        <w:spacing w:after="40" w:before="40"/>
      </w:pPr>
      <w:r>
        <w:rPr>
          <w:rFonts w:ascii="Arial" w:cs="Arial" w:eastAsia="Arial" w:hAnsi="Arial"/>
          <w:color w:val="000000"/>
          <w:sz w:val="20"/>
          <w:szCs w:val="20"/>
        </w:rPr>
        <w:t xml:space="preserve">Dashboard, Discovery UI, Tender feed, Intelligence workspace — fully built frontend navigation (confirmed by screenshot)</w:t>
      </w:r>
    </w:p>
    <w:p>
      <w:pPr>
        <w:pStyle w:val="ListParagraph"/>
        <w:numPr>
          <w:ilvl w:val="0"/>
          <w:numId w:val="2"/>
        </w:numPr>
        <w:spacing w:after="40" w:before="40"/>
      </w:pPr>
      <w:r>
        <w:rPr>
          <w:rFonts w:ascii="Arial" w:cs="Arial" w:eastAsia="Arial" w:hAnsi="Arial"/>
          <w:color w:val="000000"/>
          <w:sz w:val="20"/>
          <w:szCs w:val="20"/>
        </w:rPr>
        <w:t xml:space="preserve">GovWin + SAM.gov API calls work with demo credentials — returns seeded bids</w:t>
      </w:r>
    </w:p>
    <w:p>
      <w:pPr>
        <w:pStyle w:val="ListParagraph"/>
        <w:numPr>
          <w:ilvl w:val="0"/>
          <w:numId w:val="2"/>
        </w:numPr>
        <w:spacing w:after="40" w:before="40"/>
      </w:pPr>
      <w:r>
        <w:rPr>
          <w:rFonts w:ascii="Arial" w:cs="Arial" w:eastAsia="Arial" w:hAnsi="Arial"/>
          <w:color w:val="000000"/>
          <w:sz w:val="20"/>
          <w:szCs w:val="20"/>
        </w:rPr>
        <w:t xml:space="preserve">Email inbox scan, move to folder, forward to sales — all work with demo seed data</w:t>
      </w:r>
    </w:p>
    <w:p>
      <w:pPr>
        <w:pStyle w:val="ListParagraph"/>
        <w:numPr>
          <w:ilvl w:val="0"/>
          <w:numId w:val="2"/>
        </w:numPr>
        <w:spacing w:after="40" w:before="40"/>
      </w:pPr>
      <w:r>
        <w:rPr>
          <w:rFonts w:ascii="Arial" w:cs="Arial" w:eastAsia="Arial" w:hAnsi="Arial"/>
          <w:color w:val="000000"/>
          <w:sz w:val="20"/>
          <w:szCs w:val="20"/>
        </w:rPr>
        <w:t xml:space="preserve">New vs updated bid detection with content hash deduplication</w:t>
      </w:r>
    </w:p>
    <w:p>
      <w:pPr>
        <w:pStyle w:val="ListParagraph"/>
        <w:numPr>
          <w:ilvl w:val="0"/>
          <w:numId w:val="2"/>
        </w:numPr>
        <w:spacing w:after="40" w:before="40"/>
      </w:pPr>
      <w:r>
        <w:rPr>
          <w:rFonts w:ascii="Arial" w:cs="Arial" w:eastAsia="Arial" w:hAnsi="Arial"/>
          <w:color w:val="000000"/>
          <w:sz w:val="20"/>
          <w:szCs w:val="20"/>
        </w:rPr>
        <w:t xml:space="preserve">MongoDB CRUD persistence — all bid data stores correctly</w:t>
      </w:r>
    </w:p>
    <w:p>
      <w:pPr>
        <w:pStyle w:val="ListParagraph"/>
        <w:numPr>
          <w:ilvl w:val="0"/>
          <w:numId w:val="2"/>
        </w:numPr>
        <w:spacing w:after="40" w:before="40"/>
      </w:pPr>
      <w:r>
        <w:rPr>
          <w:rFonts w:ascii="Arial" w:cs="Arial" w:eastAsia="Arial" w:hAnsi="Arial"/>
          <w:color w:val="000000"/>
          <w:sz w:val="20"/>
          <w:szCs w:val="20"/>
        </w:rPr>
        <w:t xml:space="preserve">AI relevancy scoring — works in heuristic mode on demo data</w:t>
      </w:r>
    </w:p>
    <w:r>
      <w:br w:type="page"/>
    </w:r>
    <w:p>
      <w:pPr>
        <w:pStyle w:val="Heading1"/>
        <w:spacing w:after="160" w:before="360"/>
      </w:pPr>
      <w:r>
        <w:rPr>
          <w:rFonts w:ascii="Arial" w:cs="Arial" w:eastAsia="Arial" w:hAnsi="Arial"/>
          <w:b/>
          <w:bCs/>
          <w:color w:val="1A3A5C"/>
          <w:sz w:val="36"/>
          <w:szCs w:val="36"/>
        </w:rPr>
        <w:t xml:space="preserve">Implementation Phases — Priority Order</w:t>
      </w:r>
    </w:p>
    <w:p>
      <w:pPr>
        <w:spacing w:after="120" w:before="0"/>
      </w:pPr>
      <w:r>
        <w:rPr>
          <w:rFonts w:ascii="Arial" w:cs="Arial" w:eastAsia="Arial" w:hAnsi="Arial"/>
          <w:color w:val="000000"/>
          <w:sz w:val="20"/>
          <w:szCs w:val="20"/>
        </w:rPr>
        <w:t xml:space="preserve">Each phase must be completed and tested before the next begins. Phases are ordered by: (1) what the client will demo first, (2) what unblocks downstream features, (3) effort-to-impact ratio.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2060"/>
        <w:gridCol w:w="2800"/>
      </w:tblGrid>
      <w:t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Phase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Focus Area</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Timeline</w:t>
            </w:r>
          </w:p>
        </w:tc>
        <w:tc>
          <w:tcPr>
            <w:tcW w:type="dxa" w:w="20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RTM Requirements</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Outcome</w:t>
            </w:r>
          </w:p>
        </w:tc>
      </w:tr>
      <w:tr>
        <w:tc>
          <w:tcPr>
            <w:tcW w:type="dxa" w:w="900"/>
            <w:tcBorders>
              <w:top w:val="single" w:color="BDC3C7" w:sz="1"/>
              <w:left w:val="single" w:color="BDC3C7" w:sz="1"/>
              <w:bottom w:val="single" w:color="BDC3C7" w:sz="1"/>
              <w:right w:val="single" w:color="BDC3C7" w:sz="1"/>
            </w:tcBorders>
            <w:shd w:fill="FDECEA"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20"/>
                <w:szCs w:val="20"/>
              </w:rPr>
              <w:t xml:space="preserve">P1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Discovery — GovWin + SAM + Email ATS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D35400"/>
                <w:sz w:val="18"/>
                <w:szCs w:val="18"/>
              </w:rPr>
              <w:t xml:space="preserve">Weeks 1–4</w:t>
            </w:r>
          </w:p>
        </w:tc>
        <w:tc>
          <w:tcPr>
            <w:tcW w:type="dxa" w:w="2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i/>
                <w:iCs/>
                <w:color w:val="16A085"/>
                <w:sz w:val="17"/>
                <w:szCs w:val="17"/>
              </w:rPr>
              <w:t xml:space="preserve">TB-001→006, ATS-001→010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Full discovery working end-to-end with real data and real mailboxes</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color w:val="D35400"/>
                <w:sz w:val="20"/>
                <w:szCs w:val="20"/>
              </w:rPr>
              <w:t xml:space="preserve">P2</w:t>
            </w:r>
          </w:p>
        </w:tc>
        <w:tc>
          <w:tcPr>
            <w:tcW w:type="dxa" w:w="2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Document Intelligence + Scheduler</w:t>
            </w:r>
          </w:p>
        </w:tc>
        <w:tc>
          <w:tcPr>
            <w:tcW w:type="dxa" w:w="1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color w:val="D35400"/>
                <w:sz w:val="18"/>
                <w:szCs w:val="18"/>
              </w:rPr>
              <w:t xml:space="preserve">Weeks 5–8</w:t>
            </w:r>
          </w:p>
        </w:tc>
        <w:tc>
          <w:tcPr>
            <w:tcW w:type="dxa" w:w="20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i/>
                <w:iCs/>
                <w:color w:val="16A085"/>
                <w:sz w:val="17"/>
                <w:szCs w:val="17"/>
              </w:rPr>
              <w:t xml:space="preserve">TB-007→010, Scheduler</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Structured extraction from PDFs; production-grade cron at 3 AM UTC</w:t>
            </w:r>
          </w:p>
        </w:tc>
      </w:tr>
      <w:tr>
        <w:tc>
          <w:tcPr>
            <w:tcW w:type="dxa" w:w="900"/>
            <w:tcBorders>
              <w:top w:val="single" w:color="BDC3C7" w:sz="1"/>
              <w:left w:val="single" w:color="BDC3C7" w:sz="1"/>
              <w:bottom w:val="single" w:color="BDC3C7" w:sz="1"/>
              <w:right w:val="single" w:color="BDC3C7" w:sz="1"/>
            </w:tcBorders>
            <w:shd w:fill="EAF4FB"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20"/>
                <w:szCs w:val="20"/>
              </w:rPr>
              <w:t xml:space="preserve">P3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Output Layer — Excel + PostgreSQL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D35400"/>
                <w:sz w:val="18"/>
                <w:szCs w:val="18"/>
              </w:rPr>
              <w:t xml:space="preserve">Weeks 9–12</w:t>
            </w:r>
          </w:p>
        </w:tc>
        <w:tc>
          <w:tcPr>
            <w:tcW w:type="dxa" w:w="2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i/>
                <w:iCs/>
                <w:color w:val="16A085"/>
                <w:sz w:val="17"/>
                <w:szCs w:val="17"/>
              </w:rPr>
              <w:t xml:space="preserve">TB-014, TB-015, TB-016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Daily Excel reports generated; data written to client PostgreSQL</w:t>
            </w:r>
          </w:p>
        </w:tc>
      </w:tr>
      <w:tr>
        <w:tc>
          <w:tcPr>
            <w:tcW w:type="dxa" w:w="9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color w:val="2980B9"/>
                <w:sz w:val="20"/>
                <w:szCs w:val="20"/>
              </w:rPr>
              <w:t xml:space="preserve">P4</w:t>
            </w:r>
          </w:p>
        </w:tc>
        <w:tc>
          <w:tcPr>
            <w:tcW w:type="dxa" w:w="2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Teams/SharePoint + Salesforce</w:t>
            </w:r>
          </w:p>
        </w:tc>
        <w:tc>
          <w:tcPr>
            <w:tcW w:type="dxa" w:w="1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color w:val="D35400"/>
                <w:sz w:val="18"/>
                <w:szCs w:val="18"/>
              </w:rPr>
              <w:t xml:space="preserve">Weeks 13–20</w:t>
            </w:r>
          </w:p>
        </w:tc>
        <w:tc>
          <w:tcPr>
            <w:tcW w:type="dxa" w:w="20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i/>
                <w:iCs/>
                <w:color w:val="16A085"/>
                <w:sz w:val="17"/>
                <w:szCs w:val="17"/>
              </w:rPr>
              <w:t xml:space="preserve">TB-011→013</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Bid docs uploaded to Teams; account validation against Salesforce</w:t>
            </w:r>
          </w:p>
        </w:tc>
      </w:tr>
    </w:tbl>
    <w:r>
      <w:br w:type="page"/>
    </w: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vAlign w:val="top"/>
          </w:tcPr>
          <w:p>
            <w:pPr>
              <w:jc w:val="center"/>
            </w:pPr>
            <w:r>
              <w:rPr>
                <w:rFonts w:ascii="Arial" w:cs="Arial" w:eastAsia="Arial" w:hAnsi="Arial"/>
                <w:b/>
                <w:bCs/>
                <w:color w:val="FFFFFF"/>
                <w:sz w:val="40"/>
                <w:szCs w:val="40"/>
              </w:rPr>
              <w:t xml:space="preserve">PHASE 1 — DISCOVERY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vAlign w:val="top"/>
          </w:tcPr>
          <w:p>
            <w:r>
              <w:rPr>
                <w:rFonts w:ascii="Arial" w:cs="Arial" w:eastAsia="Arial" w:hAnsi="Arial"/>
                <w:color w:val="1A3A5C"/>
                <w:sz w:val="20"/>
                <w:szCs w:val="20"/>
              </w:rPr>
              <w:t xml:space="preserve">GovWin Bid Prospecting  |  SAM.gov Fallback  |  Outlook Email Tender Scanning  |  Scheduler Hardening</w:t>
            </w:r>
          </w:p>
        </w:tc>
      </w:tr>
    </w:tbl>
    <w:p>
      <w:pPr>
        <w:spacing w:after="0" w:before="0"/>
      </w:pPr>
      <w:r>
        <w:t xml:space="preserve"/>
      </w:r>
    </w:p>
    <w:p>
      <w:pPr>
        <w:spacing w:after="120" w:before="0"/>
      </w:pPr>
      <w:r>
        <w:rPr>
          <w:rFonts w:ascii="Arial" w:cs="Arial" w:eastAsia="Arial" w:hAnsi="Arial"/>
          <w:color w:val="000000"/>
          <w:sz w:val="20"/>
          <w:szCs w:val="20"/>
        </w:rPr>
        <w:t xml:space="preserve">Priority 1 is your demo anchor. Both GovWin/SAM.gov discovery and the Outlook ATS email bot must work end-to-end with real credentials before anything else. This is what Thermo Fisher will look at first in any demo or pilot.</w:t>
      </w:r>
    </w:p>
    <w:p>
      <w:pPr>
        <w:pStyle w:val="Heading2"/>
        <w:spacing w:after="120" w:before="280"/>
      </w:pPr>
      <w:r>
        <w:rPr>
          <w:rFonts w:ascii="Arial" w:cs="Arial" w:eastAsia="Arial" w:hAnsi="Arial"/>
          <w:b/>
          <w:bCs/>
          <w:color w:val="1A3A5C"/>
          <w:sz w:val="28"/>
          <w:szCs w:val="28"/>
        </w:rPr>
        <w:t xml:space="preserve">1A — GovWin Bid Discovery (TB-001 → TB-006)</w:t>
      </w:r>
    </w:p>
    <w:p>
      <w:pPr>
        <w:pStyle w:val="Heading3"/>
        <w:spacing w:after="100" w:before="200"/>
      </w:pPr>
      <w:r>
        <w:rPr>
          <w:rFonts w:ascii="Arial" w:cs="Arial" w:eastAsia="Arial" w:hAnsi="Arial"/>
          <w:b/>
          <w:bCs/>
          <w:color w:val="16A085"/>
          <w:sz w:val="24"/>
          <w:szCs w:val="24"/>
        </w:rPr>
        <w:t xml:space="preserve">Current State</w:t>
      </w:r>
    </w:p>
    <w:p>
      <w:pPr>
        <w:spacing w:after="120" w:before="0"/>
      </w:pPr>
      <w:r>
        <w:rPr>
          <w:rFonts w:ascii="Arial" w:cs="Arial" w:eastAsia="Arial" w:hAnsi="Arial"/>
          <w:color w:val="000000"/>
          <w:sz w:val="20"/>
          <w:szCs w:val="20"/>
        </w:rPr>
        <w:t xml:space="preserve">The GovWin connector makes REST API calls to GovWin IQ and returns bids — but the authentication model is wrong. The current code passes a generic apiKey field. The actual GovWin API (Deltek IQ) requires a searchID and userID pair, not a bearer token. This means every live GovWin call silently falls back to buildDemoOpportunities() and returns fake data.</w:t>
      </w:r>
    </w:p>
    <w:p>
      <w:pPr>
        <w:pStyle w:val="Heading3"/>
        <w:spacing w:after="100" w:before="200"/>
      </w:pPr>
      <w:r>
        <w:rPr>
          <w:rFonts w:ascii="Arial" w:cs="Arial" w:eastAsia="Arial" w:hAnsi="Arial"/>
          <w:b/>
          <w:bCs/>
          <w:color w:val="16A085"/>
          <w:sz w:val="24"/>
          <w:szCs w:val="24"/>
        </w:rPr>
        <w:t xml:space="preserve">Requirement-by-Requirement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2400"/>
        <w:gridCol w:w="800"/>
        <w:gridCol w:w="126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Req #</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 / Task</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Status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Key File(s)</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Effort</w:t>
            </w:r>
          </w:p>
        </w:tc>
        <w:tc>
          <w:tcPr>
            <w:tcW w:type="dxa" w:w="1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What to Build / Fix</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TB-001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Auto-login GovWin via saved credentials + searchID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GovWinConnector.js L9–13</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3-5d</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Replace apiKey with searchID + userID auth; remove demo fallback</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TB-002</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Scan new bids from last 24 hours</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27AE60"/>
                <w:sz w:val="18"/>
                <w:szCs w:val="18"/>
              </w:rPr>
              <w:t xml:space="preserve">EXISTS</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connectorConfigBuilder.js; DiscoveryService.js</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0</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Works. Add unit test.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TB-003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Detect new vs updated bids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27AE60"/>
                <w:sz w:val="18"/>
                <w:szCs w:val="18"/>
              </w:rPr>
              <w:t xml:space="preserve">EXISTS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opportunityContentHash.js; DiscoveryService.js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Works. Verify changeStatus field in output.</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TB-004</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Download all tender documents</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AttachmentHarvestService.js L102–110</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2-3d</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Remove createPlaceholderFile(); add retry logic + alert on failure</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TB-005</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SAM.gov free API fallback for missing docs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27AE60"/>
                <w:sz w:val="18"/>
                <w:szCs w:val="18"/>
              </w:rPr>
              <w:t xml:space="preserve">EXISTS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SamGovConnector.js; AttachmentHarvestService.js L73–82</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Works. Confirm env var SAM_GOV_API_KEY is set.</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TB-006</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Extract full GovWin metadata (all fields)</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DiscoveryMetadataService.js; GovWinConnector.js</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3-4d</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Add: solicitation number, contract value, type of award, duration, place of performance, analyst updates, contacts (title/type/location), related docs, interested vendors</w:t>
            </w:r>
          </w:p>
        </w:tc>
      </w:tr>
    </w:tbl>
    <w:p>
      <w:pPr>
        <w:spacing w:after="0" w:before="0"/>
      </w:pPr>
      <w:r>
        <w:t xml:space="preserve"/>
      </w:r>
    </w:p>
    <w:p>
      <w:pPr>
        <w:pStyle w:val="Heading3"/>
        <w:spacing w:after="100" w:before="200"/>
      </w:pPr>
      <w:r>
        <w:rPr>
          <w:rFonts w:ascii="Arial" w:cs="Arial" w:eastAsia="Arial" w:hAnsi="Arial"/>
          <w:b/>
          <w:bCs/>
          <w:color w:val="16A085"/>
          <w:sz w:val="24"/>
          <w:szCs w:val="24"/>
        </w:rPr>
        <w:t xml:space="preserve">Step-by-Step Implementation Instructions</w:t>
      </w:r>
    </w:p>
    <w:p>
      <w:pPr>
        <w:spacing w:after="80" w:before="160"/>
      </w:pPr>
      <w:r>
        <w:rPr>
          <w:rFonts w:ascii="Arial" w:cs="Arial" w:eastAsia="Arial" w:hAnsi="Arial"/>
          <w:b/>
          <w:bCs/>
          <w:color w:val="5D6D7E"/>
          <w:sz w:val="22"/>
          <w:szCs w:val="22"/>
        </w:rPr>
        <w:t xml:space="preserve">Step 1.A.1 — Fix GovWin Authentication (TB-001) — CRITICAL</w:t>
      </w:r>
    </w:p>
    <w:p>
      <w:pPr>
        <w:spacing w:after="80" w:before="0"/>
      </w:pPr>
      <w:r>
        <w:rPr>
          <w:rFonts w:ascii="Arial" w:cs="Arial" w:eastAsia="Arial" w:hAnsi="Arial"/>
          <w:color w:val="000000"/>
          <w:sz w:val="20"/>
          <w:szCs w:val="20"/>
        </w:rPr>
        <w:t xml:space="preserve">Both audits agree: the GovWin auth model is wrong. Here is exactly what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Open GovWinConnector.js. Find the config block (L9–13) where apiKey is read. Add two new fields: searchId and userId. The Deltek IQ API uses OAuth2 with a search profile ID, not a bearer key.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backend/src/services/connectors/GovWinConnector.js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Config object has searchId, userId, baseUrl. No apiKey field.</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Update the API call (L68–77). Change the Authorization header from Bearer ${apiKey} to the correct GovWin OAuth2 token exchange: POST to https://iq.govwin.com/neo-ws/oauth/token with client_id=userId, client_secret=searchId, grant_type=client_credentials. Cache the token with 1-hour TTL.</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GovWinConnector.js L68–77</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Connector returns HTTP 200 from live GovWin IQ API with real credentials.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the buildDemoOpportunities() fallback entirely (L15–43). Replace with a proper error throw so the scheduler catches and logs the failure rather than silently serving demo data.</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GovWinConnector.js L15–43</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Without credentials, connector throws ConfigurationError — not returns demo data.</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Add GOVWIN_SEARCH_ID, GOVWIN_USER_ID to .env.production.example and backend/src/config/env.js validator. Remove the old GOVWIN_API_KEY reference.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backend/.env.production.example; backend/src/config/env.js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App fails to start if GOVWIN_SEARCH_ID or GOVWIN_USER_ID missing.</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searchId support to the TenderSource model. The saved search filter "Bid automation search filters" from the PDD must be configurable per-source. Add searchFilterName field to TenderSource schema.</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backend/src/modules/tender-discovery/models/TenderSource.js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TenderSource document can store searchFilterName; GovWin connector reads it in the API query.</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6</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Update connectorConfigBuilder.js to pass searchId, userId, and searchFilterName when building GovWin config objects.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backend/src/modules/tender-discovery/utils/connectorConfigBuilder.js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buildGovWinConfig() returns object with all three new fields.</w:t>
            </w:r>
          </w:p>
        </w:tc>
      </w:tr>
    </w:tbl>
    <w:p>
      <w:pPr>
        <w:spacing w:after="0" w:before="0"/>
      </w:pPr>
      <w:r>
        <w:t xml:space="preserve"/>
      </w:r>
    </w:p>
    <w:p>
      <w:pPr>
        <w:spacing w:after="80" w:before="160"/>
      </w:pPr>
      <w:r>
        <w:rPr>
          <w:rFonts w:ascii="Arial" w:cs="Arial" w:eastAsia="Arial" w:hAnsi="Arial"/>
          <w:b/>
          <w:bCs/>
          <w:color w:val="5D6D7E"/>
          <w:sz w:val="22"/>
          <w:szCs w:val="22"/>
        </w:rPr>
        <w:t xml:space="preserve">Step 1.A.2 — Fix Attachment Download Fallback (TB-004) — HIGH</w:t>
      </w:r>
    </w:p>
    <w:p>
      <w:pPr>
        <w:spacing w:after="80" w:before="0"/>
      </w:pPr>
      <w:r>
        <w:rPr>
          <w:rFonts w:ascii="Arial" w:cs="Arial" w:eastAsia="Arial" w:hAnsi="Arial"/>
          <w:color w:val="000000"/>
          <w:sz w:val="20"/>
          <w:szCs w:val="20"/>
        </w:rPr>
        <w:t xml:space="preserve">The createPlaceholderFile() function in AttachmentHarvestService.js writes fake text files when a download fails. This will embarrass the team in a demo if a client clicks "Download" and gets a 50-byte text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createPlaceholderFile() call (L102–110). Replace with a proper retry: attempt download up to 3 times with 2s exponential backoff before giving up.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AttachmentHarvestService.js L102–110</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On download failure, system retries 3× then marks document as "download_failed" — no placeholder file created.</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If all 3 retries fail, set Document.downloadStatus = "failed" and Document.downloadError = the HTTP error. Do not create any file. Log a TenderDiscoveryLog warning entry.</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AttachmentHarvestService.js; models/Document.js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Document record has downloadStatus: "failed" with error message. No file on disk.</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downloadStatus field to Document model: enum ["pending", "downloading", "completed", "failed"]. Add downloadAttempts counter.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backend/src/modules/tender-discovery/models/Document.js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Document schema validates downloadStatus enum correctly.</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Remove demo:// URL handling from AttachmentHarvestService.js (L51–54). These are seed-data artifacts that should not exist in production code paths.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AttachmentHarvestService.js L51–54</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No demo:// protocol handling in production code. Seed data uses real test URLs.</w:t>
            </w:r>
          </w:p>
        </w:tc>
      </w:tr>
    </w:tbl>
    <w:p>
      <w:pPr>
        <w:spacing w:after="0" w:before="0"/>
      </w:pPr>
      <w:r>
        <w:t xml:space="preserve"/>
      </w:r>
    </w:p>
    <w:p>
      <w:pPr>
        <w:spacing w:after="80" w:before="160"/>
      </w:pPr>
      <w:r>
        <w:rPr>
          <w:rFonts w:ascii="Arial" w:cs="Arial" w:eastAsia="Arial" w:hAnsi="Arial"/>
          <w:b/>
          <w:bCs/>
          <w:color w:val="5D6D7E"/>
          <w:sz w:val="22"/>
          <w:szCs w:val="22"/>
        </w:rPr>
        <w:t xml:space="preserve">Step 1.A.3 — Complete GovWin Metadata Extraction (TB-006) — MEDIUM</w:t>
      </w:r>
    </w:p>
    <w:p>
      <w:pPr>
        <w:spacing w:after="80" w:before="0"/>
      </w:pPr>
      <w:r>
        <w:rPr>
          <w:rFonts w:ascii="Arial" w:cs="Arial" w:eastAsia="Arial" w:hAnsi="Arial"/>
          <w:color w:val="000000"/>
          <w:sz w:val="20"/>
          <w:szCs w:val="20"/>
        </w:rPr>
        <w:t xml:space="preserve">The current DiscoveryMetadataService.js captures approximately 30% of the fields the RTM requires. The following fields are missing and must be added:</w:t>
      </w:r>
    </w:p>
    <w:p>
      <w:pPr>
        <w:pStyle w:val="ListParagraph"/>
        <w:numPr>
          <w:ilvl w:val="0"/>
          <w:numId w:val="2"/>
        </w:numPr>
        <w:spacing w:after="40" w:before="40"/>
      </w:pPr>
      <w:r>
        <w:rPr>
          <w:rFonts w:ascii="Arial" w:cs="Arial" w:eastAsia="Arial" w:hAnsi="Arial"/>
          <w:color w:val="000000"/>
          <w:sz w:val="20"/>
          <w:szCs w:val="20"/>
        </w:rPr>
        <w:t xml:space="preserve">solicitation_number — from Opportunity Summary section on GovWin bid page</w:t>
      </w:r>
    </w:p>
    <w:p>
      <w:pPr>
        <w:pStyle w:val="ListParagraph"/>
        <w:numPr>
          <w:ilvl w:val="0"/>
          <w:numId w:val="2"/>
        </w:numPr>
        <w:spacing w:after="40" w:before="40"/>
      </w:pPr>
      <w:r>
        <w:rPr>
          <w:rFonts w:ascii="Arial" w:cs="Arial" w:eastAsia="Arial" w:hAnsi="Arial"/>
          <w:color w:val="000000"/>
          <w:sz w:val="20"/>
          <w:szCs w:val="20"/>
        </w:rPr>
        <w:t xml:space="preserve">contract_value — from Funding/Contract Value section</w:t>
      </w:r>
    </w:p>
    <w:p>
      <w:pPr>
        <w:pStyle w:val="ListParagraph"/>
        <w:numPr>
          <w:ilvl w:val="0"/>
          <w:numId w:val="2"/>
        </w:numPr>
        <w:spacing w:after="40" w:before="40"/>
      </w:pPr>
      <w:r>
        <w:rPr>
          <w:rFonts w:ascii="Arial" w:cs="Arial" w:eastAsia="Arial" w:hAnsi="Arial"/>
          <w:color w:val="000000"/>
          <w:sz w:val="20"/>
          <w:szCs w:val="20"/>
        </w:rPr>
        <w:t xml:space="preserve">type_of_award — from Opportunity Summary (e.g. IDIQ, FFP, T&amp;M)</w:t>
      </w:r>
    </w:p>
    <w:p>
      <w:pPr>
        <w:pStyle w:val="ListParagraph"/>
        <w:numPr>
          <w:ilvl w:val="0"/>
          <w:numId w:val="2"/>
        </w:numPr>
        <w:spacing w:after="40" w:before="40"/>
      </w:pPr>
      <w:r>
        <w:rPr>
          <w:rFonts w:ascii="Arial" w:cs="Arial" w:eastAsia="Arial" w:hAnsi="Arial"/>
          <w:color w:val="000000"/>
          <w:sz w:val="20"/>
          <w:szCs w:val="20"/>
        </w:rPr>
        <w:t xml:space="preserve">duration — period of performance</w:t>
      </w:r>
    </w:p>
    <w:p>
      <w:pPr>
        <w:pStyle w:val="ListParagraph"/>
        <w:numPr>
          <w:ilvl w:val="0"/>
          <w:numId w:val="2"/>
        </w:numPr>
        <w:spacing w:after="40" w:before="40"/>
      </w:pPr>
      <w:r>
        <w:rPr>
          <w:rFonts w:ascii="Arial" w:cs="Arial" w:eastAsia="Arial" w:hAnsi="Arial"/>
          <w:color w:val="000000"/>
          <w:sz w:val="20"/>
          <w:szCs w:val="20"/>
        </w:rPr>
        <w:t xml:space="preserve">place_of_performance — city, state, country</w:t>
      </w:r>
    </w:p>
    <w:p>
      <w:pPr>
        <w:pStyle w:val="ListParagraph"/>
        <w:numPr>
          <w:ilvl w:val="0"/>
          <w:numId w:val="2"/>
        </w:numPr>
        <w:spacing w:after="40" w:before="40"/>
      </w:pPr>
      <w:r>
        <w:rPr>
          <w:rFonts w:ascii="Arial" w:cs="Arial" w:eastAsia="Arial" w:hAnsi="Arial"/>
          <w:color w:val="000000"/>
          <w:sz w:val="20"/>
          <w:szCs w:val="20"/>
        </w:rPr>
        <w:t xml:space="preserve">analyst_updates — from Timeline section (array of dated update strings)</w:t>
      </w:r>
    </w:p>
    <w:p>
      <w:pPr>
        <w:pStyle w:val="ListParagraph"/>
        <w:numPr>
          <w:ilvl w:val="0"/>
          <w:numId w:val="2"/>
        </w:numPr>
        <w:spacing w:after="40" w:before="40"/>
      </w:pPr>
      <w:r>
        <w:rPr>
          <w:rFonts w:ascii="Arial" w:cs="Arial" w:eastAsia="Arial" w:hAnsi="Arial"/>
          <w:color w:val="000000"/>
          <w:sz w:val="20"/>
          <w:szCs w:val="20"/>
        </w:rPr>
        <w:t xml:space="preserve">contact_title, contact_type, contact_location — additional contact fields beyond name/email/phone</w:t>
      </w:r>
    </w:p>
    <w:p>
      <w:pPr>
        <w:pStyle w:val="ListParagraph"/>
        <w:numPr>
          <w:ilvl w:val="0"/>
          <w:numId w:val="2"/>
        </w:numPr>
        <w:spacing w:after="40" w:before="40"/>
      </w:pPr>
      <w:r>
        <w:rPr>
          <w:rFonts w:ascii="Arial" w:cs="Arial" w:eastAsia="Arial" w:hAnsi="Arial"/>
          <w:color w:val="000000"/>
          <w:sz w:val="20"/>
          <w:szCs w:val="20"/>
        </w:rPr>
        <w:t xml:space="preserve">related_documents — list of document titles and types from Resources section</w:t>
      </w:r>
    </w:p>
    <w:p>
      <w:pPr>
        <w:pStyle w:val="ListParagraph"/>
        <w:numPr>
          <w:ilvl w:val="0"/>
          <w:numId w:val="2"/>
        </w:numPr>
        <w:spacing w:after="40" w:before="40"/>
      </w:pPr>
      <w:r>
        <w:rPr>
          <w:rFonts w:ascii="Arial" w:cs="Arial" w:eastAsia="Arial" w:hAnsi="Arial"/>
          <w:color w:val="000000"/>
          <w:sz w:val="20"/>
          <w:szCs w:val="20"/>
        </w:rPr>
        <w:t xml:space="preserve">interested_vendors — vendor list from Vendors and Teaming section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Map all missing fields in GovWinConnector.js normalizeRecord() method (L100–133). Add the new fields to the opportunity schema mapping. Refer to the GovWin IQ API response documentation for exact field names in the JSON response.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GovWinConnector.js L100–133</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Opportunity object contains all 15 RTM-required metadata fields with non-null values for a real GovWin bid.</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Add corresponding fields to the Opportunity/TenderOpportunity Mongoose model. Use nested objects for contacts (array), related_documents (array), and analyst_updates (array).</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models/TenderOpportunity.js or Opportunity.js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Mongoose schema validates all new fields. No schema validation errors on save.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 DiscoveryMetadataService.js buildGovWinMetadata() to populate the new fields from the connector output.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backend/src/modules/tender-discovery/services/DiscoveryMetadataService.js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buildGovWinMetadata() returns object with contacts[], related_documents[], analyst_updates[] all populated.</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1B — Email Tender Scanning — ATS Module (ATS-001 → ATS-010)</w:t>
      </w:r>
    </w:p>
    <w:p>
      <w:pPr>
        <w:pStyle w:val="Heading3"/>
        <w:spacing w:after="100" w:before="200"/>
      </w:pPr>
      <w:r>
        <w:rPr>
          <w:rFonts w:ascii="Arial" w:cs="Arial" w:eastAsia="Arial" w:hAnsi="Arial"/>
          <w:b/>
          <w:bCs/>
          <w:color w:val="16A085"/>
          <w:sz w:val="24"/>
          <w:szCs w:val="24"/>
        </w:rPr>
        <w:t xml:space="preserve">Current State</w:t>
      </w:r>
    </w:p>
    <w:p>
      <w:pPr>
        <w:spacing w:after="120" w:before="0"/>
      </w:pPr>
      <w:r>
        <w:rPr>
          <w:rFonts w:ascii="Arial" w:cs="Arial" w:eastAsia="Arial" w:hAnsi="Arial"/>
          <w:color w:val="000000"/>
          <w:sz w:val="20"/>
          <w:szCs w:val="20"/>
        </w:rPr>
        <w:t xml:space="preserve">The email scanning module is architecturally sound but has four specific gaps that prevent production use: (1) Thermo Fisher mailbox addresses are not configured — demo seed uses fake @healthcare.example.com addresses. (2) No Excel keyword file loader — keywords come from MongoDB not the Excel file the client specified. (3) PDF attachment content is downloaded but never passed through pdf-parse for keyword scanning. (4) The email forward does not strip non-matching link sections before sending.</w:t>
      </w:r>
    </w:p>
    <w:p>
      <w:pPr>
        <w:pStyle w:val="Heading3"/>
        <w:spacing w:after="100" w:before="200"/>
      </w:pPr>
      <w:r>
        <w:rPr>
          <w:rFonts w:ascii="Arial" w:cs="Arial" w:eastAsia="Arial" w:hAnsi="Arial"/>
          <w:b/>
          <w:bCs/>
          <w:color w:val="16A085"/>
          <w:sz w:val="24"/>
          <w:szCs w:val="24"/>
        </w:rPr>
        <w:t xml:space="preserve">Requirement-by-Requirement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2400"/>
        <w:gridCol w:w="800"/>
        <w:gridCol w:w="126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Req #</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 / Task</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Status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Key File(s)</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Effort</w:t>
            </w:r>
          </w:p>
        </w:tc>
        <w:tc>
          <w:tcPr>
            <w:tcW w:type="dxa" w:w="1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What to Build / Fix</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ATS-001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Read tender emails from US + Austria Outlook mailboxes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MicrosoftGraphMailService.js; emailTenderDemoSeed.js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1d</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Configure real Thermo mailbox addresses; set Graph env vars</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ATS-002</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Load keywords from Excel file (.xlsx)</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C0392B"/>
                <w:sz w:val="18"/>
                <w:szCs w:val="18"/>
              </w:rPr>
              <w:t xml:space="preserve">MISSING</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EmailKeywordScanner.js — no Excel loader</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2d</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Build ExcelKeywordLoader service using xlsx library; replace hardcoded keywords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ATS-003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Scan PDF/text attachments for keywords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EmailKeywordScanner.js; MicrosoftGraphMailService.js L230</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2-3d</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Wire pdf-parse into email attachment scan path; download attachment bytes before scanning</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ATS-004</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Multi-link emails: retain matched sections, strip unmatched</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extractLinks.js; EmailTenderScanService.js</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2d</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Build cleaned email body assembler; pass to forwardMessage instead of full bodyText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ATS-005</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Move rejected emails to Rejected Folder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27AE60"/>
                <w:sz w:val="18"/>
                <w:szCs w:val="18"/>
              </w:rPr>
              <w:t xml:space="preserve">EXISTS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EmailTenderScanService.js L172–184</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Works. Verify folderRejected name matches "Rejected Tenders".</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ATS-006</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Forward matched tenders to sales team</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EmailTenderScanService.js L186–192; MicrosoftGraphMailService.js</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1d</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SMTP must be configured (SMTP_HOST, SMTP_USER, SMTP_PASS env vars)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ATS-007</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Handle emails with no links — keyword scan on body only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27AE60"/>
                <w:sz w:val="18"/>
                <w:szCs w:val="18"/>
              </w:rPr>
              <w:t xml:space="preserve">EXISTS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EmailTenderScanService.js scanMode: keywords_only</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Works. Add test case.</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ATS-009</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Retry Outlook login 3× before failure alert</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27AE60"/>
                <w:sz w:val="18"/>
                <w:szCs w:val="18"/>
              </w:rPr>
              <w:t xml:space="preserve">EXISTS</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OutlookAuthRetryService.js MAX_RETRIES=3</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0</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Works. Verify exponential backoff delay.</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ATS-010</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Failure notification with error screenshot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D35400"/>
                <w:sz w:val="18"/>
                <w:szCs w:val="18"/>
              </w:rPr>
              <w:t xml:space="preserve">PARTIAL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FailureNotificationService.js; FailureScreenshotService.js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2d</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Current SVG artifact is not a screenshot. Build Puppeteer or HTML screenshot capture.</w:t>
            </w:r>
          </w:p>
        </w:tc>
      </w:tr>
    </w:tbl>
    <w:p>
      <w:pPr>
        <w:spacing w:after="0" w:before="0"/>
      </w:pPr>
      <w:r>
        <w:t xml:space="preserve"/>
      </w:r>
    </w:p>
    <w:p>
      <w:pPr>
        <w:pStyle w:val="Heading3"/>
        <w:spacing w:after="100" w:before="200"/>
      </w:pPr>
      <w:r>
        <w:rPr>
          <w:rFonts w:ascii="Arial" w:cs="Arial" w:eastAsia="Arial" w:hAnsi="Arial"/>
          <w:b/>
          <w:bCs/>
          <w:color w:val="16A085"/>
          <w:sz w:val="24"/>
          <w:szCs w:val="24"/>
        </w:rPr>
        <w:t xml:space="preserve">Step-by-Step Implementation Instructions</w:t>
      </w:r>
    </w:p>
    <w:p>
      <w:pPr>
        <w:spacing w:after="80" w:before="160"/>
      </w:pPr>
      <w:r>
        <w:rPr>
          <w:rFonts w:ascii="Arial" w:cs="Arial" w:eastAsia="Arial" w:hAnsi="Arial"/>
          <w:b/>
          <w:bCs/>
          <w:color w:val="5D6D7E"/>
          <w:sz w:val="22"/>
          <w:szCs w:val="22"/>
        </w:rPr>
        <w:t xml:space="preserve">Step 1.B.1 — Configure Real Outlook Mailboxes (ATS-001)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 emailTenderDemoSeed.js (or whichever seed file creates mailbox records), replace the demo mailbox addresses with the real Thermo Fisher addresses: US = cmdamericasbids@thermofisher.com, Austria = admin.at@thermo.com. The EmailTenderMailbox model already supports region enum ["US", "AT", "GLOBAL"].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backend/src/seed/data/emailTenderDemoSeed.js; models/EmailTenderMailbox.js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EmailTenderMailbox documents exist in DB with correct Thermo Fisher email addresses and correct region codes.</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Ensure all four Microsoft Graph environment variables are set in production: MS_GRAPH_TENANT_ID, MS_GRAPH_CLIENT_ID, MS_GRAPH_CLIENT_SECRET, MS_GRAPH_USER_EMAIL. Add to .env.production.example. Add validation in env.js so app fails on start if any are missing.</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backend/.env.production.example; backend/src/config/env.js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App refuses to start without all four Graph env vars. OutlookAuthRetryService returns a real token from login.microsoftonline.com.</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Austria mailbox (admin.at@thermo.com) uses a different sender filter: only emails from service@auftrag.at should be processed. Add a senderFilter field to EmailTenderMailbox model. Update EmailTenderScanService.scanMailbox() to apply sender filter when set.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models/EmailTenderMailbox.js; EmailTenderScanService.js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Austria mailbox processes only emails from service@auftrag.at. US mailbox processes all unread emails.</w:t>
            </w:r>
          </w:p>
        </w:tc>
      </w:tr>
    </w:tbl>
    <w:p>
      <w:pPr>
        <w:spacing w:after="0" w:before="0"/>
      </w:pPr>
      <w:r>
        <w:t xml:space="preserve"/>
      </w:r>
    </w:p>
    <w:p>
      <w:pPr>
        <w:spacing w:after="80" w:before="160"/>
      </w:pPr>
      <w:r>
        <w:rPr>
          <w:rFonts w:ascii="Arial" w:cs="Arial" w:eastAsia="Arial" w:hAnsi="Arial"/>
          <w:b/>
          <w:bCs/>
          <w:color w:val="5D6D7E"/>
          <w:sz w:val="22"/>
          <w:szCs w:val="22"/>
        </w:rPr>
        <w:t xml:space="preserve">Step 1.B.2 — Build Excel Keyword File Loader (ATS-002) — HIGH</w:t>
      </w:r>
    </w:p>
    <w:p>
      <w:pPr>
        <w:spacing w:after="80" w:before="0"/>
      </w:pPr>
      <w:r>
        <w:rPr>
          <w:rFonts w:ascii="Arial" w:cs="Arial" w:eastAsia="Arial" w:hAnsi="Arial"/>
          <w:color w:val="000000"/>
          <w:sz w:val="20"/>
          <w:szCs w:val="20"/>
        </w:rPr>
        <w:t xml:space="preserve">This is the only missing module in the ATS block that has zero existing code. The client specifically calls out two Excel files: "Product Keywords.xlsx" and "Thermo Scientific - Key Words.xlsx" (US), and "KEYWORDS_auftrag.at service@auftrag.at.xlsx" (Austria). Keywords must be loaded from these files, not hardcoded in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Install xlsx package: npm install xlsx --save. This is not in package.json. This is the only new dependency needed for this step.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backend/package.json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xlsx appears in package.json dependencies. require("xlsx") resolves without error.</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Create new service: backend/src/modules/email-tender-scanning/services/ExcelKeywordLoaderService.js. Export one function: loadKeywordsFromFile(filePath). It should: read the xlsx file, iterate all sheets, collect all non-empty cell values, deduplicate, return as string[]. Handle both .xlsx and .xls formats.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backend/src/modules/email-tender-scanning/services/ExcelKeywordLoaderService.js (NEW)</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loadKeywordsFromFile("Product Keywords.xlsx") returns array of keyword strings. No duplicates. Works on both test xlsx files.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 EmailKeywordScanner.js loadKeywordsForCompany() to check if the mailbox has a keywordFilePath configured. If yes, call ExcelKeywordLoaderService.loadKeywordsFromFile(). If no, fall back to MongoDB Watchlist keywords (keep existing behavior as fallback).</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EmailKeywordScanner.js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When keywordFilePath is set on mailbox, keywords are loaded from Excel. When not set, MongoDB keywords are used.</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Add keywordFilePath field to EmailTenderMailbox model. Add a file upload endpoint (or admin UI config) to allow uploading/updating the keyword file per mailbox without a code deploy.</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models/EmailTenderMailbox.js; routes/intelligencePlatform.js or admin routes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Mailbox document stores keywordFilePath. Updating the Excel file updates keywords on next scan run without restart.</w:t>
            </w:r>
          </w:p>
        </w:tc>
      </w:tr>
    </w:tbl>
    <w:p>
      <w:pPr>
        <w:spacing w:after="0" w:before="0"/>
      </w:pPr>
      <w:r>
        <w:t xml:space="preserve"/>
      </w:r>
    </w:p>
    <w:p>
      <w:pPr>
        <w:spacing w:after="80" w:before="160"/>
      </w:pPr>
      <w:r>
        <w:rPr>
          <w:rFonts w:ascii="Arial" w:cs="Arial" w:eastAsia="Arial" w:hAnsi="Arial"/>
          <w:b/>
          <w:bCs/>
          <w:color w:val="5D6D7E"/>
          <w:sz w:val="22"/>
          <w:szCs w:val="22"/>
        </w:rPr>
        <w:t xml:space="preserve">Step 1.B.3 — Wire PDF Attachment Scanning (ATS-003) — HIGH</w:t>
      </w:r>
    </w:p>
    <w:p>
      <w:pPr>
        <w:spacing w:after="80" w:before="0"/>
      </w:pPr>
      <w:r>
        <w:rPr>
          <w:rFonts w:ascii="Arial" w:cs="Arial" w:eastAsia="Arial" w:hAnsi="Arial"/>
          <w:color w:val="000000"/>
          <w:sz w:val="20"/>
          <w:szCs w:val="20"/>
        </w:rPr>
        <w:t xml:space="preserve">The pdf-parse library IS in package.json (L35: "pdf-parse": "^1.1.1"). It is used in document-intelligence/services/ExtractionPipeline.js. It is NOT wired into the email scanning path. The email scanner only processes the message textContent field — attachments are downloaded but their content is never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 MicrosoftGraphMailService.js fetchInboxMessages(), add attachment download logic. After fetching message list, for each message with hasAttachments=true, call GET /messages/{id}/attachments to get the attachment list, then fetch each attachment contentBytes. Currently line 230 creates messages with attachments: [] — this must be populated with actual bytes.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MicrosoftGraphMailService.js — around L230</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Message object returned from fetchInboxMessages() contains attachments array with contentBytes (base64) for each attachment.</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In EmailKeywordScanner.js scanAttachments(), import pdf-parse. For each attachment where contentType is "application/pdf", convert contentBytes from base64 to Buffer, then call pdfParse(buffer) to extract text. Pass extracted text to the existing keyword matching logic.</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EmailKeywordScanner.js scanAttachments()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When email has PDF attachment, keyword matches are found in PDF text — not just email body.</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For non-PDF text attachments (text/plain, text/html, application/msword via mammoth), extract text directly. mammoth is already in package.json for Word documents — use it here too for .docx attachments.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EmailKeywordScanner.js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Keyword scan works on PDF, .txt, and .docx email attachments.</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Add attachment scan results to the EmailTenderScanResult model. Record: which attachment matched, which keyword, at what character offset. This gives auditors proof of match.</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models/EmailTenderScanResult.js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Scan result includes attachmentMatches[] with filename and matchedKeywords[] per attachment.</w:t>
            </w:r>
          </w:p>
        </w:tc>
      </w:tr>
    </w:tbl>
    <w:p>
      <w:pPr>
        <w:spacing w:after="0" w:before="0"/>
      </w:pPr>
      <w:r>
        <w:t xml:space="preserve"/>
      </w:r>
    </w:p>
    <w:p>
      <w:pPr>
        <w:spacing w:after="80" w:before="160"/>
      </w:pPr>
      <w:r>
        <w:rPr>
          <w:rFonts w:ascii="Arial" w:cs="Arial" w:eastAsia="Arial" w:hAnsi="Arial"/>
          <w:b/>
          <w:bCs/>
          <w:color w:val="5D6D7E"/>
          <w:sz w:val="22"/>
          <w:szCs w:val="22"/>
        </w:rPr>
        <w:t xml:space="preserve">Step 1.B.4 — Build Cleaned Email Forward (ATS-004) — MEDIUM</w:t>
      </w:r>
    </w:p>
    <w:p>
      <w:pPr>
        <w:spacing w:after="80" w:before="0"/>
      </w:pPr>
      <w:r>
        <w:rPr>
          <w:rFonts w:ascii="Arial" w:cs="Arial" w:eastAsia="Arial" w:hAnsi="Arial"/>
          <w:color w:val="000000"/>
          <w:sz w:val="20"/>
          <w:szCs w:val="20"/>
        </w:rPr>
        <w:t xml:space="preserve">When an email contains multiple tender sections (each with its own link), the bot must strip non-matching sections and only forward the relevant ones. Currently, MicrosoftGraphMailService.forwardMessage() sends the full bodyText unmodified.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 EmailTenderScanService.js, after link section analysis, build a cleanedBody string. Start with the email header/intro text, then append only the link sections where decision === "matched". This is the body to forward.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EmailTenderScanService.js — around L186–192</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cleanedBody contains only matched tender sections. Non-matching sections are absent.</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Pass cleanedBody to MicrosoftGraphMailService.forwardMessage() as the body parameter. Update the method signature to accept an optional customBody parameter.</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MicrosoftGraphMailService.js forwardMessage()</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Forwarded email body contains only matching tender sections.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all sections are matched (100% match), forward the original email unmodified. If all sections are non-matching, do not forward — move to Rejected Folder.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EmailTenderScanService.js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All-match email forwards original. No-match email moves to Rejected Folder. Partial-match email forwards cleaned version.</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1C — Scheduler Hardening (Cross-cutting — do in Phase 1)</w:t>
      </w:r>
    </w:p>
    <w:p>
      <w:pPr>
        <w:pStyle w:val="Heading3"/>
        <w:spacing w:after="100" w:before="200"/>
      </w:pPr>
      <w:r>
        <w:rPr>
          <w:rFonts w:ascii="Arial" w:cs="Arial" w:eastAsia="Arial" w:hAnsi="Arial"/>
          <w:b/>
          <w:bCs/>
          <w:color w:val="16A085"/>
          <w:sz w:val="24"/>
          <w:szCs w:val="24"/>
        </w:rPr>
        <w:t xml:space="preserve">Current State</w:t>
      </w:r>
    </w:p>
    <w:p>
      <w:pPr>
        <w:spacing w:after="120" w:before="0"/>
      </w:pPr>
      <w:r>
        <w:rPr>
          <w:rFonts w:ascii="Arial" w:cs="Arial" w:eastAsia="Arial" w:hAnsi="Arial"/>
          <w:color w:val="000000"/>
          <w:sz w:val="20"/>
          <w:szCs w:val="20"/>
        </w:rPr>
        <w:t xml:space="preserve">DiscoveryScheduler.js uses setInterval(fn, 60000) — a simple 60-second poll loop. The RTM requires the bot to run daily at 3 AM UTC. The current architecture cannot guarantee any specific time. If the Node.js process restarts, the interval resets. There is no distributed queue, no persistence of scheduled jobs between restarts, and no cron expression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Install node-cron: npm install node-cron --save. This is the minimum change needed for a proper cron schedule.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backend/package.json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node-cron in package.json. require("node-cron") resolves without error.</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Replace the setInterval block in DiscoveryScheduler.js (L14–21) with: cron.schedule("0 3 * * *", () =&gt; this.tick(), { timezone: "UTC" }). Keep the existing this.tick() method unchanged.</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DiscoveryScheduler.js L14–21</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Scheduler fires at 03:00:00 UTC exactly. Does not fire at any other time unless manually triggered via API.</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a manual trigger API endpoint: POST /api/admin/discovery/trigger-now. This allows developers and the client to run the discovery job on demand without waiting for 3 AM. Guard with admin role middleware.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backend/src/routes/admin.js or intelligencePlatform.js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POST /api/admin/discovery/trigger-now starts a discovery run immediately. Returns 202 Accepted with job ID.</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Add DISCOVERY_CRON_EXPRESSION env var with default "0 3 * * *" so the schedule can be changed without a code deploy. Add DISCOVERY_CRON_TIMEZONE with default "UTC".</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backend/src/config/env.js; DiscoveryScheduler.js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Scheduler reads cron expression and timezone from env. App logs the cron expression on startup.</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Wire the email tender scanning (ATS) bot into the same scheduler. Currently ATS scan is manual-only (POST /api/intelligence/email-tender-scanning/scan). Add it to the scheduler tick alongside GovWin discovery.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DiscoveryScheduler.js this.tick()</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At 3 AM UTC, BOTH GovWin discovery and email ATS scan run automatically.</w:t>
            </w:r>
          </w:p>
        </w:tc>
      </w:tr>
    </w:tbl>
    <w:r>
      <w:br w:type="page"/>
    </w: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80"/>
              <w:left w:type="dxa" w:w="120"/>
              <w:bottom w:type="dxa" w:w="80"/>
              <w:right w:type="dxa" w:w="120"/>
            </w:tcMar>
            <w:vAlign w:val="top"/>
          </w:tcPr>
          <w:p>
            <w:pPr>
              <w:jc w:val="center"/>
            </w:pPr>
            <w:r>
              <w:rPr>
                <w:rFonts w:ascii="Arial" w:cs="Arial" w:eastAsia="Arial" w:hAnsi="Arial"/>
                <w:b/>
                <w:bCs/>
                <w:color w:val="FFFFFF"/>
                <w:sz w:val="40"/>
                <w:szCs w:val="40"/>
              </w:rPr>
              <w:t xml:space="preserve">PHASE 2 — DOCUMENT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80"/>
              <w:left w:type="dxa" w:w="120"/>
              <w:bottom w:type="dxa" w:w="80"/>
              <w:right w:type="dxa" w:w="120"/>
            </w:tcMar>
            <w:vAlign w:val="top"/>
          </w:tcPr>
          <w:p>
            <w:r>
              <w:rPr>
                <w:rFonts w:ascii="Arial" w:cs="Arial" w:eastAsia="Arial" w:hAnsi="Arial"/>
                <w:color w:val="1A3A5C"/>
                <w:sz w:val="20"/>
                <w:szCs w:val="20"/>
              </w:rPr>
              <w:t xml:space="preserve">Commercial Field Extraction (TB-007 → TB-009)  |  AI Relevancy Scoring Production Hardening (TB-010)</w:t>
            </w:r>
          </w:p>
        </w:tc>
      </w:tr>
    </w:tbl>
    <w:p>
      <w:pPr>
        <w:spacing w:after="0" w:before="0"/>
      </w:pPr>
      <w:r>
        <w:t xml:space="preserve"/>
      </w:r>
    </w:p>
    <w:p>
      <w:pPr>
        <w:spacing w:after="120" w:before="0"/>
      </w:pPr>
      <w:r>
        <w:rPr>
          <w:rFonts w:ascii="Arial" w:cs="Arial" w:eastAsia="Arial" w:hAnsi="Arial"/>
          <w:color w:val="000000"/>
          <w:sz w:val="20"/>
          <w:szCs w:val="20"/>
        </w:rPr>
        <w:t xml:space="preserve">Phase 2 is the AI/ML engineering phase. The generic summarization that exists today (ExtractionPipeline.js) must be replaced with three specialized parsers. This is the biggest technical build in the project. Allocate your AI/ML resource for this phase.</w:t>
      </w:r>
    </w:p>
    <w:p>
      <w:pPr>
        <w:pStyle w:val="Heading2"/>
        <w:spacing w:after="120" w:before="280"/>
      </w:pPr>
      <w:r>
        <w:rPr>
          <w:rFonts w:ascii="Arial" w:cs="Arial" w:eastAsia="Arial" w:hAnsi="Arial"/>
          <w:b/>
          <w:bCs/>
          <w:color w:val="1A3A5C"/>
          <w:sz w:val="28"/>
          <w:szCs w:val="28"/>
        </w:rPr>
        <w:t xml:space="preserve">2A — Ship-to, Scope, and SKU Extraction (TB-007)</w:t>
      </w:r>
    </w:p>
    <w:p>
      <w:pPr>
        <w:pStyle w:val="Heading3"/>
        <w:spacing w:after="100" w:before="200"/>
      </w:pPr>
      <w:r>
        <w:rPr>
          <w:rFonts w:ascii="Arial" w:cs="Arial" w:eastAsia="Arial" w:hAnsi="Arial"/>
          <w:b/>
          <w:bCs/>
          <w:color w:val="16A085"/>
          <w:sz w:val="24"/>
          <w:szCs w:val="24"/>
        </w:rPr>
        <w:t xml:space="preserve">Current State</w:t>
      </w:r>
    </w:p>
    <w:p>
      <w:pPr>
        <w:spacing w:after="80" w:before="0"/>
      </w:pPr>
      <w:r>
        <w:rPr>
          <w:rFonts w:ascii="Arial" w:cs="Arial" w:eastAsia="Arial" w:hAnsi="Arial"/>
          <w:color w:val="000000"/>
          <w:sz w:val="20"/>
          <w:szCs w:val="20"/>
        </w:rPr>
        <w:t xml:space="preserve">tenderIntelligenceExtractors.js has extractCommercialFields() which uses basic regex. Both audits confirm it falls back to hardcoded demo text when no document is present (TenderIntelligenceService.js L41–42). This is not acceptable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the hardcoded fallback text from TenderIntelligenceService.js (L41–42). If no document text is available, return empty extraction result — not fake data.</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TenderIntelligenceService.js L41–42</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When document text is absent, extraction returns null fields — not demo text.</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Build a ShipToAddressExtractor class. Use Named Entity Recognition via OpenAI (or the existing HeuristicAiProvider) to identify delivery addresses. Look for patterns: "Ship to:", "Deliver to:", "FOB Destination:", "Place of Delivery:". Return normalized address object with street, city, state, zip, country.</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backend/src/modules/document-intelligence/services/ShipToAddressExtractor.js (NEW)</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Extract ship-to address from 5 sample Thermo Fisher tender PDFs with &gt;80% accuracy.</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Build a SKUPartNumberExtractor. Look for patterns matching "SKU", "Part No", "Catalog No", "Model No" followed by alphanumeric identifiers. Thermo Fisher products typically follow patterns like SKU-XXXXX or catalog numbers like 12345678.</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backend/src/modules/document-intelligence/services/SKUPartNumberExtractor.js (NEW)</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Correctly extracts at least one SKU/part number from a test bid document containing product line items.</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Integrate both extractors into the ExtractionPipeline.js runFullPipeline() method as new pipeline stages after the existing text extraction stage.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backend/src/modules/document-intelligence/services/ExtractionPipeline.js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runFullPipeline() result object has shipToAddress and partNumbers fields populated for documents containing this data.</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2B — Terms &amp; Conditions Extraction (TB-008)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Build a ClauseExtractor service. The extraction pipeline already has basic clause detection (regex /shall|must|liability|indemn/i at L91). Replace this with an AI prompt that specifically asks to extract: bid delivery instructions, freight charges, FOB terms, pricing, scope of work, insurance requirements, certificate of insurance details, indemnification clauses. Use structured JSON output from OpenAI.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backend/src/modules/document-intelligence/services/ClauseExtractor.js (NEW)</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For a test T&amp;C document, extractor returns JSON with at least 5 of the 7 required clause types populated.</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Map the extracted clause fields to the existing ClauseExtraction Mongoose model. Verify the model has fields for all required clause types. Add any missing fields.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models/ClauseExtraction.js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ClauseExtraction model validates without error when populated with real T&amp;C extraction output.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Surface T&amp;C extraction results on the AI Docs page (frontend/src/pages/ai-document-intelligence/). The Commercials menu item in the sidebar likely maps to this output — confirm with frontend team.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frontend/src/pages/ai-document-intelligence/; frontend pages matching Commercials menu</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T&amp;C extracted fields visible in the Commercials section of the UI.</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2C — Pricing Sheet Extraction (TB-009)</w:t>
      </w:r>
    </w:p>
    <w:p>
      <w:pPr>
        <w:spacing w:after="80" w:before="0"/>
      </w:pPr>
      <w:r>
        <w:rPr>
          <w:rFonts w:ascii="Arial" w:cs="Arial" w:eastAsia="Arial" w:hAnsi="Arial"/>
          <w:color w:val="000000"/>
          <w:sz w:val="20"/>
          <w:szCs w:val="20"/>
        </w:rPr>
        <w:t xml:space="preserve">This is the most technically complex extraction task. Price sheets come as both XLSX tables and PDF tables. The current system has no XLSX parser and no PDF table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For XLSX price sheets: install xlsx (already needed for ATS-002 keyword loader). In ExtractionPipeline.js, detect when the attachment is an .xlsx file. Parse it with xlsx.utils.sheet_to_json() to get row arrays. Look for columns matching "Description", "Qty", "Unit", "UoM", "Price" (case-insensitive header matching).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ExtractionPipeline.js; PricingSheetExtractor.js (NEW)</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XLSX price sheet with 10 line items returns 10 structured objects with description, qty, and UoM.</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For PDF price sheets: use pdf-parse to extract text, then apply table detection heuristics — look for lines with consistent column spacing or pipe/tab delimiters. Alternatively, use OpenAI with a prompt: "Extract all line items from this price table as JSON array with fields: description, qty, uom, unit_price".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PricingSheetExtractor.js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PDF price sheet extraction returns structured line items. UoM defaults to "EA" when not specified.</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Store extracted line items as PricingLineItem subdocuments in the Opportunity model. Link to the source Document record.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models/Opportunity.js or TenderOpportunity.js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Opportunity record has pricingLineItems[] array after extraction pipeline runs.</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2D — AI Relevancy Scoring Production Hardening (TB-010)</w:t>
      </w:r>
    </w:p>
    <w:p>
      <w:pPr>
        <w:spacing w:after="80" w:before="0"/>
      </w:pPr>
      <w:r>
        <w:rPr>
          <w:rFonts w:ascii="Arial" w:cs="Arial" w:eastAsia="Arial" w:hAnsi="Arial"/>
          <w:color w:val="000000"/>
          <w:sz w:val="20"/>
          <w:szCs w:val="20"/>
        </w:rPr>
        <w:t xml:space="preserve">ScoringEngine.js and AiOrchestrator.js exist and work. The gaps are: (1) AI_DEMO_MODE forces heuristic scoring in development, (2) no connection to an external GenAI agent as the RTM expects, (3) scoring is not tuned to Thermo Fisher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AI_DEMO_MODE=deterministic dependency. The heuristic provider should be a configurable fallback, not forced by environment. Use HeuristicAiProvider only when OPENAI_API_KEY is not set.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AiOrchestrator.js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With OPENAI_API_KEY set, system always uses OpenAI provider regardless of AI_DEMO_MODE value.</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Build a Thermo Fisher product catalog context loader. Load CAD product categories (chromatography, mass spectrometry, lab equipment) as a system prompt prefix for the scoring LLM call. This dramatically improves relevancy accuracy for Thermo-specific tenders.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backend/src/modules/ai-scoring/prompts/thermoFisherContext.js (NEW)</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Scoring prompt includes Thermo Fisher product context. Score for a chromatography tender is &gt;70. Score for a road construction tender is &lt;20.</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score breakdown to the scoring output: { overall: 82, breakdown: { strategic_fit: 85, product_match: 78, competition: 60, risk: 45 } }. Map this to the RTM decision matrix fields.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ScoringEngine.js; models/ScoringResult.js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Scoring result has both overall score and breakdown object with at least 4 sub-scores.</w:t>
            </w:r>
          </w:p>
        </w:tc>
      </w:tr>
    </w:tbl>
    <w:r>
      <w:br w:type="page"/>
    </w: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085" w:val="clear"/>
            <w:tcMar>
              <w:top w:type="dxa" w:w="80"/>
              <w:left w:type="dxa" w:w="120"/>
              <w:bottom w:type="dxa" w:w="80"/>
              <w:right w:type="dxa" w:w="120"/>
            </w:tcMar>
            <w:vAlign w:val="top"/>
          </w:tcPr>
          <w:p>
            <w:pPr>
              <w:jc w:val="center"/>
            </w:pPr>
            <w:r>
              <w:rPr>
                <w:rFonts w:ascii="Arial" w:cs="Arial" w:eastAsia="Arial" w:hAnsi="Arial"/>
                <w:b/>
                <w:bCs/>
                <w:color w:val="FFFFFF"/>
                <w:sz w:val="40"/>
                <w:szCs w:val="40"/>
              </w:rPr>
              <w:t xml:space="preserve">PHASE 3 — OUTPUT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80"/>
              <w:left w:type="dxa" w:w="120"/>
              <w:bottom w:type="dxa" w:w="80"/>
              <w:right w:type="dxa" w:w="120"/>
            </w:tcMar>
            <w:vAlign w:val="top"/>
          </w:tcPr>
          <w:p>
            <w:r>
              <w:rPr>
                <w:rFonts w:ascii="Arial" w:cs="Arial" w:eastAsia="Arial" w:hAnsi="Arial"/>
                <w:color w:val="1A3A5C"/>
                <w:sz w:val="20"/>
                <w:szCs w:val="20"/>
              </w:rPr>
              <w:t xml:space="preserve">Excel Report Generation (TB-014)  |  PostgreSQL Output Sync (TB-015)  |  Failure Notifications (TB-016)</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3A — Daily Excel Report Generation (TB-014)</w:t>
      </w:r>
    </w:p>
    <w:p>
      <w:pPr>
        <w:spacing w:after="80" w:before="0"/>
      </w:pPr>
      <w:r>
        <w:rPr>
          <w:rFonts w:ascii="Arial" w:cs="Arial" w:eastAsia="Arial" w:hAnsi="Arial"/>
          <w:color w:val="000000"/>
          <w:sz w:val="20"/>
          <w:szCs w:val="20"/>
        </w:rPr>
        <w:t xml:space="preserve">The RTM requires two Excel reports generated daily: (1) Summary Report — all active bids sorted by solicitation date newest-first, expired rows removed. (2) Product Customer Analysis Report — bids mapped to CAD product lines with customer intelligence. No Excel generation code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Install exceljs: npm install exceljs --save. This is the industry standard for Excel generation in Node.js with full formatting support.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backend/package.json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exceljs in package.json. require("exceljs") resolves without error.</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Create backend/src/modules/reporting/services/ExcelReportService.js. Implement generateSummaryReport(): queries MongoDB for all opportunities where responseDate &gt;= today, sorts by solicitationDate descending, writes to Excel with columns: Bid ID, Title, Agency, Status, Solicitation Date, Response Date, Value, Place of Performance, Opportunity URL, AI Score, Division.</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backend/src/modules/reporting/services/ExcelReportService.js (NEW)</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generateSummaryReport() produces a valid .xlsx file with correct columns. File can be opened in Excel without errors.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Implement generateProductAnalysisReport(): same base query, but adds extracted commercial fields (product line, SKU matches, extracted line items). Groups by CAD product category. Second worksheet with customer intelligence data from Salesforce cache.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ExcelReportService.js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Product analysis report has two worksheets: summary and product detail. No formula errors.</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Wire into the scheduler: after each daily discovery run, auto-generate both reports and save to uploads/{companyId}/reports/YYYY-MM-DD/. Add a download API endpoint: GET /api/reports/daily?date=YYYY-MM-DD&amp;type=summary|product.</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DiscoveryScheduler.js; routes/reports.js (NEW)</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After scheduler run, two Excel files exist in the reports folder for that date. Download endpoint returns the files.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report expiry logic: remove bids where responseDate &lt; yesterday from the report. On each daily run, re-generate — do not append. Each report is a fresh full-state snapshot.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ExcelReportService.js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Report contains zero bids with responseDate before today.</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3B — PostgreSQL Output Sync (TB-015)</w:t>
      </w:r>
    </w:p>
    <w:p>
      <w:pPr>
        <w:spacing w:after="80" w:before="0"/>
      </w:pPr>
      <w:r>
        <w:rPr>
          <w:rFonts w:ascii="Arial" w:cs="Arial" w:eastAsia="Arial" w:hAnsi="Arial"/>
          <w:color w:val="000000"/>
          <w:sz w:val="20"/>
          <w:szCs w:val="20"/>
        </w:rPr>
        <w:t xml:space="preserve">The RTM explicitly specifies a PostgreSQL database endpoint owned by the client: gene-ai-solutions-prospects-db.cpuz5conexqr.us-east-1.rds.amazonaws.com port 5432, login: geneAiDbUser. The platform is MongoDB-only. An ETL sync layer must be built — this does NOT require replacing MongoDB. MongoDB remains the operational database; PostgreSQL is the output destination for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Install pg: npm install pg --save. This is the official PostgreSQL client for Node.js.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backend/package.json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pg in package.json. require("pg") resolves without error.</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Create backend/src/modules/reporting/services/PostgreSQLSyncService.js. Configure connection using env vars: PG_HOST, PG_PORT, PG_DATABASE, PG_USER, PG_PASSWORD. The actual client values (gene-ai-solutions-prospects-db endpoint, geneAiDbUser) go in the production .env — not hardcoded in source.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PostgreSQLSyncService.js (NEW); backend/.env.production.example</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PostgreSQLSyncService connects to the PG endpoint and returns client.query("SELECT 1") = 1.</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Build a schema migration script: create the opportunities_awards table in PG matching the Combined_Opportunities_Awards.xlsx column structure from the RTM (the client provided this as the output schema). Fields: bid_id, title, agency, status, solicitation_date, response_date, value, place_of_performance, naics_codes, primary_requirement, opportunity_url, ai_score, last_updated.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backend/src/migrations/001_create_opportunities_awards.sql (NEW)</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Migration runs without error on the PG endpoint. Table exists with all required columns.</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Implement syncOpportunity(opportunityId): reads from MongoDB, upserts to PostgreSQL using ON CONFLICT (bid_id) DO UPDATE. Run this after each bid import in DiscoveryService.importOpportunities().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PostgreSQLSyncService.js; DiscoveryService.js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After importing 5 bids, all 5 appear in the PG opportunities_awards table with correct data.</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daily full-sync as a fallback: after the daily discovery run, sync all active opportunities to PG to catch any missed incremental updates. Run as a post-scheduler job.</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DiscoveryScheduler.js; PostgreSQLSyncService.js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PG record count matches MongoDB active opportunity count after daily sync.</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3C — Failure Notification Emails (TB-016)</w:t>
      </w:r>
    </w:p>
    <w:p>
      <w:pPr>
        <w:spacing w:after="80" w:before="0"/>
      </w:pPr>
      <w:r>
        <w:rPr>
          <w:rFonts w:ascii="Arial" w:cs="Arial" w:eastAsia="Arial" w:hAnsi="Arial"/>
          <w:color w:val="000000"/>
          <w:sz w:val="20"/>
          <w:szCs w:val="20"/>
        </w:rPr>
        <w:t xml:space="preserve">FailureNotificationService.js exists for ATS failures. The RTM requires separate failure emails for two scenarios: (1) Application/BOT failure — system error, crash, API failure. (2) Summary report failure — daily report could not be generated. SMTP must be configured for either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Configure SMTP: add SMTP_HOST, SMTP_PORT, SMTP_USER, SMTP_PASS to .env.production.example. The nodemailer transporter is already instantiated in the codebase — just needs real credentials. BOT_FAILURE_NOTIFY_EMAILS env var should be a comma-separated list of admin addresses.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backend/.env.production.example; FailureNotificationService.js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Calling FailureNotificationService.sendFailureAlert() delivers an email to the test address.</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Add a sendSummaryReportAlert(error) method to FailureNotificationService.js for TB-016 scenario 2. Call this from ExcelReportService.js and PostgreSQLSyncService.js when their daily jobs fail.</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FailureNotificationService.js; ExcelReportService.js; PostgreSQLSyncService.js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When report generation throws an error, an email is sent to BOT_FAILURE_NOTIFY_EMAILS.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Replace the SVG artifact in FailureScreenshotService.js with a proper approach. Use Puppeteer to capture a screenshot of the Tender360 dashboard error state, OR simply attach the Node.js error stack trace as a .txt file. The client asked for a screenshot — a stack trace attachment is acceptable as Phase 1; real screenshot via Puppeteer is Phase 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FailureScreenshotService.js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Failure email has an attachment — either .png screenshot or .txt stack trace.</w:t>
            </w:r>
          </w:p>
        </w:tc>
      </w:tr>
    </w:tbl>
    <w:r>
      <w:br w:type="page"/>
    </w: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80"/>
              <w:left w:type="dxa" w:w="120"/>
              <w:bottom w:type="dxa" w:w="80"/>
              <w:right w:type="dxa" w:w="120"/>
            </w:tcMar>
            <w:vAlign w:val="top"/>
          </w:tcPr>
          <w:p>
            <w:pPr>
              <w:jc w:val="center"/>
            </w:pPr>
            <w:r>
              <w:rPr>
                <w:rFonts w:ascii="Arial" w:cs="Arial" w:eastAsia="Arial" w:hAnsi="Arial"/>
                <w:b/>
                <w:bCs/>
                <w:color w:val="FFFFFF"/>
                <w:sz w:val="40"/>
                <w:szCs w:val="40"/>
              </w:rPr>
              <w:t xml:space="preserve">PHASE 4 — TEAMS / SHAREPOINT + SALESFORCE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AF1" w:val="clear"/>
            <w:tcMar>
              <w:top w:type="dxa" w:w="80"/>
              <w:left w:type="dxa" w:w="120"/>
              <w:bottom w:type="dxa" w:w="80"/>
              <w:right w:type="dxa" w:w="120"/>
            </w:tcMar>
            <w:vAlign w:val="top"/>
          </w:tcPr>
          <w:p>
            <w:r>
              <w:rPr>
                <w:rFonts w:ascii="Arial" w:cs="Arial" w:eastAsia="Arial" w:hAnsi="Arial"/>
                <w:color w:val="1A3A5C"/>
                <w:sz w:val="20"/>
                <w:szCs w:val="20"/>
              </w:rPr>
              <w:t xml:space="preserve">Microsoft Graph Upload (TB-012, TB-013)  |  Salesforce Account Validation (TB-011)</w:t>
            </w:r>
          </w:p>
        </w:tc>
      </w:tr>
    </w:tbl>
    <w:p>
      <w:pPr>
        <w:spacing w:after="0" w:before="0"/>
      </w:pPr>
      <w:r>
        <w:t xml:space="preserve"/>
      </w:r>
    </w:p>
    <w:p>
      <w:pPr>
        <w:spacing w:after="80" w:before="0"/>
      </w:pPr>
      <w:r>
        <w:rPr>
          <w:rFonts w:ascii="Arial" w:cs="Arial" w:eastAsia="Arial" w:hAnsi="Arial"/>
          <w:color w:val="000000"/>
          <w:sz w:val="20"/>
          <w:szCs w:val="20"/>
        </w:rPr>
        <w:t xml:space="preserve">Phase 4 is the most effort-intensive phase (8-12 weeks) and is explicitly out of scope for Phase 1. Confirm with the client before starting. Do not let Phase 4 block Phase 1-3 delivery.</w:t>
      </w:r>
    </w:p>
    <w:p>
      <w:pPr>
        <w:pStyle w:val="Heading2"/>
        <w:spacing w:after="120" w:before="280"/>
      </w:pPr>
      <w:r>
        <w:rPr>
          <w:rFonts w:ascii="Arial" w:cs="Arial" w:eastAsia="Arial" w:hAnsi="Arial"/>
          <w:b/>
          <w:bCs/>
          <w:color w:val="1A3A5C"/>
          <w:sz w:val="28"/>
          <w:szCs w:val="28"/>
        </w:rPr>
        <w:t xml:space="preserve">4A — SharePoint / Teams Upload (TB-012, TB-013)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2400"/>
        <w:gridCol w:w="800"/>
        <w:gridCol w:w="126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Req #</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 / Task</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Status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Key File(s)</w:t>
            </w:r>
          </w:p>
        </w:tc>
        <w:tc>
          <w:tcPr>
            <w:tcW w:type="dxa" w:w="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Effort</w:t>
            </w:r>
          </w:p>
        </w:tc>
        <w:tc>
          <w:tcPr>
            <w:tcW w:type="dxa" w:w="1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r>
              <w:rPr>
                <w:rFonts w:ascii="Arial" w:cs="Arial" w:eastAsia="Arial" w:hAnsi="Arial"/>
                <w:b/>
                <w:bCs/>
                <w:color w:val="FFFFFF"/>
                <w:sz w:val="18"/>
                <w:szCs w:val="18"/>
              </w:rPr>
              <w:t xml:space="preserve">What to Build / Fix</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TB-012</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Upload bid docs to Teams "CAD AI Tender Prospecting"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C0392B"/>
                <w:sz w:val="18"/>
                <w:szCs w:val="18"/>
              </w:rPr>
              <w:t xml:space="preserve">MISSING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None exists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D35400"/>
                <w:sz w:val="18"/>
                <w:szCs w:val="18"/>
              </w:rPr>
              <w:t xml:space="preserve">6-8w</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7"/>
                <w:szCs w:val="17"/>
              </w:rPr>
              <w:t xml:space="preserve">Install @microsoft/microsoft-graph-client; build SharePointUploadService; request Files.ReadWrite.All permission in Azure AD app</w:t>
            </w:r>
          </w:p>
        </w:tc>
      </w:tr>
      <w:tr>
        <w:tc>
          <w:tcPr>
            <w:tcW w:type="dxa" w:w="9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A3A5C"/>
                <w:sz w:val="18"/>
                <w:szCs w:val="18"/>
              </w:rPr>
              <w:t xml:space="preserve">TB-013</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Create per-bid subfolder using Bid ID</w:t>
            </w:r>
          </w:p>
        </w:tc>
        <w:tc>
          <w:tcPr>
            <w:tcW w:type="dxa" w:w="1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C0392B"/>
                <w:sz w:val="18"/>
                <w:szCs w:val="18"/>
              </w:rPr>
              <w:t xml:space="preserve">MISSING</w:t>
            </w:r>
          </w:p>
        </w:tc>
        <w:tc>
          <w:tcPr>
            <w:tcW w:type="dxa" w:w="2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None exists</w:t>
            </w:r>
          </w:p>
        </w:tc>
        <w:tc>
          <w:tcPr>
            <w:tcW w:type="dxa" w:w="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D35400"/>
                <w:sz w:val="18"/>
                <w:szCs w:val="18"/>
              </w:rPr>
              <w:t xml:space="preserve">Blocked by TB-012</w:t>
            </w:r>
          </w:p>
        </w:tc>
        <w:tc>
          <w:tcPr>
            <w:tcW w:type="dxa" w:w="12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7"/>
                <w:szCs w:val="17"/>
              </w:rPr>
              <w:t xml:space="preserve">Add folder provisioning via Graph API drive/{id}/root:/BidId:/children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 Azure AD: add Files.ReadWrite.All and Sites.ReadWrite.All permissions to the existing app registration used for Outlook Graph access. Get admin consent from Thermo Fisher IT team.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Azure AD App Registration (external)</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Graph access token includes Files.ReadWrite.All scope.</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Install @microsoft/microsoft-graph-client: npm install @microsoft/microsoft-graph-client --save. This is the official Microsoft SDK — not present in package.json currently.</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backend/package.json</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Package resolves without error.</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 SharePointUploadService.js. Implement: (a) getOrCreateFolder(bidId) — checks if folder exists in "CAD AI Tender Prospecting" site, creates if not; (b) uploadDocument(bidId, filename, buffer) — uploads file to the bid folder.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backend/src/modules/storage/services/SharePointUploadService.js (NEW)</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uploadDocument() creates the folder and uploads a test PDF to SharePoint. Verify in Teams client.</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4</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Wire SharePointUploadService into AttachmentHarvestService.js: after successful document download, also upload to SharePoint (async, non-blocking). Store the SharePoint URL on the Document record.</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AttachmentHarvestService.js; models/Document.js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After discovery run, documents have sharePointUrl field populated. Files visible in Teams.</w:t>
            </w:r>
          </w:p>
        </w:tc>
      </w:tr>
    </w:tbl>
    <w:p>
      <w:pPr>
        <w:spacing w:after="0" w:before="0"/>
      </w:pPr>
      <w:r>
        <w:t xml:space="preserve"/>
      </w:r>
    </w:p>
    <w:p>
      <w:pPr>
        <w:pStyle w:val="Heading2"/>
        <w:spacing w:after="120" w:before="280"/>
      </w:pPr>
      <w:r>
        <w:rPr>
          <w:rFonts w:ascii="Arial" w:cs="Arial" w:eastAsia="Arial" w:hAnsi="Arial"/>
          <w:b/>
          <w:bCs/>
          <w:color w:val="1A3A5C"/>
          <w:sz w:val="28"/>
          <w:szCs w:val="28"/>
        </w:rPr>
        <w:t xml:space="preserve">4B — Salesforce Account Validation (TB-011)</w:t>
      </w:r>
    </w:p>
    <w:p>
      <w:pPr>
        <w:spacing w:after="80" w:before="0"/>
      </w:pPr>
      <w:r>
        <w:rPr>
          <w:rFonts w:ascii="Arial" w:cs="Arial" w:eastAsia="Arial" w:hAnsi="Arial"/>
          <w:color w:val="000000"/>
          <w:sz w:val="20"/>
          <w:szCs w:val="20"/>
        </w:rPr>
        <w:t xml:space="preserve">SalesforceCrmService.js already exists with SOQL query capability. The gaps are: (1) no accountNumber field in the CrmAccount model, (2) falls back to seeded cache without live credentials, (3) not integrated into the intelligence pipeline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rPr>
          <w:tblHeader/>
        </w:trPr>
        <w:tc>
          <w:tcPr>
            <w:tcW w:type="dxa" w:w="4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32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c>
          <w:tcPr>
            <w:tcW w:type="dxa" w:w="280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2960"/>
            <w:tcBorders>
              <w:top w:val="single" w:color="16A085" w:sz="1"/>
              <w:left w:val="single" w:color="16A085" w:sz="1"/>
              <w:bottom w:val="single" w:color="16A085" w:sz="1"/>
              <w:right w:val="single" w:color="16A085" w:sz="1"/>
            </w:tcBorders>
            <w:shd w:fill="16A085"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Acceptance Test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accountNumber field to CrmAccount model (currently has salesforceId, name, division — missing account number). Map from the Salesforce Account.AccountNumber field in the SOQL query.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models/CrmAccount.js; SalesforceCrmService.js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CRM lookup returns accountNumber alongside accountName and division.</w:t>
            </w:r>
          </w:p>
        </w:tc>
      </w:tr>
      <w:tr>
        <w:tc>
          <w:tcPr>
            <w:tcW w:type="dxa" w:w="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b/>
                <w:bCs/>
                <w:color w:val="16A085"/>
                <w:sz w:val="18"/>
                <w:szCs w:val="18"/>
              </w:rPr>
              <w:t xml:space="preserve">2</w:t>
            </w:r>
          </w:p>
        </w:tc>
        <w:tc>
          <w:tcPr>
            <w:tcW w:type="dxa" w:w="3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sz w:val="18"/>
                <w:szCs w:val="18"/>
              </w:rPr>
              <w:t xml:space="preserve">Configure SALESFORCE_INSTANCE_URL and SALESFORCE_ACCESS_TOKEN in .env.production.example. Add a refresh flow for the access token (Salesforce tokens expire — implement OAuth refresh).</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i/>
                <w:iCs/>
                <w:color w:val="5D6D7E"/>
                <w:sz w:val="16"/>
                <w:szCs w:val="16"/>
              </w:rPr>
              <w:t xml:space="preserve">backend/.env.production.example; SalesforceCrmService.js</w:t>
            </w:r>
          </w:p>
        </w:tc>
        <w:tc>
          <w:tcPr>
            <w:tcW w:type="dxa" w:w="29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27AE60"/>
                <w:sz w:val="17"/>
                <w:szCs w:val="17"/>
              </w:rPr>
              <w:t xml:space="preserve">Live Salesforce query returns account data for a known Thermo Fisher customer address.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6A085"/>
                <w:sz w:val="18"/>
                <w:szCs w:val="18"/>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TenderIntelligenceService.runFullIntelligenceForTender() already calls CRM validation — verify it uses the contactPhone, contactEmail, and placeOfPerformance address extracted in Phase 2 as lookup keys, not just the bid agency name.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i/>
                <w:iCs/>
                <w:color w:val="5D6D7E"/>
                <w:sz w:val="16"/>
                <w:szCs w:val="16"/>
              </w:rPr>
              <w:t xml:space="preserve">TenderIntelligenceService.js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color w:val="27AE60"/>
                <w:sz w:val="17"/>
                <w:szCs w:val="17"/>
              </w:rPr>
              <w:t xml:space="preserve">CRM validation succeeds when matched by address or contact info from bid document.</w:t>
            </w:r>
          </w:p>
        </w:tc>
      </w:tr>
    </w:tbl>
    <w:r>
      <w:br w:type="page"/>
    </w:r>
    <w:p>
      <w:pPr>
        <w:pStyle w:val="Heading1"/>
        <w:spacing w:after="160" w:before="360"/>
      </w:pPr>
      <w:r>
        <w:rPr>
          <w:rFonts w:ascii="Arial" w:cs="Arial" w:eastAsia="Arial" w:hAnsi="Arial"/>
          <w:b/>
          <w:bCs/>
          <w:color w:val="1A3A5C"/>
          <w:sz w:val="36"/>
          <w:szCs w:val="36"/>
        </w:rPr>
        <w:t xml:space="preserve">Pre-Demo Security &amp; Mock Data Cleanup</w:t>
      </w:r>
    </w:p>
    <w:p>
      <w:pPr>
        <w:spacing w:after="80" w:before="0"/>
      </w:pPr>
      <w:r>
        <w:rPr>
          <w:rFonts w:ascii="Arial" w:cs="Arial" w:eastAsia="Arial" w:hAnsi="Arial"/>
          <w:color w:val="000000"/>
          <w:sz w:val="20"/>
          <w:szCs w:val="20"/>
        </w:rPr>
        <w:t xml:space="preserve">Before any client demo or staging environment setup, the following must be addressed. Both audits independently flagged these: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c>
          <w:tcPr>
            <w:tcW w:type="dxa" w:w="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2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Issue</w:t>
            </w:r>
          </w:p>
        </w:tc>
        <w:tc>
          <w:tcPr>
            <w:tcW w:type="dxa" w:w="2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File / Location</w:t>
            </w:r>
          </w:p>
        </w:tc>
        <w:tc>
          <w:tcPr>
            <w:tcW w:type="dxa" w:w="3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Action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Default JWT secret hardcoded in server.js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backend/src/server.js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Move to JWT_SECRET env var. App must refuse to start if env var not set.</w:t>
            </w:r>
          </w:p>
        </w:tc>
      </w:tr>
      <w:tr>
        <w:tc>
          <w:tcPr>
            <w:tcW w:type="dxa" w:w="6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Demo GovWin API keys in seed data (demo-govwin-medicare-key)</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seed/data/sourcesWatchlistsSeedData.js</w:t>
            </w:r>
          </w:p>
        </w:tc>
        <w:tc>
          <w:tcPr>
            <w:tcW w:type="dxa" w:w="31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Remove from repo. Add to .gitignore. Use env vars only.</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createPlaceholderFile() serving fake PDFs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AttachmentHarvestService.js L102–110</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Remove entirely. Replace with proper error handling (see Phase 1 steps).</w:t>
            </w:r>
          </w:p>
        </w:tc>
      </w:tr>
      <w:tr>
        <w:tc>
          <w:tcPr>
            <w:tcW w:type="dxa" w:w="6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Seeded user passwords (Admin@123, admin123)</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seed/userSeeder.js; supportSeed.js</w:t>
            </w:r>
          </w:p>
        </w:tc>
        <w:tc>
          <w:tcPr>
            <w:tcW w:type="dxa" w:w="31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Force password change on first login. Remove default passwords from seed.</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Demo AI mode (AI_DEMO_MODE=deterministic)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AiOrchestrator.js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Remove this mode. If no OpenAI key, log a clear error — do not silently use demo mode.</w:t>
            </w:r>
          </w:p>
        </w:tc>
      </w:tr>
      <w:tr>
        <w:tc>
          <w:tcPr>
            <w:tcW w:type="dxa" w:w="6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Salesforce seeded CRM cache with fake accounts</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salesforceCrmSeed.js</w:t>
            </w:r>
          </w:p>
        </w:tc>
        <w:tc>
          <w:tcPr>
            <w:tcW w:type="dxa" w:w="31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Mark seed data clearly. Ensure live Salesforce takes precedence.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Mock chart/win-ratio data in dashboardController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dashboardController.js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Replace with real aggregations from MongoDB discovery data.</w:t>
            </w:r>
          </w:p>
        </w:tc>
      </w:tr>
      <w:tr>
        <w:tc>
          <w:tcPr>
            <w:tcW w:type="dxa" w:w="6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sz w:val="18"/>
                <w:szCs w:val="18"/>
              </w:rPr>
              <w:t xml:space="preserve">No hardcoded API keys in source code</w:t>
            </w:r>
          </w:p>
        </w:tc>
        <w:tc>
          <w:tcPr>
            <w:tcW w:type="dxa" w:w="28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i/>
                <w:iCs/>
                <w:color w:val="5D6D7E"/>
                <w:sz w:val="16"/>
                <w:szCs w:val="16"/>
              </w:rPr>
              <w:t xml:space="preserve">All backend/src files</w:t>
            </w:r>
          </w:p>
        </w:tc>
        <w:tc>
          <w:tcPr>
            <w:tcW w:type="dxa" w:w="31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7"/>
                <w:szCs w:val="17"/>
              </w:rPr>
              <w:t xml:space="preserve">Confirmed clean. All credentials use env vars. Good.</w:t>
            </w:r>
          </w:p>
        </w:tc>
      </w:tr>
    </w:tbl>
    <w:r>
      <w:br w:type="page"/>
    </w:r>
    <w:p>
      <w:pPr>
        <w:pStyle w:val="Heading1"/>
        <w:spacing w:after="160" w:before="360"/>
      </w:pPr>
      <w:r>
        <w:rPr>
          <w:rFonts w:ascii="Arial" w:cs="Arial" w:eastAsia="Arial" w:hAnsi="Arial"/>
          <w:b/>
          <w:bCs/>
          <w:color w:val="1A3A5C"/>
          <w:sz w:val="36"/>
          <w:szCs w:val="3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Risk</w:t>
            </w:r>
          </w:p>
        </w:tc>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Impact</w:t>
            </w:r>
          </w:p>
        </w:tc>
        <w:tc>
          <w:tcPr>
            <w:tcW w:type="dxa" w:w="43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Mitigation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GovWin API auth model requires Deltek IQ API documentation — if Brandi Cheetham credentials are profile-based not API-key-based, the integration approach may change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CRITICAL</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Get GovWin API documentation from Thermo Fisher contact before starting TB-001 implementation. If no API access, WebScrapeConnector.js is already in the codebase as a fallback.</w:t>
            </w:r>
          </w:p>
        </w:tc>
      </w:tr>
      <w:tr>
        <w:tc>
          <w:tcPr>
            <w:tcW w:type="dxa" w:w="3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PDF attachment download from GovWin may require authenticated session cookies, not just an API key</w:t>
            </w:r>
          </w:p>
        </w:tc>
        <w:tc>
          <w:tcPr>
            <w:tcW w:type="dxa" w:w="2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HIGH</w:t>
            </w:r>
          </w:p>
        </w:tc>
        <w:tc>
          <w:tcPr>
            <w:tcW w:type="dxa" w:w="43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Test attachment download with real GovWin credentials in Week 1. If it requires UI session, WebScrapeConnector + cookie-based auth is the fallback.</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SharePoint/Teams file upload requires IT admin consent from Thermo Fisher for Files.ReadWrite.All scope — this is outside Celeris control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D35400"/>
                <w:sz w:val="18"/>
                <w:szCs w:val="18"/>
              </w:rPr>
              <w:t xml:space="preserve">HIGH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Initiate Azure AD permission request early (Phase 1). Do not wait for Phase 4.</w:t>
            </w:r>
          </w:p>
        </w:tc>
      </w:tr>
      <w:tr>
        <w:tc>
          <w:tcPr>
            <w:tcW w:type="dxa" w:w="3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PostgreSQL endpoint credentials (geneAiDbUser password) are stored in Keeper — must be shared before Phase 3 starts</w:t>
            </w:r>
          </w:p>
        </w:tc>
        <w:tc>
          <w:tcPr>
            <w:tcW w:type="dxa" w:w="2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MEDIUM</w:t>
            </w:r>
          </w:p>
        </w:tc>
        <w:tc>
          <w:tcPr>
            <w:tcW w:type="dxa" w:w="43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Request PG credentials from Anand Kumar / Lakshman Akhil Kumar as listed in PDD. Add to .env.production.example immediately.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ATS email scanning requires Thermo Fisher IT to grant Microsoft Graph consent to the registered Azure AD app for BOTH US and Austria mailboxes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D35400"/>
                <w:sz w:val="18"/>
                <w:szCs w:val="18"/>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Raise with Thermo Fisher IT team in the 24-hour call. This is a blocker for ATS-001 going live.</w:t>
            </w:r>
          </w:p>
        </w:tc>
      </w:tr>
    </w:tbl>
    <w:r>
      <w:br w:type="page"/>
    </w:r>
    <w:p>
      <w:pPr>
        <w:pStyle w:val="Heading1"/>
        <w:spacing w:after="160" w:before="360"/>
      </w:pPr>
      <w:r>
        <w:rPr>
          <w:rFonts w:ascii="Arial" w:cs="Arial" w:eastAsia="Arial" w:hAnsi="Arial"/>
          <w:b/>
          <w:bCs/>
          <w:color w:val="1A3A5C"/>
          <w:sz w:val="36"/>
          <w:szCs w:val="36"/>
        </w:rPr>
        <w:t xml:space="preserve">Missing NPM Dependencies — Install These Now</w:t>
      </w:r>
    </w:p>
    <w:p>
      <w:pPr>
        <w:spacing w:after="80" w:before="0"/>
      </w:pPr>
      <w:r>
        <w:rPr>
          <w:rFonts w:ascii="Arial" w:cs="Arial" w:eastAsia="Arial" w:hAnsi="Arial"/>
          <w:color w:val="000000"/>
          <w:sz w:val="20"/>
          <w:szCs w:val="20"/>
        </w:rPr>
        <w:t xml:space="preserve">The following packages are required by the implementation above and are NOT in backend/package.json. Install all of them before starting any phase. Zero of these require architectural changes — they are additive.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476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Package</w:t>
            </w:r>
          </w:p>
        </w:tc>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Phase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4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Install Command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node-cron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P1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Scheduler at 3 AM UTC</w:t>
            </w:r>
          </w:p>
        </w:tc>
        <w:tc>
          <w:tcPr>
            <w:tcW w:type="dxa" w:w="4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top"/>
          </w:tcPr>
          <w:p>
            <w:r>
              <w:rPr>
                <w:rFonts w:ascii="Arial" w:cs="Arial" w:eastAsia="Arial" w:hAnsi="Arial"/>
                <w:color w:val="1A3A5C"/>
                <w:sz w:val="18"/>
                <w:szCs w:val="18"/>
              </w:rPr>
              <w:t xml:space="preserve">npm install node-cron --save</w:t>
            </w:r>
          </w:p>
        </w:tc>
      </w:tr>
      <w:tr>
        <w:tc>
          <w:tcPr>
            <w:tcW w:type="dxa" w:w="1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xlsx</w:t>
            </w:r>
          </w:p>
        </w:tc>
        <w:tc>
          <w:tcPr>
            <w:tcW w:type="dxa" w:w="1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C0392B"/>
                <w:sz w:val="18"/>
                <w:szCs w:val="18"/>
              </w:rPr>
              <w:t xml:space="preserve">P1</w:t>
            </w:r>
          </w:p>
        </w:tc>
        <w:tc>
          <w:tcPr>
            <w:tcW w:type="dxa" w:w="2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ATS-002 Excel keyword loader</w:t>
            </w:r>
          </w:p>
        </w:tc>
        <w:tc>
          <w:tcPr>
            <w:tcW w:type="dxa" w:w="47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1A3A5C"/>
                <w:sz w:val="18"/>
                <w:szCs w:val="18"/>
              </w:rPr>
              <w:t xml:space="preserve">npm install xlsx --save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exceljs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P3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TB-014 Excel report generation</w:t>
            </w:r>
          </w:p>
        </w:tc>
        <w:tc>
          <w:tcPr>
            <w:tcW w:type="dxa" w:w="4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top"/>
          </w:tcPr>
          <w:p>
            <w:r>
              <w:rPr>
                <w:rFonts w:ascii="Arial" w:cs="Arial" w:eastAsia="Arial" w:hAnsi="Arial"/>
                <w:color w:val="1A3A5C"/>
                <w:sz w:val="18"/>
                <w:szCs w:val="18"/>
              </w:rPr>
              <w:t xml:space="preserve">npm install exceljs --save</w:t>
            </w:r>
          </w:p>
        </w:tc>
      </w:tr>
      <w:tr>
        <w:tc>
          <w:tcPr>
            <w:tcW w:type="dxa" w:w="14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pg</w:t>
            </w:r>
          </w:p>
        </w:tc>
        <w:tc>
          <w:tcPr>
            <w:tcW w:type="dxa" w:w="10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P3</w:t>
            </w:r>
          </w:p>
        </w:tc>
        <w:tc>
          <w:tcPr>
            <w:tcW w:type="dxa" w:w="220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TB-015 PostgreSQL sync</w:t>
            </w:r>
          </w:p>
        </w:tc>
        <w:tc>
          <w:tcPr>
            <w:tcW w:type="dxa" w:w="4760"/>
            <w:tcBorders>
              <w:top w:val="single" w:color="BDC3C7" w:sz="1"/>
              <w:left w:val="single" w:color="BDC3C7" w:sz="1"/>
              <w:bottom w:val="single" w:color="BDC3C7" w:sz="1"/>
              <w:right w:val="single" w:color="BDC3C7" w:sz="1"/>
            </w:tcBorders>
            <w:shd w:fill="F2F6FA" w:val="clear"/>
            <w:tcMar>
              <w:top w:type="dxa" w:w="80"/>
              <w:left w:type="dxa" w:w="120"/>
              <w:bottom w:type="dxa" w:w="80"/>
              <w:right w:type="dxa" w:w="120"/>
            </w:tcMar>
            <w:vAlign w:val="top"/>
          </w:tcPr>
          <w:p>
            <w:r>
              <w:rPr>
                <w:rFonts w:ascii="Arial" w:cs="Arial" w:eastAsia="Arial" w:hAnsi="Arial"/>
                <w:color w:val="1A3A5C"/>
                <w:sz w:val="18"/>
                <w:szCs w:val="18"/>
              </w:rPr>
              <w:t xml:space="preserve">npm install pg --save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6A085"/>
                <w:sz w:val="18"/>
                <w:szCs w:val="18"/>
              </w:rPr>
              <w:t xml:space="preserve">@microsoft/microsoft-graph-client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980B9"/>
                <w:sz w:val="18"/>
                <w:szCs w:val="18"/>
              </w:rPr>
              <w:t xml:space="preserve">P4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sz w:val="18"/>
                <w:szCs w:val="18"/>
              </w:rPr>
              <w:t xml:space="preserve">TB-012/013 SharePoint upload</w:t>
            </w:r>
          </w:p>
        </w:tc>
        <w:tc>
          <w:tcPr>
            <w:tcW w:type="dxa" w:w="4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vAlign w:val="top"/>
          </w:tcPr>
          <w:p>
            <w:r>
              <w:rPr>
                <w:rFonts w:ascii="Arial" w:cs="Arial" w:eastAsia="Arial" w:hAnsi="Arial"/>
                <w:color w:val="1A3A5C"/>
                <w:sz w:val="18"/>
                <w:szCs w:val="18"/>
              </w:rPr>
              <w:t xml:space="preserve">npm install @microsoft/microsoft-graph-client --save</w:t>
            </w:r>
          </w:p>
        </w:tc>
      </w:tr>
    </w:tbl>
    <w:p>
      <w:pPr>
        <w:spacing w:after="0" w:before="0"/>
      </w:pPr>
      <w:r>
        <w:t xml:space="preserve"/>
      </w:r>
    </w:p>
    <w:p>
      <w:pPr>
        <w:spacing w:after="0" w:before="0"/>
      </w:pPr>
      <w:r>
        <w:t xml:space="preserve"/>
      </w:r>
    </w:p>
    <w:p>
      <w:pPr>
        <w:pStyle w:val="Heading1"/>
        <w:spacing w:after="160" w:before="360"/>
      </w:pPr>
      <w:r>
        <w:rPr>
          <w:rFonts w:ascii="Arial" w:cs="Arial" w:eastAsia="Arial" w:hAnsi="Arial"/>
          <w:b/>
          <w:bCs/>
          <w:color w:val="1A3A5C"/>
          <w:sz w:val="36"/>
          <w:szCs w:val="36"/>
        </w:rPr>
        <w:t xml:space="preserve">Developer Checklist — Before First Commit</w:t>
      </w:r>
    </w:p>
    <w:p>
      <w:pPr>
        <w:spacing w:after="80" w:before="0"/>
      </w:pPr>
      <w:r>
        <w:rPr>
          <w:rFonts w:ascii="Arial" w:cs="Arial" w:eastAsia="Arial" w:hAnsi="Arial"/>
          <w:color w:val="000000"/>
          <w:sz w:val="20"/>
          <w:szCs w:val="20"/>
        </w:rPr>
        <w:t xml:space="preserve">Complete this checklist before raising a pull request for any Phase 1 work:</w:t>
      </w:r>
    </w:p>
    <w:p>
      <w:pPr>
        <w:pStyle w:val="ListParagraph"/>
        <w:numPr>
          <w:ilvl w:val="0"/>
          <w:numId w:val="2"/>
        </w:numPr>
        <w:spacing w:after="40" w:before="40"/>
      </w:pPr>
      <w:r>
        <w:rPr>
          <w:rFonts w:ascii="Arial" w:cs="Arial" w:eastAsia="Arial" w:hAnsi="Arial"/>
          <w:color w:val="000000"/>
          <w:sz w:val="20"/>
          <w:szCs w:val="20"/>
        </w:rPr>
        <w:t xml:space="preserve">Install all Phase 1 NPM dependencies: node-cron, xlsx</w:t>
      </w:r>
    </w:p>
    <w:p>
      <w:pPr>
        <w:pStyle w:val="ListParagraph"/>
        <w:numPr>
          <w:ilvl w:val="0"/>
          <w:numId w:val="2"/>
        </w:numPr>
        <w:spacing w:after="40" w:before="40"/>
      </w:pPr>
      <w:r>
        <w:rPr>
          <w:rFonts w:ascii="Arial" w:cs="Arial" w:eastAsia="Arial" w:hAnsi="Arial"/>
          <w:color w:val="000000"/>
          <w:sz w:val="20"/>
          <w:szCs w:val="20"/>
        </w:rPr>
        <w:t xml:space="preserve">Set all required env vars in .env.production.example: GOVWIN_SEARCH_ID, GOVWIN_USER_ID, MS_GRAPH_TENANT_ID, MS_GRAPH_CLIENT_ID, MS_GRAPH_CLIENT_SECRET, MS_GRAPH_USER_EMAIL, SMTP_HOST, SMTP_PORT, SMTP_USER, SMTP_PASS, SAM_GOV_API_KEY, BOT_FAILURE_NOTIFY_EMAILS</w:t>
      </w:r>
    </w:p>
    <w:p>
      <w:pPr>
        <w:pStyle w:val="ListParagraph"/>
        <w:numPr>
          <w:ilvl w:val="0"/>
          <w:numId w:val="2"/>
        </w:numPr>
        <w:spacing w:after="40" w:before="40"/>
      </w:pPr>
      <w:r>
        <w:rPr>
          <w:rFonts w:ascii="Arial" w:cs="Arial" w:eastAsia="Arial" w:hAnsi="Arial"/>
          <w:color w:val="000000"/>
          <w:sz w:val="20"/>
          <w:szCs w:val="20"/>
        </w:rPr>
        <w:t xml:space="preserve">Remove createPlaceholderFile() from AttachmentHarvestService.js before merging any PR</w:t>
      </w:r>
    </w:p>
    <w:p>
      <w:pPr>
        <w:pStyle w:val="ListParagraph"/>
        <w:numPr>
          <w:ilvl w:val="0"/>
          <w:numId w:val="2"/>
        </w:numPr>
        <w:spacing w:after="40" w:before="40"/>
      </w:pPr>
      <w:r>
        <w:rPr>
          <w:rFonts w:ascii="Arial" w:cs="Arial" w:eastAsia="Arial" w:hAnsi="Arial"/>
          <w:color w:val="000000"/>
          <w:sz w:val="20"/>
          <w:szCs w:val="20"/>
        </w:rPr>
        <w:t xml:space="preserve">Remove buildDemoOpportunities() fallback from GovWinConnector.js before merging any PR</w:t>
      </w:r>
    </w:p>
    <w:p>
      <w:pPr>
        <w:pStyle w:val="ListParagraph"/>
        <w:numPr>
          <w:ilvl w:val="0"/>
          <w:numId w:val="2"/>
        </w:numPr>
        <w:spacing w:after="40" w:before="40"/>
      </w:pPr>
      <w:r>
        <w:rPr>
          <w:rFonts w:ascii="Arial" w:cs="Arial" w:eastAsia="Arial" w:hAnsi="Arial"/>
          <w:color w:val="000000"/>
          <w:sz w:val="20"/>
          <w:szCs w:val="20"/>
        </w:rPr>
        <w:t xml:space="preserve">Remove hardcoded JWT secret from server.js</w:t>
      </w:r>
    </w:p>
    <w:p>
      <w:pPr>
        <w:pStyle w:val="ListParagraph"/>
        <w:numPr>
          <w:ilvl w:val="0"/>
          <w:numId w:val="2"/>
        </w:numPr>
        <w:spacing w:after="40" w:before="40"/>
      </w:pPr>
      <w:r>
        <w:rPr>
          <w:rFonts w:ascii="Arial" w:cs="Arial" w:eastAsia="Arial" w:hAnsi="Arial"/>
          <w:color w:val="000000"/>
          <w:sz w:val="20"/>
          <w:szCs w:val="20"/>
        </w:rPr>
        <w:t xml:space="preserve">Replace demo seed mailbox addresses with real Thermo Fisher addresses</w:t>
      </w:r>
    </w:p>
    <w:p>
      <w:pPr>
        <w:pStyle w:val="ListParagraph"/>
        <w:numPr>
          <w:ilvl w:val="0"/>
          <w:numId w:val="2"/>
        </w:numPr>
        <w:spacing w:after="40" w:before="40"/>
      </w:pPr>
      <w:r>
        <w:rPr>
          <w:rFonts w:ascii="Arial" w:cs="Arial" w:eastAsia="Arial" w:hAnsi="Arial"/>
          <w:color w:val="000000"/>
          <w:sz w:val="20"/>
          <w:szCs w:val="20"/>
        </w:rPr>
        <w:t xml:space="preserve">Confirm GovWin API auth model with Thermo Fisher before coding TB-001</w:t>
      </w:r>
    </w:p>
    <w:p>
      <w:pPr>
        <w:pStyle w:val="ListParagraph"/>
        <w:numPr>
          <w:ilvl w:val="0"/>
          <w:numId w:val="2"/>
        </w:numPr>
        <w:spacing w:after="40" w:before="40"/>
      </w:pPr>
      <w:r>
        <w:rPr>
          <w:rFonts w:ascii="Arial" w:cs="Arial" w:eastAsia="Arial" w:hAnsi="Arial"/>
          <w:color w:val="000000"/>
          <w:sz w:val="20"/>
          <w:szCs w:val="20"/>
        </w:rPr>
        <w:t xml:space="preserve">Request Microsoft Graph Files.ReadWrite.All permission from Thermo Fisher IT (even in Phase 1 — long lead time)</w:t>
      </w:r>
    </w:p>
    <w:p>
      <w:pPr>
        <w:pStyle w:val="ListParagraph"/>
        <w:numPr>
          <w:ilvl w:val="0"/>
          <w:numId w:val="2"/>
        </w:numPr>
        <w:spacing w:after="40" w:before="40"/>
      </w:pPr>
      <w:r>
        <w:rPr>
          <w:rFonts w:ascii="Arial" w:cs="Arial" w:eastAsia="Arial" w:hAnsi="Arial"/>
          <w:color w:val="000000"/>
          <w:sz w:val="20"/>
          <w:szCs w:val="20"/>
        </w:rPr>
        <w:t xml:space="preserve">Request PostgreSQL credentials (geneAiDbUser password) from Anand/Lakshman Kumar</w:t>
      </w:r>
    </w:p>
    <w:p>
      <w:pPr>
        <w:pStyle w:val="ListParagraph"/>
        <w:numPr>
          <w:ilvl w:val="0"/>
          <w:numId w:val="2"/>
        </w:numPr>
        <w:spacing w:after="40" w:before="40"/>
      </w:pPr>
      <w:r>
        <w:rPr>
          <w:rFonts w:ascii="Arial" w:cs="Arial" w:eastAsia="Arial" w:hAnsi="Arial"/>
          <w:color w:val="000000"/>
          <w:sz w:val="20"/>
          <w:szCs w:val="20"/>
        </w:rPr>
        <w:t xml:space="preserve">Add acceptance test for every implementation step before marking as done</w:t>
      </w:r>
    </w:p>
    <w:p>
      <w:pPr>
        <w:spacing w:after="0" w:before="0"/>
      </w:pPr>
      <w:r>
        <w:t xml:space="preserve"/>
      </w:r>
    </w:p>
    <w:p>
      <w:pPr>
        <w:spacing w:after="0" w:before="0"/>
      </w:pPr>
      <w:r>
        <w:t xml:space="preserve"/>
      </w:r>
    </w:p>
    <w:p>
      <w:pPr>
        <w:spacing w:before="240"/>
        <w:jc w:val="center"/>
      </w:pPr>
      <w:r>
        <w:rPr>
          <w:rFonts w:ascii="Arial" w:cs="Arial" w:eastAsia="Arial" w:hAnsi="Arial"/>
          <w:b/>
          <w:bCs/>
          <w:color w:val="BDC3C7"/>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DC3C7" w:sz="3"/>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r>
            <w:rPr>
              <w:rFonts w:ascii="Arial" w:cs="Arial" w:eastAsia="Arial" w:hAnsi="Arial"/>
              <w:i/>
              <w:iCs/>
              <w:color w:val="5D6D7E"/>
              <w:sz w:val="16"/>
              <w:szCs w:val="16"/>
            </w:rPr>
            <w:t xml:space="preserve">For internal development use only</w:t>
          </w:r>
        </w:p>
      </w:tc>
      <w:tc>
        <w:tcPr>
          <w:tcW w:type="dxa" w:w="4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jc w:val="right"/>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r>
            <w:rPr>
              <w:rFonts w:ascii="Arial" w:cs="Arial" w:eastAsia="Arial" w:hAnsi="Arial"/>
              <w:b/>
              <w:bCs/>
              <w:color w:val="1A3A5C"/>
              <w:sz w:val="18"/>
              <w:szCs w:val="18"/>
            </w:rPr>
            <w:t xml:space="preserve">Tender360 — Developer Implementation Guide</w:t>
          </w:r>
        </w:p>
      </w:tc>
      <w:tc>
        <w:tcPr>
          <w:tcW w:type="dxa" w:w="38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jc w:val="right"/>
          </w:pPr>
          <w:r>
            <w:rPr>
              <w:rFonts w:ascii="Arial" w:cs="Arial" w:eastAsia="Arial" w:hAnsi="Arial"/>
              <w:i/>
              <w:iCs/>
              <w:color w:val="5D6D7E"/>
              <w:sz w:val="16"/>
              <w:szCs w:val="16"/>
            </w:rPr>
            <w:t xml:space="preserve">Celeris Ventures · CONFIDENTIAL</w:t>
          </w:r>
        </w:p>
      </w:tc>
    </w:tr>
  </w:tbl>
  <w:p>
    <w:pPr>
      <w:pBdr>
        <w:bottom w:val="single" w:color="BDC3C7" w:sz="3"/>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6A0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2026-06-09T10:13:04.349Z</dcterms:created>
  <dcterms:modified xsi:type="dcterms:W3CDTF">2026-06-09T10:13:04.364Z</dcterms:modified>
</cp:coreProperties>
</file>

<file path=docProps/custom.xml><?xml version="1.0" encoding="utf-8"?>
<Properties xmlns="http://schemas.openxmlformats.org/officeDocument/2006/custom-properties" xmlns:vt="http://schemas.openxmlformats.org/officeDocument/2006/docPropsVTypes"/>
</file>