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lineRule="auto"/>
        <w:jc w:val="left"/>
        <w:rPr>
          <w:rFonts w:ascii="Arial" w:cs="Arial" w:eastAsia="Arial" w:hAnsi="Arial"/>
          <w:b w:val="1"/>
          <w:color w:val="3c4043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32"/>
          <w:szCs w:val="32"/>
          <w:rtl w:val="0"/>
        </w:rPr>
        <w:t xml:space="preserve">Financial Sentiment Analysis</w:t>
      </w:r>
    </w:p>
    <w:p w:rsidR="00000000" w:rsidDel="00000000" w:rsidP="00000000" w:rsidRDefault="00000000" w:rsidRPr="00000000" w14:paraId="00000002">
      <w:pPr>
        <w:widowControl w:val="1"/>
        <w:spacing w:after="240" w:lineRule="auto"/>
        <w:jc w:val="left"/>
        <w:rPr>
          <w:rFonts w:ascii="Arial" w:cs="Arial" w:eastAsia="Arial" w:hAnsi="Arial"/>
          <w:b w:val="1"/>
          <w:color w:val="3c4043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rtl w:val="0"/>
        </w:rPr>
        <w:t xml:space="preserve">Dataset Description</w:t>
      </w:r>
    </w:p>
    <w:p w:rsidR="00000000" w:rsidDel="00000000" w:rsidP="00000000" w:rsidRDefault="00000000" w:rsidRPr="00000000" w14:paraId="00000003">
      <w:pPr>
        <w:pStyle w:val="Heading3"/>
        <w:spacing w:after="120" w:before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The following data is intended for advancing financial sentiment analysis research. It's two datasets (FiQA, Financial PhraseBank) combined into one easy-to-use CSV file. It provides financial sentences with sentiment labels.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lineRule="auto"/>
        <w:jc w:val="left"/>
        <w:rPr>
          <w:rFonts w:ascii="Arial" w:cs="Arial" w:eastAsia="Arial" w:hAnsi="Arial"/>
          <w:color w:val="3c4043"/>
        </w:rPr>
      </w:pPr>
      <w:r w:rsidDel="00000000" w:rsidR="00000000" w:rsidRPr="00000000">
        <w:rPr>
          <w:rFonts w:ascii="Arial" w:cs="Arial" w:eastAsia="Arial" w:hAnsi="Arial"/>
          <w:color w:val="3c4043"/>
          <w:rtl w:val="0"/>
        </w:rPr>
        <w:t xml:space="preserve">0: negative</w:t>
      </w:r>
    </w:p>
    <w:p w:rsidR="00000000" w:rsidDel="00000000" w:rsidP="00000000" w:rsidRDefault="00000000" w:rsidRPr="00000000" w14:paraId="00000007">
      <w:pPr>
        <w:widowControl w:val="1"/>
        <w:spacing w:after="240" w:lineRule="auto"/>
        <w:jc w:val="left"/>
        <w:rPr>
          <w:rFonts w:ascii="Arial" w:cs="Arial" w:eastAsia="Arial" w:hAnsi="Arial"/>
          <w:color w:val="3c4043"/>
        </w:rPr>
      </w:pPr>
      <w:r w:rsidDel="00000000" w:rsidR="00000000" w:rsidRPr="00000000">
        <w:rPr>
          <w:rFonts w:ascii="Arial" w:cs="Arial" w:eastAsia="Arial" w:hAnsi="Arial"/>
          <w:color w:val="3c4043"/>
          <w:rtl w:val="0"/>
        </w:rPr>
        <w:t xml:space="preserve">1: positive</w:t>
      </w:r>
    </w:p>
    <w:p w:rsidR="00000000" w:rsidDel="00000000" w:rsidP="00000000" w:rsidRDefault="00000000" w:rsidRPr="00000000" w14:paraId="00000008">
      <w:pPr>
        <w:widowControl w:val="1"/>
        <w:spacing w:after="240" w:lineRule="auto"/>
        <w:jc w:val="left"/>
        <w:rPr>
          <w:rFonts w:ascii="Arial" w:cs="Arial" w:eastAsia="Arial" w:hAnsi="Arial"/>
          <w:color w:val="3c4043"/>
        </w:rPr>
      </w:pPr>
      <w:r w:rsidDel="00000000" w:rsidR="00000000" w:rsidRPr="00000000">
        <w:rPr>
          <w:rFonts w:ascii="Arial" w:cs="Arial" w:eastAsia="Arial" w:hAnsi="Arial"/>
          <w:color w:val="3c4043"/>
          <w:rtl w:val="0"/>
        </w:rPr>
        <w:t xml:space="preserve">2: neutral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120" w:before="36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Citations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Malo, Pekka, et al. "Good debt or bad debt: Detecting semantic orientations in economic texts." </w:t>
      </w:r>
      <w:r w:rsidDel="00000000" w:rsidR="00000000" w:rsidRPr="00000000">
        <w:rPr>
          <w:rFonts w:ascii="inherit" w:cs="inherit" w:eastAsia="inherit" w:hAnsi="inherit"/>
          <w:b w:val="0"/>
          <w:i w:val="1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Journal of the Association for Information Science and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 65.4 (2014): 782-796.</w:t>
      </w:r>
    </w:p>
    <w:p w:rsidR="00000000" w:rsidDel="00000000" w:rsidP="00000000" w:rsidRDefault="00000000" w:rsidRPr="00000000" w14:paraId="0000000C">
      <w:pPr>
        <w:widowControl w:val="1"/>
        <w:spacing w:after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Georgia"/>
  <w:font w:name="Arial"/>
  <w:font w:name="inherit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widowControl w:val="1"/>
      <w:jc w:val="left"/>
    </w:pPr>
    <w:rPr>
      <w:rFonts w:ascii="SimSun" w:cs="SimSun" w:eastAsia="SimSun" w:hAnsi="SimSu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 w:val="1"/>
    <w:rsid w:val="00905DDD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 w:val="1"/>
    <w:rsid w:val="00D009CB"/>
    <w:pPr>
      <w:widowControl w:val="1"/>
      <w:spacing w:after="100" w:afterAutospacing="1" w:before="100" w:beforeAutospacing="1"/>
      <w:jc w:val="left"/>
      <w:outlineLvl w:val="1"/>
    </w:pPr>
    <w:rPr>
      <w:rFonts w:ascii="宋体" w:cs="宋体" w:eastAsia="宋体" w:hAnsi="宋体"/>
      <w:b w:val="1"/>
      <w:bCs w:val="1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905DDD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FA0CBE"/>
    <w:pPr>
      <w:widowControl w:val="1"/>
      <w:spacing w:after="100" w:afterAutospacing="1" w:before="100" w:beforeAutospacing="1"/>
      <w:jc w:val="left"/>
    </w:pPr>
    <w:rPr>
      <w:rFonts w:ascii="宋体" w:cs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 w:val="1"/>
    <w:rsid w:val="00261142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261142"/>
    <w:rPr>
      <w:rFonts w:ascii="宋体" w:cs="宋体" w:eastAsia="宋体" w:hAnsi="宋体"/>
      <w:sz w:val="24"/>
      <w:szCs w:val="24"/>
    </w:rPr>
  </w:style>
  <w:style w:type="character" w:styleId="20" w:customStyle="1">
    <w:name w:val="标题 2 字符"/>
    <w:basedOn w:val="a0"/>
    <w:link w:val="2"/>
    <w:uiPriority w:val="9"/>
    <w:rsid w:val="00D009CB"/>
    <w:rPr>
      <w:rFonts w:ascii="宋体" w:cs="宋体" w:eastAsia="宋体" w:hAnsi="宋体"/>
      <w:b w:val="1"/>
      <w:bCs w:val="1"/>
      <w:kern w:val="0"/>
      <w:sz w:val="36"/>
      <w:szCs w:val="36"/>
    </w:rPr>
  </w:style>
  <w:style w:type="character" w:styleId="10" w:customStyle="1">
    <w:name w:val="标题 1 字符"/>
    <w:basedOn w:val="a0"/>
    <w:link w:val="1"/>
    <w:uiPriority w:val="9"/>
    <w:rsid w:val="00905DDD"/>
    <w:rPr>
      <w:b w:val="1"/>
      <w:bCs w:val="1"/>
      <w:kern w:val="44"/>
      <w:sz w:val="44"/>
      <w:szCs w:val="44"/>
    </w:rPr>
  </w:style>
  <w:style w:type="character" w:styleId="30" w:customStyle="1">
    <w:name w:val="标题 3 字符"/>
    <w:basedOn w:val="a0"/>
    <w:link w:val="3"/>
    <w:uiPriority w:val="9"/>
    <w:semiHidden w:val="1"/>
    <w:rsid w:val="00905DDD"/>
    <w:rPr>
      <w:b w:val="1"/>
      <w:bCs w:val="1"/>
      <w:sz w:val="32"/>
      <w:szCs w:val="32"/>
    </w:rPr>
  </w:style>
  <w:style w:type="character" w:styleId="a5">
    <w:name w:val="Emphasis"/>
    <w:basedOn w:val="a0"/>
    <w:uiPriority w:val="20"/>
    <w:qFormat w:val="1"/>
    <w:rsid w:val="00905DDD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ckGV05LNxdBSIq8HwffIw0BnZA==">CgMxLjA4AHIhMW9rdVZ0TnBrNzk4dzRIMUs1aU1ROVF3aWFEbVlnNGdF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2023-10-24T00:52:00Z</dcterms:created>
  <dc:creator>LIU Chang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7ce0bc-1ec2-41cb-8ddc-b020b80710b7_Enabled">
    <vt:lpwstr>true</vt:lpwstr>
  </property>
  <property fmtid="{D5CDD505-2E9C-101B-9397-08002B2CF9AE}" pid="3" name="MSIP_Label_0c7ce0bc-1ec2-41cb-8ddc-b020b80710b7_SetDate">
    <vt:lpwstr>2023-10-24T00:25:19Z</vt:lpwstr>
  </property>
  <property fmtid="{D5CDD505-2E9C-101B-9397-08002B2CF9AE}" pid="4" name="MSIP_Label_0c7ce0bc-1ec2-41cb-8ddc-b020b80710b7_Method">
    <vt:lpwstr>Standard</vt:lpwstr>
  </property>
  <property fmtid="{D5CDD505-2E9C-101B-9397-08002B2CF9AE}" pid="5" name="MSIP_Label_0c7ce0bc-1ec2-41cb-8ddc-b020b80710b7_Name">
    <vt:lpwstr>Restricted (Internal data)</vt:lpwstr>
  </property>
  <property fmtid="{D5CDD505-2E9C-101B-9397-08002B2CF9AE}" pid="6" name="MSIP_Label_0c7ce0bc-1ec2-41cb-8ddc-b020b80710b7_SiteId">
    <vt:lpwstr>fe90179d-8207-4cb2-8834-0ce27ee0162d</vt:lpwstr>
  </property>
  <property fmtid="{D5CDD505-2E9C-101B-9397-08002B2CF9AE}" pid="7" name="MSIP_Label_0c7ce0bc-1ec2-41cb-8ddc-b020b80710b7_ActionId">
    <vt:lpwstr>bc12e32d-e36c-4ab8-bea2-113c5f9f20a7</vt:lpwstr>
  </property>
  <property fmtid="{D5CDD505-2E9C-101B-9397-08002B2CF9AE}" pid="8" name="MSIP_Label_0c7ce0bc-1ec2-41cb-8ddc-b020b80710b7_ContentBits">
    <vt:lpwstr>0</vt:lpwstr>
  </property>
</Properties>
</file>