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Meridian Robotics Inc. - Q3 2026 Quarterly Review</w:t>
      </w:r>
    </w:p>
    <w:p>
      <w:r>
        <w:t>Revenue reached $58.4 million in the third quarter, up from $52.1 million a year earlier. Operating margin expanded to 21.3% from 18.7% in the prior-year quarter, driven by continued discipline in fulfillment costs.</w:t>
      </w:r>
    </w:p>
    <w:p>
      <w:r>
        <w:t>Net income was $9.8 million, compared with $7.2 million in the same quarter last year. Management reiterated full-year revenue guidance of $230.0 million. The Board approved a $15.0 million share repurchase authorization during the quarter.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