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ab25573c994d89b8ff5c6a5e607fab56b7ad33"/>
    <w:p>
      <w:pPr>
        <w:pStyle w:val="Heading1"/>
      </w:pPr>
      <w:r>
        <w:t xml:space="preserve">Разработка высокопроизводительного алгоритмического комплекса для гуманизации антител на основе структурного сопоставления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Софрыгин Лука</w:t>
      </w:r>
    </w:p>
    <w:p>
      <w:pPr>
        <w:pStyle w:val="BodyText"/>
      </w:pPr>
      <w:r>
        <w:rPr>
          <w:b/>
          <w:bCs/>
        </w:rPr>
        <w:t xml:space="preserve">Научный руководитель:</w:t>
      </w:r>
      <w:r>
        <w:t xml:space="preserve"> </w:t>
      </w:r>
      <w:r>
        <w:t xml:space="preserve">Блохин Никита (компания BIOCAD)</w:t>
      </w:r>
    </w:p>
    <w:bookmarkEnd w:id="9"/>
    <w:bookmarkStart w:id="10" w:name="актуальность-и-постановка-задачи"/>
    <w:p>
      <w:pPr>
        <w:pStyle w:val="Heading1"/>
      </w:pPr>
      <w:r>
        <w:t xml:space="preserve">1. Актуальность и постановка задачи</w:t>
      </w:r>
    </w:p>
    <w:p>
      <w:pPr>
        <w:pStyle w:val="FirstParagraph"/>
      </w:pPr>
      <w:r>
        <w:t xml:space="preserve">Создание современных лекарств на основе антител животных (например, лам или верблюдов) является одним из наиболее перспективных направлений биофармацевтики. Такие антитела обладают уникальными свойствами, однако их прямое использование в терапии человека невозможно из-за высокого риска иммунного отторжения. Для решения этой проблемы применяется процесс гуманизации — пересадка активных участков (CDR), отвечающих за связывание с мишенью, на человеческий белковый каркас.</w:t>
      </w:r>
    </w:p>
    <w:p>
      <w:pPr>
        <w:pStyle w:val="BodyText"/>
      </w:pPr>
      <w:r>
        <w:t xml:space="preserve">Изначальный прототип системы, реализованный автором на языке Python, оказался недостаточно эффективным. Интерпретируемая природа языка привела к критическим задержкам при обработке массивов данных, содержащих тысячи белковых структур, затрудняя разработку и проверку гипотез.</w:t>
      </w:r>
    </w:p>
    <w:p>
      <w:pPr>
        <w:pStyle w:val="BodyText"/>
      </w:pPr>
      <w:r>
        <w:t xml:space="preserve">Целью данной работы стало создание автономного высокопроизводительного программного комплекса</w:t>
      </w:r>
      <w:r>
        <w:t xml:space="preserve"> </w:t>
      </w:r>
      <w:r>
        <w:rPr>
          <w:rStyle w:val="VerbatimChar"/>
        </w:rPr>
        <w:t xml:space="preserve">scaffolding-rs</w:t>
      </w:r>
      <w:r>
        <w:t xml:space="preserve"> </w:t>
      </w:r>
      <w:r>
        <w:t xml:space="preserve">на системном языке программирования Rust. Переход на компилируемый код и использование строгих алгоритмических методов сравнения пространственных структур позволили на несколько порядков ускорить процесс подбора каркасов при сохранении строгой биологической релевантности результатов.</w:t>
      </w:r>
    </w:p>
    <w:bookmarkEnd w:id="10"/>
    <w:bookmarkStart w:id="19" w:name="методы-решения"/>
    <w:p>
      <w:pPr>
        <w:pStyle w:val="Heading1"/>
      </w:pPr>
      <w:r>
        <w:t xml:space="preserve">2. Методы решения</w:t>
      </w:r>
    </w:p>
    <w:p>
      <w:pPr>
        <w:pStyle w:val="FirstParagraph"/>
      </w:pPr>
      <w:r>
        <w:t xml:space="preserve">Ключевым этапом работы стал полный рефакторинг системы. Выбор языка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обусловлен необходимостью строгого управления памятью без использования сборщика мусора, гарантированной безопасностью многопоточных вычислений и высокой скоростью исполнения бинарного кода.</w:t>
      </w:r>
    </w:p>
    <w:bookmarkStart w:id="11" w:name="технологические-решения"/>
    <w:p>
      <w:pPr>
        <w:pStyle w:val="Heading2"/>
      </w:pPr>
      <w:r>
        <w:t xml:space="preserve">Технологические решения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Хранение данных</w:t>
      </w:r>
      <w:r>
        <w:t xml:space="preserve">: Был осуществлен отказ от файловой системы в пользу встраиваемой базы данных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в режиме опережающей записи (WAL). Это позволило хранить тысячи PDB-структур и их метаданные в одном компактном файле, обеспечивая эффективный параллельный доступ на чтение и запись без блокировок.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Параллелизм</w:t>
      </w:r>
      <w:r>
        <w:t xml:space="preserve">: С использованием библиотеки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 </w:t>
      </w:r>
      <w:r>
        <w:t xml:space="preserve">реализовано распараллеливание тяжелых геометрических вычислений (расчет двугранных углов, наложение структур) на все доступные ядра процессора, что обеспечило линейную масштабируемость производительности.</w:t>
      </w:r>
    </w:p>
    <w:bookmarkEnd w:id="11"/>
    <w:bookmarkStart w:id="18" w:name="алгоритмические-решения"/>
    <w:p>
      <w:pPr>
        <w:pStyle w:val="Heading2"/>
      </w:pPr>
      <w:r>
        <w:t xml:space="preserve">Алгоритмические решения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Подготовка и очистка данных</w:t>
      </w:r>
      <w:r>
        <w:t xml:space="preserve">: База данных SAbDab содержит структуры разного качества. Был разработан модуль валидации, который анализирует каждый файл на наличие пропусков в нумерации аминокислот и геометрических разрывов в белковой цепи (расстояние между атомами углерода и азота соседних остатков более 2.0 Å). Структуры, не прошедшие проверку, помечаются и исключаются. В ходе обработки тестовой выборки было сохранено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наиболее достоверных структур (4500 из 5000), что исключило «шум» в результатах.</w:t>
      </w:r>
    </w:p>
    <w:p>
      <w:pPr>
        <w:numPr>
          <w:ilvl w:val="0"/>
          <w:numId w:val="1000"/>
        </w:numPr>
      </w:pPr>
      <w:r>
        <w:drawing>
          <wp:inline>
            <wp:extent cx="5334000" cy="4000500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pics/gap_analysi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Рис. 1. Распределение длины пептидной связи в базе. Выбросы справа от пунктирной линии (2.0А) указывают на физические разрывы цепи и отсеиваются алгоритмом.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Аннотация</w:t>
      </w:r>
      <w:r>
        <w:t xml:space="preserve">: Для унификации позиций аминокислот внедрена схема нумерации Мартина. Интеграция с инструментом</w:t>
      </w:r>
      <w:r>
        <w:t xml:space="preserve"> </w:t>
      </w:r>
      <w:r>
        <w:rPr>
          <w:b/>
          <w:bCs/>
        </w:rPr>
        <w:t xml:space="preserve">ANARCII</w:t>
      </w:r>
      <w:r>
        <w:t xml:space="preserve"> </w:t>
      </w:r>
      <w:r>
        <w:t xml:space="preserve">реализована через изолированное программное окружение, что позволяет автоматически загружать и кэшировать модели машинного обучения.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Структурное сопоставление</w:t>
      </w:r>
      <w:r>
        <w:t xml:space="preserve">: Поиск каркаса ведется не по последовательности, а по геометрической близости укладки остова белка. Используется метрика среднеквадратичного отклонения координат (СКО) атомов. Дополнительно проводится анализ двугранных углов (карта Рамачандрана), позволяющий оценивать стереохимическую корректность свернутой молекулы и отсеивать энергетически невыгодные конформации.</w:t>
      </w:r>
    </w:p>
    <w:p>
      <w:pPr>
        <w:numPr>
          <w:ilvl w:val="0"/>
          <w:numId w:val="1000"/>
        </w:numPr>
      </w:pPr>
      <w:r>
        <w:drawing>
          <wp:inline>
            <wp:extent cx="5334000" cy="4000500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pics/cdr_length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Рис. 2. Вариативность длин активных участков (CDR H3) в подготовленной базе данных, демонстрирующее разнообразие доступных структур.</w:t>
      </w:r>
    </w:p>
    <w:bookmarkEnd w:id="18"/>
    <w:bookmarkEnd w:id="19"/>
    <w:bookmarkStart w:id="26" w:name="анализ-полученных-результатов"/>
    <w:p>
      <w:pPr>
        <w:pStyle w:val="Heading1"/>
      </w:pPr>
      <w:r>
        <w:t xml:space="preserve">3. Анализ полученных результатов</w:t>
      </w:r>
    </w:p>
    <w:p>
      <w:pPr>
        <w:pStyle w:val="FirstParagraph"/>
      </w:pPr>
      <w:r>
        <w:t xml:space="preserve">Разработанный комплекс</w:t>
      </w:r>
      <w:r>
        <w:t xml:space="preserve"> </w:t>
      </w:r>
      <w:r>
        <w:rPr>
          <w:rStyle w:val="VerbatimChar"/>
        </w:rPr>
        <w:t xml:space="preserve">scaffolding-rs</w:t>
      </w:r>
      <w:r>
        <w:t xml:space="preserve"> </w:t>
      </w:r>
      <w:r>
        <w:t xml:space="preserve">демонстрирует качественное превосходство над прототипом: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Производительность</w:t>
      </w:r>
      <w:r>
        <w:t xml:space="preserve">: Время полной обработки базы сократилось с нескольких часов до минут. Поиск совпадений для одной структуры теперь занимает доли секунды, что позволяет проводить массовый скрининг.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Надежность</w:t>
      </w:r>
      <w:r>
        <w:t xml:space="preserve">: Проведено стресс-тестирование путем внесения случайных искажений (шума) в координаты атомов тестовой структуры. Алгоритм успешно находит исходную структуру среди тысяч других даже при наличии искажений, что подтверждает устойчивость выбранных метрик сравнения.</w:t>
      </w:r>
    </w:p>
    <w:p>
      <w:pPr>
        <w:numPr>
          <w:ilvl w:val="0"/>
          <w:numId w:val="1000"/>
        </w:numPr>
      </w:pPr>
      <w:r>
        <w:drawing>
          <wp:inline>
            <wp:extent cx="5334000" cy="40005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pics/top_n_deca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Рис. 3. График падения метрики для 5 лучших результатов. Резкий разрыв между первым (истинным) совпадением и последующими результатами подтверждает высокую избирательность алгоритма.</w:t>
      </w:r>
    </w:p>
    <w:p>
      <w:pPr>
        <w:numPr>
          <w:ilvl w:val="0"/>
          <w:numId w:val="1000"/>
        </w:numPr>
      </w:pPr>
      <w:r>
        <w:drawing>
          <wp:inline>
            <wp:extent cx="5334000" cy="5334000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pics/ramachandra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Рис. 4. Проверка стереохимической корректности найденного каркаса (1t66). Точки попадают в разрешенные области (альфа-спирали и бета-листы).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Автономность</w:t>
      </w:r>
      <w:r>
        <w:t xml:space="preserve">: Система полностью независима от внешних веб-сервисов и интернет-соединения после первичной загрузки, что является критическим требованием для работы в закрытых исследовательских контурах и обеспечивает воспроизводимость результатов.</w:t>
      </w:r>
    </w:p>
    <w:bookmarkEnd w:id="26"/>
    <w:bookmarkStart w:id="27" w:name="используемая-литература"/>
    <w:p>
      <w:pPr>
        <w:pStyle w:val="Heading1"/>
      </w:pPr>
      <w:r>
        <w:t xml:space="preserve">4. Используемая литература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Abbas A. K., Lichtman A. H., Pillai S.</w:t>
      </w:r>
      <w:r>
        <w:t xml:space="preserve"> </w:t>
      </w:r>
      <w:r>
        <w:t xml:space="preserve">Cellular and Molecular Immunology. — 9th ed. — Elsevier, 2017.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Dondelinger M. et al.</w:t>
      </w:r>
      <w:r>
        <w:t xml:space="preserve"> </w:t>
      </w:r>
      <w:r>
        <w:t xml:space="preserve">Understanding the significance and implications of antibody numbering and antigen-binding surface/residue definition // Frontiers in Immunology. — 2018. — Vol. 9. — P. 2278.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Dunbar J., Deane C. M.</w:t>
      </w:r>
      <w:r>
        <w:t xml:space="preserve"> </w:t>
      </w:r>
      <w:r>
        <w:t xml:space="preserve">ANARCI: antigen receptor numbering and receptor classification // Bioinformatics. — 2016. — Vol. 32.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Edelman G. M.</w:t>
      </w:r>
      <w:r>
        <w:t xml:space="preserve"> </w:t>
      </w:r>
      <w:r>
        <w:t xml:space="preserve">Antibody Structure and Molecular Immunology: Nobel Lecture. — 1972.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2026-02-02T19:11:07Z</dcterms:created>
  <dcterms:modified xsi:type="dcterms:W3CDTF">2026-02-02T19:11:07Z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