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26.png" ContentType="image/png"/>
  <Override PartName="/word/media/rId1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ab25573c994d89b8ff5c6a5e607fab56b7ad33"/>
    <w:p>
      <w:pPr>
        <w:pStyle w:val="Heading1"/>
      </w:pPr>
      <w:r>
        <w:t xml:space="preserve">Разработка высокопроизводительного алгоритмического комплекса для гуманизации антител на основе структурного сопоставления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Софрыгин Лука</w:t>
      </w:r>
    </w:p>
    <w:p>
      <w:pPr>
        <w:pStyle w:val="BodyText"/>
      </w:pPr>
      <w:r>
        <w:rPr>
          <w:b/>
          <w:bCs/>
        </w:rPr>
        <w:t xml:space="preserve">Научный руководитель:</w:t>
      </w:r>
      <w:r>
        <w:t xml:space="preserve"> </w:t>
      </w:r>
      <w:r>
        <w:t xml:space="preserve">Блохин Никита (компания BIOCAD)</w:t>
      </w:r>
    </w:p>
    <w:bookmarkStart w:id="9" w:name="актуальность"/>
    <w:p>
      <w:pPr>
        <w:pStyle w:val="Heading2"/>
      </w:pPr>
      <w:r>
        <w:t xml:space="preserve">1. Актуальность</w:t>
      </w:r>
    </w:p>
    <w:p>
      <w:pPr>
        <w:pStyle w:val="FirstParagraph"/>
      </w:pPr>
      <w:r>
        <w:t xml:space="preserve">В современной биофармацевтике создание терапевтических антител часто опирается на использование антител животных (например, лам или верблюдов), обладающих уникальными свойствами. Однако прямое использование таких антител в терапии человека невозможно из-за высокого риска иммунного отторжения. Для решения этой проблемы применяется процесс гуманизации — пересадка активных участков (CDR) животного антитела на человеческий белковый каркас.</w:t>
      </w:r>
    </w:p>
    <w:p>
      <w:pPr>
        <w:pStyle w:val="BodyText"/>
      </w:pPr>
      <w:r>
        <w:t xml:space="preserve">Изначальный прототип системы был реализован на языке Python. В ходе эксплуатации выяснилось, что интерпретируемая природа языка и отсутствие строгой типизации приводят к критическим задержкам при обработке массивов данных (тысячи структур). Время инициализации базы данных и поиска занимало часы, что делало невозможным оперативное тестирование гипотез. Научному сообществу требуются быстрые, надежные («lean») и локально работающие инструменты. Проект</w:t>
      </w:r>
      <w:r>
        <w:t xml:space="preserve"> </w:t>
      </w:r>
      <w:r>
        <w:rPr>
          <w:rStyle w:val="VerbatimChar"/>
        </w:rPr>
        <w:t xml:space="preserve">scaffolding-rs</w:t>
      </w:r>
      <w:r>
        <w:t xml:space="preserve"> </w:t>
      </w:r>
      <w:r>
        <w:t xml:space="preserve">направлен на решение проблемы производительности и воспроизводимости в задачах структурной биоинформатики путем рефакторинга и переписывания логики на системный язык программирования Rust.</w:t>
      </w:r>
    </w:p>
    <w:bookmarkEnd w:id="9"/>
    <w:bookmarkStart w:id="10" w:name="постановка-задачи-цель"/>
    <w:p>
      <w:pPr>
        <w:pStyle w:val="Heading2"/>
      </w:pPr>
      <w:r>
        <w:t xml:space="preserve">2. Постановка задачи (Цель)</w:t>
      </w:r>
    </w:p>
    <w:p>
      <w:pPr>
        <w:pStyle w:val="FirstParagraph"/>
      </w:pPr>
      <w:r>
        <w:t xml:space="preserve">Целью работы является создание автономного высокопроизводительного программного комплекса</w:t>
      </w:r>
      <w:r>
        <w:t xml:space="preserve"> </w:t>
      </w:r>
      <w:r>
        <w:rPr>
          <w:rStyle w:val="VerbatimChar"/>
        </w:rPr>
        <w:t xml:space="preserve">scaffolding-rs</w:t>
      </w:r>
      <w:r>
        <w:t xml:space="preserve"> </w:t>
      </w:r>
      <w:r>
        <w:t xml:space="preserve">для поиска оптимальных человеческих каркасов для гуманизации антител ламы. Основной фокус сделан на переходе от медленных интерпретируемых решений к компилируемому коду с использованием строгих алгоритмических методов сравнения пространственных структур, что обеспечивает кратное ускорение процесса подбора при сохранении биологической релевантности.</w:t>
      </w:r>
    </w:p>
    <w:bookmarkEnd w:id="10"/>
    <w:bookmarkStart w:id="22" w:name="методы-решения"/>
    <w:p>
      <w:pPr>
        <w:pStyle w:val="Heading2"/>
      </w:pPr>
      <w:r>
        <w:t xml:space="preserve">3. Методы решения</w:t>
      </w:r>
    </w:p>
    <w:p>
      <w:pPr>
        <w:pStyle w:val="FirstParagraph"/>
      </w:pPr>
      <w:r>
        <w:t xml:space="preserve">В ходе работы был выполнен полный рефакторинг прототипа с переходом на язык</w:t>
      </w:r>
      <w:r>
        <w:t xml:space="preserve"> </w:t>
      </w:r>
      <w:r>
        <w:rPr>
          <w:b/>
          <w:bCs/>
        </w:rPr>
        <w:t xml:space="preserve">Rust</w:t>
      </w:r>
      <w:r>
        <w:t xml:space="preserve">. Выбор языка обусловлен необходимостью строгого управления памятью, безопасной многопоточности и высокой скорости исполнения.</w:t>
      </w:r>
    </w:p>
    <w:bookmarkStart w:id="11" w:name="технологический-стек"/>
    <w:p>
      <w:pPr>
        <w:pStyle w:val="Heading3"/>
      </w:pPr>
      <w:r>
        <w:t xml:space="preserve">Технологический стек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Базы данных</w:t>
      </w:r>
      <w:r>
        <w:t xml:space="preserve">: Отказ от файловой системы в пользу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с режимом WAL (Write-Ahead Logging). Это позволяет хранить тысячи PDB-структур и метаданных в одном файле, обеспечивая параллельный доступ на чтение и запись без блокировок.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Параллелизм</w:t>
      </w:r>
      <w:r>
        <w:t xml:space="preserve">: Использование библиотеки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 </w:t>
      </w:r>
      <w:r>
        <w:t xml:space="preserve">для распараллеливания тяжелых вычислений (расчет углов, RMSD) на все ядра процессора.</w:t>
      </w:r>
    </w:p>
    <w:bookmarkEnd w:id="11"/>
    <w:bookmarkStart w:id="21" w:name="алгоритмические-решения"/>
    <w:p>
      <w:pPr>
        <w:pStyle w:val="Heading3"/>
      </w:pPr>
      <w:r>
        <w:t xml:space="preserve">Алгоритмические решения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Подготовка и очистка данных</w:t>
      </w:r>
      <w:r>
        <w:t xml:space="preserve">: База данных SAbDab содержит множество структур разного качества. Для обеспечения надежности результатов был разработан модуль валидации, который анализирует каждый PDB-файл на наличие:</w:t>
      </w:r>
    </w:p>
    <w:p>
      <w:pPr>
        <w:pStyle w:val="Compact"/>
        <w:numPr>
          <w:ilvl w:val="1"/>
          <w:numId w:val="1003"/>
        </w:numPr>
      </w:pPr>
      <w:r>
        <w:t xml:space="preserve">Пропусков в нумерации аминокислот.</w:t>
      </w:r>
    </w:p>
    <w:p>
      <w:pPr>
        <w:pStyle w:val="Compact"/>
        <w:numPr>
          <w:ilvl w:val="2"/>
          <w:numId w:val="1004"/>
        </w:numPr>
      </w:pPr>
      <w:r>
        <w:t xml:space="preserve">Геометрических разрывов в белковой цепи (расстояние между атомами углерода и азота соседних остатков более 2.0Å).</w:t>
      </w:r>
    </w:p>
    <w:p>
      <w:pPr>
        <w:pStyle w:val="Compact"/>
        <w:numPr>
          <w:ilvl w:val="2"/>
          <w:numId w:val="1004"/>
        </w:numPr>
      </w:pPr>
      <w:r>
        <w:t xml:space="preserve">Отсутствующих атомов остова (азот, альфа-углерод, углерод).</w:t>
      </w:r>
    </w:p>
    <w:p>
      <w:pPr>
        <w:pStyle w:val="Compact"/>
        <w:numPr>
          <w:ilvl w:val="1"/>
          <w:numId w:val="1000"/>
        </w:numPr>
      </w:pPr>
      <w:r>
        <w:t xml:space="preserve">Структуры, не прошедшие проверку качества, помечаются в базе и исключаются из дальнейшего поиска. В ходе обработки тестовой выборки было сохранено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структур (4500 из 5000), что позволило исключить</w:t>
      </w:r>
      <w:r>
        <w:t xml:space="preserve"> </w:t>
      </w:r>
      <w:r>
        <w:t xml:space="preserve">“шум”</w:t>
      </w:r>
      <w:r>
        <w:t xml:space="preserve"> </w:t>
      </w:r>
      <w:r>
        <w:t xml:space="preserve">и повысить достоверность итогового набора.</w:t>
      </w:r>
    </w:p>
    <w:p>
      <w:pPr>
        <w:numPr>
          <w:ilvl w:val="0"/>
          <w:numId w:val="1000"/>
        </w:numPr>
      </w:pPr>
      <w:r>
        <w:drawing>
          <wp:inline>
            <wp:extent cx="5334000" cy="4000500"/>
            <wp:effectExtent b="0" l="0" r="0" t="0"/>
            <wp:docPr descr="Анализ геометрических разрывов" title="" id="13" name="Picture"/>
            <a:graphic>
              <a:graphicData uri="http://schemas.openxmlformats.org/drawingml/2006/picture">
                <pic:pic>
                  <pic:nvPicPr>
                    <pic:cNvPr descr="pics/gap_analysi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2. Распределение длины пептидной связи в базе данных. Подавляющее большинство связей сосредоточено около физиологической нормы (1.33 Ангстрем). Выбросы справа от пунктирной линии (2.0А) указывают на разрывы цепи и отсеиваются алгоритмом.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Нумерация и Аннотация</w:t>
      </w:r>
      <w:r>
        <w:t xml:space="preserve">: Для унификации позиций аминокислот в вариабельных доменах использована схема нумерации Мартина. Интеграция с инструментом</w:t>
      </w:r>
      <w:r>
        <w:t xml:space="preserve"> </w:t>
      </w:r>
      <w:r>
        <w:rPr>
          <w:b/>
          <w:bCs/>
        </w:rPr>
        <w:t xml:space="preserve">ANARCII</w:t>
      </w:r>
      <w:r>
        <w:t xml:space="preserve"> </w:t>
      </w:r>
      <w:r>
        <w:t xml:space="preserve">выполнена через локальное виртуальное окружение, что позволяет автоматически загружать и кэшировать модели машинного обучения для аннотации последовательностей.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Структурное сопоставление</w:t>
      </w:r>
      <w:r>
        <w:t xml:space="preserve">: Поиск каркаса осуществляется не просто по схожести последовательности (как в BLAST), а по геометрической близости укладки белковой цепи.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Среднеквадратичное отклонение (RMSD)</w:t>
      </w:r>
      <w:r>
        <w:t xml:space="preserve">: Вычисляется отклонение координат атомов остова между целевым антителом и кандидатом из базы.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Анализ углов Рамачандрана</w:t>
      </w:r>
      <w:r>
        <w:t xml:space="preserve">: Дополнительно оценивается соответствие двугранных углов (</w:t>
      </w:r>
      <m:oMath>
        <m:r>
          <m:t>ϕ</m:t>
        </m:r>
        <m:r>
          <m:rPr>
            <m:sty m:val="p"/>
          </m:rPr>
          <m:t>,</m:t>
        </m:r>
        <m:r>
          <m:t>ψ</m:t>
        </m:r>
      </m:oMath>
      <w:r>
        <w:t xml:space="preserve">) полипептидной цепи, что позволяет исключить структуры с энергетически невыгодными конформациями.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Распределение длины CDR H3" title="" id="16" name="Picture"/>
            <a:graphic>
              <a:graphicData uri="http://schemas.openxmlformats.org/drawingml/2006/picture">
                <pic:pic>
                  <pic:nvPicPr>
                    <pic:cNvPr descr="pics/cdr_length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3. Распределение длины гипервариабельного участка CDR H3 в базе данных, демонстрирующее разнообразие доступных структур.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Распределение метрики сходства" title="" id="19" name="Picture"/>
            <a:graphic>
              <a:graphicData uri="http://schemas.openxmlformats.org/drawingml/2006/picture">
                <pic:pic>
                  <pic:nvPicPr>
                    <pic:cNvPr descr="pics/scor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4. Гистограмма распределения метрики сходства при сканировании базы данных. Большинство структур имеют низкое сходство, что позволяет эффективно выделять релевантные каркасы.</w:t>
      </w:r>
    </w:p>
    <w:bookmarkEnd w:id="21"/>
    <w:bookmarkEnd w:id="22"/>
    <w:bookmarkStart w:id="29" w:name="анализ-полученных-результатов"/>
    <w:p>
      <w:pPr>
        <w:pStyle w:val="Heading2"/>
      </w:pPr>
      <w:r>
        <w:t xml:space="preserve">4. Анализ полученных результатов</w:t>
      </w:r>
    </w:p>
    <w:p>
      <w:pPr>
        <w:pStyle w:val="FirstParagraph"/>
      </w:pPr>
      <w:r>
        <w:t xml:space="preserve">Созданный инструмент</w:t>
      </w:r>
      <w:r>
        <w:t xml:space="preserve"> </w:t>
      </w:r>
      <w:r>
        <w:rPr>
          <w:rStyle w:val="VerbatimChar"/>
        </w:rPr>
        <w:t xml:space="preserve">scaffolding-rs</w:t>
      </w:r>
      <w:r>
        <w:t xml:space="preserve"> </w:t>
      </w:r>
      <w:r>
        <w:t xml:space="preserve">демонстрирует существенное превосходство над прототипом на Python: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Производительность</w:t>
      </w:r>
      <w:r>
        <w:t xml:space="preserve">: Время</w:t>
      </w:r>
      <w:r>
        <w:t xml:space="preserve"> </w:t>
      </w:r>
      <w:r>
        <w:t xml:space="preserve">“холодного”</w:t>
      </w:r>
      <w:r>
        <w:t xml:space="preserve"> </w:t>
      </w:r>
      <w:r>
        <w:t xml:space="preserve">старта и обработки базы сократилось с часов до минут. Поиск совпадений для одного антитела занимает доли секунды.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Точность</w:t>
      </w:r>
      <w:r>
        <w:t xml:space="preserve">: Реализована система стресс-тестирования. В ходе эксперимента координаты атомов тестовой структуры подвергались случайному смещению (шуму). Алгоритм успешно идентифицировал исходную структуру среди тысяч других даже при наличии искажений, подтверждая надежность выбранных метрик.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Разрыв в значениях метрики" title="" id="24" name="Picture"/>
            <a:graphic>
              <a:graphicData uri="http://schemas.openxmlformats.org/drawingml/2006/picture">
                <pic:pic>
                  <pic:nvPicPr>
                    <pic:cNvPr descr="pics/top_n_deca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5. График падения метрики для 5 лучших результатов поиска. Резкий разрыв между первым (истинным) совпадением и последующими</w:t>
      </w:r>
      <w:r>
        <w:rPr>
          <w:i/>
          <w:iCs/>
        </w:rPr>
        <w:t xml:space="preserve"> </w:t>
      </w:r>
      <w:r>
        <w:rPr>
          <w:i/>
          <w:iCs/>
        </w:rPr>
        <w:t xml:space="preserve">“фоновыми”</w:t>
      </w:r>
      <w:r>
        <w:rPr>
          <w:i/>
          <w:iCs/>
        </w:rPr>
        <w:t xml:space="preserve"> </w:t>
      </w:r>
      <w:r>
        <w:rPr>
          <w:i/>
          <w:iCs/>
        </w:rPr>
        <w:t xml:space="preserve">результатами подтверждает высокую избирательность алгоритма.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Карта Рамачандрана" title="" id="27" name="Picture"/>
            <a:graphic>
              <a:graphicData uri="http://schemas.openxmlformats.org/drawingml/2006/picture">
                <pic:pic>
                  <pic:nvPicPr>
                    <pic:cNvPr descr="pics/ramachandra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6. Визуализация двугранных углов (карта Рамачандрана) для одной из найденных структур-каркасов (1t66). Точки попадают в разрешенные области (альфа-спирали и бета-листы), что подтверждает стереохимическую корректность.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Автономность</w:t>
      </w:r>
      <w:r>
        <w:t xml:space="preserve">: Приложение является полностью самодостаточным. После первой загрузки базы данных (SAbDab) оно может работать без доступа к сети Интернет, что критично для работы с закрытыми или чувствительными данными.</w:t>
      </w:r>
    </w:p>
    <w:bookmarkEnd w:id="29"/>
    <w:bookmarkStart w:id="31" w:name="используемая-литература"/>
    <w:p>
      <w:pPr>
        <w:pStyle w:val="Heading2"/>
      </w:pPr>
      <w:r>
        <w:t xml:space="preserve">5. Используемая литература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Abbas A. K., Lichtman A. H., Pillai S.</w:t>
      </w:r>
      <w:r>
        <w:t xml:space="preserve"> </w:t>
      </w:r>
      <w:r>
        <w:t xml:space="preserve">Cellular and Molecular Immunology. — 9th ed. — Elsevier, 2017.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Dondelinger M. et al.</w:t>
      </w:r>
      <w:r>
        <w:t xml:space="preserve"> </w:t>
      </w:r>
      <w:r>
        <w:t xml:space="preserve">Understanding the significance and implications of antibody numbering and antigen-binding surface/residue definition // Frontiers in Immunology. — 2018. — Vol. 9. — P. 2278. DOI: 10.3389/fimmu.2018.02278.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Dunbar J. et al.</w:t>
      </w:r>
      <w:r>
        <w:t xml:space="preserve"> </w:t>
      </w:r>
      <w:r>
        <w:t xml:space="preserve">SAbDab: the structural antibody database // Nucleic Acids Research. — 2014. — Vol. 42.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Dunbar J., Deane C. M.</w:t>
      </w:r>
      <w:r>
        <w:t xml:space="preserve"> </w:t>
      </w:r>
      <w:r>
        <w:t xml:space="preserve">ANARCI: antigen receptor numbering and receptor classification // Bioinformatics. — 2016. — Vol. 32.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Edelman G. M.</w:t>
      </w:r>
      <w:r>
        <w:t xml:space="preserve"> </w:t>
      </w:r>
      <w:r>
        <w:t xml:space="preserve">Antibody Structure and Molecular Immunology: Nobel Lecture. — 1972. URL:</w:t>
      </w:r>
      <w:r>
        <w:t xml:space="preserve"> </w:t>
      </w:r>
      <w:hyperlink r:id="rId30">
        <w:r>
          <w:rPr>
            <w:rStyle w:val="Hyperlink"/>
          </w:rPr>
          <w:t xml:space="preserve">https://www.nobelprize.org/uploads/2018/06/edelman-lecture.pdf</w:t>
        </w:r>
      </w:hyperlink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hyperlink" Id="rId30" Target="https://www.nobelprize.org/uploads/2018/06/edelman-lectur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www.nobelprize.org/uploads/2018/06/edelman-lectur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2026-02-02T18:32:48Z</dcterms:created>
  <dcterms:modified xsi:type="dcterms:W3CDTF">2026-02-02T18:32:48Z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