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525uxk6run8" w:id="0"/>
      <w:bookmarkEnd w:id="0"/>
      <w:r w:rsidDel="00000000" w:rsidR="00000000" w:rsidRPr="00000000">
        <w:rPr>
          <w:rtl w:val="0"/>
        </w:rPr>
        <w:t xml:space="preserve">2. Quản lý ca làm nhân viên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2.1 Thêm 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2.2 Sửa 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83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2.3 Thêm phân công 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8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2.4 Sửa phân công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26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2.5 Xóa phân công 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9nyuz48bel7" w:id="1"/>
      <w:bookmarkEnd w:id="1"/>
      <w:r w:rsidDel="00000000" w:rsidR="00000000" w:rsidRPr="00000000">
        <w:rPr>
          <w:rtl w:val="0"/>
        </w:rPr>
        <w:t xml:space="preserve">16.Tổ chức khuyến mãi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16.1 Thêm chương trình khuyến mãi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5838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16.2 Sửa chương trình khuyến mãi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5838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