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E6C63">
      <w:pPr>
        <w:pStyle w:val="6"/>
        <w:ind w:firstLine="482" w:firstLineChars="200"/>
      </w:pPr>
      <w:r>
        <w:rPr>
          <w:rFonts w:hint="eastAsia"/>
          <w:lang w:val="en-US" w:eastAsia="zh-CN"/>
        </w:rPr>
        <w:t>1、收购人</w:t>
      </w:r>
      <w:r>
        <w:rPr>
          <w:rFonts w:hint="eastAsia"/>
        </w:rPr>
        <w:t>所控制的核心企业及其主营业务的情况</w:t>
      </w:r>
    </w:p>
    <w:p w14:paraId="4F8664FA">
      <w:pPr>
        <w:pStyle w:val="4"/>
        <w:spacing w:before="156" w:after="156"/>
        <w:ind w:firstLine="480"/>
        <w:jc w:val="both"/>
        <w:rPr>
          <w:rFonts w:hint="eastAsia"/>
        </w:rPr>
      </w:pPr>
      <w:r>
        <w:rPr>
          <w:rFonts w:hint="eastAsia"/>
        </w:rPr>
        <w:t>截至本报告书签署日，</w:t>
      </w:r>
      <w:r>
        <w:rPr>
          <w:rFonts w:hint="eastAsia"/>
          <w:lang w:val="en-US" w:eastAsia="zh-CN"/>
        </w:rPr>
        <w:t>鼎耘产业不存在对外控制企业的情况。</w:t>
      </w:r>
    </w:p>
    <w:p w14:paraId="4A79C81F">
      <w:pPr>
        <w:pStyle w:val="6"/>
        <w:ind w:firstLine="482" w:firstLineChars="200"/>
      </w:pPr>
      <w:r>
        <w:rPr>
          <w:rFonts w:hint="eastAsia"/>
          <w:lang w:val="en-US" w:eastAsia="zh-CN"/>
        </w:rPr>
        <w:t>2、收购人的执行事务合伙人</w:t>
      </w:r>
      <w:r>
        <w:rPr>
          <w:rFonts w:hint="eastAsia"/>
        </w:rPr>
        <w:t>、实际控制人所控制的核心资产和核心业务的情况</w:t>
      </w:r>
      <w:bookmarkStart w:id="0" w:name="_GoBack"/>
      <w:bookmarkEnd w:id="0"/>
    </w:p>
    <w:p w14:paraId="4682A221">
      <w:pPr>
        <w:pStyle w:val="4"/>
        <w:spacing w:before="156" w:after="156"/>
        <w:ind w:firstLine="48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截至本报告书签署日，除鼎耘产业外，收购人的执行事务合伙人不存在对外控制企业的情况。</w:t>
      </w:r>
    </w:p>
    <w:p w14:paraId="50AC2737">
      <w:pPr>
        <w:pStyle w:val="4"/>
        <w:spacing w:before="156" w:after="156"/>
        <w:ind w:firstLine="48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截至本报告书签署日，除鼎耘产业、鼎耘工业外，</w:t>
      </w:r>
      <w:r>
        <w:rPr>
          <w:rFonts w:hint="eastAsia"/>
          <w:lang w:val="en-US" w:eastAsia="zh-CN"/>
        </w:rPr>
        <w:t>收购人</w:t>
      </w:r>
      <w:r>
        <w:rPr>
          <w:rFonts w:hint="eastAsia"/>
          <w:highlight w:val="none"/>
          <w:lang w:val="en-US" w:eastAsia="zh-CN"/>
        </w:rPr>
        <w:t>的实际控制人李红星控制的其他核心企业基本情况如下：</w:t>
      </w:r>
    </w:p>
    <w:tbl>
      <w:tblPr>
        <w:tblStyle w:val="2"/>
        <w:tblW w:w="4944" w:type="pct"/>
        <w:tblInd w:w="92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3086"/>
        <w:gridCol w:w="1595"/>
        <w:gridCol w:w="1971"/>
        <w:gridCol w:w="1284"/>
      </w:tblGrid>
      <w:tr w14:paraId="1BDC641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847385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序号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D1BA5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企业名称</w:t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E1217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注册资本/</w:t>
            </w:r>
          </w:p>
          <w:p w14:paraId="62D23286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出资额（万元）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511BCB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持股比例/</w:t>
            </w:r>
          </w:p>
          <w:p w14:paraId="26F54621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控制方式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5F7364">
            <w:pPr>
              <w:pStyle w:val="5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主营业务</w:t>
            </w:r>
          </w:p>
        </w:tc>
      </w:tr>
      <w:tr w14:paraId="6554F41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0B8CA0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8A7EF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instrText xml:space="preserve"> HYPERLINK "https://www.qcc.com/firm/5b155cdc78309cd6d3e261db4577992e.html"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鼎耘投资发展（海南）有限公司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73A8E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10,000.00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33A233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7E17F4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06BBA0A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</w:trPr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73DBF8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FD60EE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"https://www.qcc.com/firm/c01af3d4ae8fddf81625a0d8247ee045.html"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海南鼎耘投资合伙企业（有限合伙）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3D1371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646F56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4E1D92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78518F6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36850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03D7CD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instrText xml:space="preserve"> HYPERLINK "https://www.qcc.com/firm/31c882b165303a240a6ec862cbffeb19.html"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北京鼎耘资产管理有限公司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1B33D0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2,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FB3FD6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0152C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0188EC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2ED74A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664985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北京鼎耘投资管理有限公司</w:t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36E8A7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1689F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39ECA3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6EE2D6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AF720E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947F75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"https://www.qcc.com/firm/2ed9b81fee6a8799add72f8ef2e156cb.html"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厦门鼎耘投资有限公司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D9683B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CDA0E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41364C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5F9DA9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81B11A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13F376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"https://www.qcc.com/firm/86025b4ddb0c97669c12c218902e55c0.html"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宁波鸿晓投资管理有限公司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1B82BC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E2546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3E151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6CF32A9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25CD4C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AB130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湖北芯映光电有限公司</w:t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A5B673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34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000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BB2C5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66.18%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80628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光电子器件制造</w:t>
            </w:r>
          </w:p>
        </w:tc>
      </w:tr>
      <w:tr w14:paraId="7C2C6EC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40AA44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E303F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highlight w:val="none"/>
              </w:rPr>
              <w:t>武汉芯享光电科技有限公司</w:t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322C61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FDCFDE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66.18%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53CD1F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光电子器件制造</w:t>
            </w:r>
          </w:p>
        </w:tc>
      </w:tr>
      <w:tr w14:paraId="605746A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C15A0E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5C3B3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"https://www.qcc.com/firm/28e7f0754ac9f6ceed586800dc26bba0.html"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厦门鼎炎股权投资基金合伙企业（有限合伙）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21E85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5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000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D9339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54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%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;其控制的企业任执行事务合伙人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3D55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</w:t>
            </w:r>
          </w:p>
        </w:tc>
      </w:tr>
      <w:tr w14:paraId="36D7C90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05242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B6E06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"https://www.qcc.com/firm/f59895347cd91a6938deb5c8d7ed8f22.html"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潍坊国信鼎安股权投资合伙企业（有限合伙）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1DBF3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300.00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412859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BB1D23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62C3774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D09F00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11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2D52EC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潍坊国信网安股权投资合伙企业（有限合伙）</w:t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DD52DE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,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600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F9AD4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249E6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</w:t>
            </w:r>
          </w:p>
        </w:tc>
      </w:tr>
      <w:tr w14:paraId="40B32D1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D362D4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3E1C07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"https://www.qcc.com/firm/c1af536b8caaec334fea8b0ead94ccb3.html"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厦门鼎灿投资合伙企业（有限合伙）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693AA5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3,310.00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B796C3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BA49D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224730F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E8D47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60B116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"https://www.qcc.com/firm/da01ada4e7e09add2570605a9f9d1a82.html"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厦门鼎岑投资合伙企业（有限合伙）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C8F48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1,000.00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6F4A85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89E6BD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6B5F986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587D37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37CD1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"https://www.qcc.com/firm/89e658329dfda0584e57b1756afd6d52.html"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厦门鼎樽投资合伙企业（有限合伙）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872B2B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1,000.00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7605E1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AE7AA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私募基金、投资管理</w:t>
            </w:r>
          </w:p>
        </w:tc>
      </w:tr>
      <w:tr w14:paraId="1924606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805DC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7354D8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"https://www.qcc.com/firm/c909418780bf15e6e638af549819d210.html"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宁波鸿景股权投资合伙企业（有限合伙）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9616BD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9,110.00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F085ED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8735D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</w:t>
            </w:r>
          </w:p>
        </w:tc>
      </w:tr>
      <w:tr w14:paraId="6520667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2AFDE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  <w:r>
              <w:rPr>
                <w:rFonts w:hint="eastAsia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183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936360">
            <w:pPr>
              <w:pStyle w:val="5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instrText xml:space="preserve"> HYPERLINK "https://www.qcc.com/firm/d144577077ae18275db35178ba6610e4.html" \t "https://www.qcc.com/pl/_blank" </w:instrTex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厦门鼎硕商务合伙企业（有限合伙）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fldChar w:fldCharType="end"/>
            </w:r>
          </w:p>
        </w:tc>
        <w:tc>
          <w:tcPr>
            <w:tcW w:w="94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2EA1C">
            <w:pPr>
              <w:pStyle w:val="5"/>
              <w:jc w:val="righ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15,501.00</w:t>
            </w:r>
          </w:p>
        </w:tc>
        <w:tc>
          <w:tcPr>
            <w:tcW w:w="116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0D0EBE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其控制的企业任执行事务合伙人</w:t>
            </w:r>
          </w:p>
        </w:tc>
        <w:tc>
          <w:tcPr>
            <w:tcW w:w="76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1C39F6">
            <w:pPr>
              <w:pStyle w:val="5"/>
              <w:jc w:val="left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highlight w:val="none"/>
              </w:rPr>
              <w:t>私募基金</w:t>
            </w:r>
          </w:p>
        </w:tc>
      </w:tr>
    </w:tbl>
    <w:p w14:paraId="1F467500">
      <w:pPr>
        <w:pStyle w:val="6"/>
        <w:ind w:firstLine="482" w:firstLineChars="200"/>
      </w:pPr>
      <w:r>
        <w:rPr>
          <w:rFonts w:hint="eastAsia"/>
          <w:lang w:val="en-US" w:eastAsia="zh-CN"/>
        </w:rPr>
        <w:t>1、一致行动人</w:t>
      </w:r>
      <w:r>
        <w:rPr>
          <w:rFonts w:hint="eastAsia"/>
        </w:rPr>
        <w:t>所控制的核心企业及其主营业务的情况</w:t>
      </w:r>
    </w:p>
    <w:p w14:paraId="77123B80">
      <w:pPr>
        <w:pStyle w:val="4"/>
        <w:spacing w:before="156" w:after="156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截至本报告书签署日，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鼎耘科技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不存在对外控制企业的情况。</w:t>
      </w:r>
    </w:p>
    <w:p w14:paraId="26F5501B">
      <w:pPr>
        <w:pStyle w:val="6"/>
        <w:ind w:firstLine="482" w:firstLineChars="200"/>
      </w:pPr>
      <w:r>
        <w:rPr>
          <w:rFonts w:hint="eastAsia"/>
          <w:lang w:val="en-US" w:eastAsia="zh-CN"/>
        </w:rPr>
        <w:t>2、一致行动人及其控股股东、实际控制人控制的核心企业和主营业务情况</w:t>
      </w:r>
    </w:p>
    <w:p w14:paraId="378FFA64">
      <w:pPr>
        <w:pStyle w:val="4"/>
        <w:spacing w:before="156" w:after="156"/>
        <w:ind w:left="0" w:leftChars="0"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截至本报告书签署日，</w:t>
      </w:r>
      <w:r>
        <w:rPr>
          <w:rFonts w:hint="eastAsia"/>
          <w:lang w:val="en-US" w:eastAsia="zh-CN"/>
        </w:rPr>
        <w:t>家家悦控股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的主营业务为实业投资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除鼎耘科技外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/>
          <w:lang w:val="en-US" w:eastAsia="zh-CN"/>
        </w:rPr>
        <w:t>家家悦控股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控制的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其他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核心企业及主营业务情况如下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：</w:t>
      </w:r>
    </w:p>
    <w:tbl>
      <w:tblPr>
        <w:tblStyle w:val="2"/>
        <w:tblW w:w="5000" w:type="pct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759"/>
        <w:gridCol w:w="1366"/>
        <w:gridCol w:w="1190"/>
        <w:gridCol w:w="3520"/>
      </w:tblGrid>
      <w:tr w14:paraId="6BA2324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403" w:type="pct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7FE2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1032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1096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企业名称</w:t>
            </w:r>
          </w:p>
        </w:tc>
        <w:tc>
          <w:tcPr>
            <w:tcW w:w="801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AF4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注册资本（万元）</w:t>
            </w:r>
          </w:p>
        </w:tc>
        <w:tc>
          <w:tcPr>
            <w:tcW w:w="698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09D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持股比例</w:t>
            </w:r>
          </w:p>
        </w:tc>
        <w:tc>
          <w:tcPr>
            <w:tcW w:w="2065" w:type="pct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34C48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主营业务</w:t>
            </w:r>
          </w:p>
        </w:tc>
      </w:tr>
      <w:tr w14:paraId="56305CA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1E68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4F19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山东鼎云科技创新有限公司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BAC9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4EA7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E1D60D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信息技术咨询服务；技术服务、技术开发、技术咨询、技术交流、技术转让、技术推广</w:t>
            </w:r>
          </w:p>
        </w:tc>
      </w:tr>
      <w:tr w14:paraId="3F62107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2F2D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18F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威海家家悦房地产开发有限公司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121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3,000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ADB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88A88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凭资质从事房地产开发与销售，项目管理，建设工程咨询</w:t>
            </w:r>
          </w:p>
        </w:tc>
      </w:tr>
      <w:tr w14:paraId="15C2194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2515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C73B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威海信悦物业服务有限公司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0BE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A042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6CA02E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凭资质从事物业管理服务、小区绿化、房屋修缮；家政服务；房屋租赁</w:t>
            </w:r>
          </w:p>
        </w:tc>
      </w:tr>
      <w:tr w14:paraId="2218A6A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D4B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D2D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威海九龙晟酒店管理有限公司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804E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D51C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C2203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酒店管理；中餐类制售，住宿，卷烟、雪茄烟的零售；会议服务、展览展示服务；公关活动组织策划、企业营销策划</w:t>
            </w:r>
          </w:p>
        </w:tc>
      </w:tr>
      <w:tr w14:paraId="0D5E5B4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148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5147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荣成九龙晟酒店管理有限公司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BA5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300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3E4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40676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许可项目：餐饮服务；食品经营；食品生产；住宿服务；烟草制品零售</w:t>
            </w:r>
          </w:p>
        </w:tc>
      </w:tr>
      <w:tr w14:paraId="69406A1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9ED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299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威海九龙城休闲购物广场有限公司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C94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BB7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117FB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房地产的开发、销售、租赁服务；会议及展览服务；企业形象策划服务；停车场收费管理</w:t>
            </w:r>
          </w:p>
        </w:tc>
      </w:tr>
      <w:tr w14:paraId="00E0487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AF2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B86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威海信悦投资管理有限公司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F46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22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EF87C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以自有资金对批发零售业、金融业、房地产业进行投资</w:t>
            </w:r>
          </w:p>
        </w:tc>
      </w:tr>
      <w:tr w14:paraId="2BF9786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398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63C8C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山东易思凯斯企业管理有限公司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7A0A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B2D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90%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5A420E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许可项目：食品生产；食品经营；餐饮服务；食品互联网销售</w:t>
            </w:r>
          </w:p>
        </w:tc>
      </w:tr>
      <w:tr w14:paraId="40AF7A4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E0E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A6A3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家家悦集团股份有限公司（</w:t>
            </w:r>
            <w:r>
              <w:rPr>
                <w:rFonts w:hint="default"/>
                <w:lang w:val="en-US" w:eastAsia="zh-CN"/>
              </w:rPr>
              <w:t>603708.SH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9D9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64,733.67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2BB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70.39%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0BFC6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以超市连锁为主业，以区域一体化物流为支撑，以发展现代农业生产基地和食品加工产业链为保障，以经营生鲜为特色的全供应链、多业态的综合性零售渠道商</w:t>
            </w:r>
          </w:p>
        </w:tc>
      </w:tr>
      <w:tr w14:paraId="3C78473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03" w:type="pc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9B88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1032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0D9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威海信悦小额贷款有限公司</w:t>
            </w:r>
          </w:p>
        </w:tc>
        <w:tc>
          <w:tcPr>
            <w:tcW w:w="801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A54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15,000</w:t>
            </w:r>
          </w:p>
        </w:tc>
        <w:tc>
          <w:tcPr>
            <w:tcW w:w="698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9EB5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default"/>
                <w:lang w:eastAsia="zh-CN"/>
              </w:rPr>
            </w:pPr>
            <w:r>
              <w:rPr>
                <w:rFonts w:hint="default"/>
                <w:lang w:val="en-US" w:eastAsia="zh-CN"/>
              </w:rPr>
              <w:t>50%</w:t>
            </w:r>
          </w:p>
        </w:tc>
        <w:tc>
          <w:tcPr>
            <w:tcW w:w="2065" w:type="pc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5174AD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在威海市区域内办理各项小额贷款；开展小企业发展、管理、财务等咨询业务；开展委托贷款和股权投资</w:t>
            </w:r>
          </w:p>
        </w:tc>
      </w:tr>
    </w:tbl>
    <w:p w14:paraId="04BCA248">
      <w:pPr>
        <w:pStyle w:val="4"/>
        <w:spacing w:before="156" w:after="156"/>
        <w:ind w:left="0" w:leftChars="0" w:firstLine="480" w:firstLineChars="20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截至本报告书签署日，除家家悦控股及其下属企业外，王培桓无其他控制的企业。</w:t>
      </w:r>
    </w:p>
    <w:p w14:paraId="5A5112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cript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92B49"/>
    <w:rsid w:val="2129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G正文"/>
    <w:basedOn w:val="1"/>
    <w:qFormat/>
    <w:uiPriority w:val="0"/>
    <w:pPr>
      <w:ind w:firstLine="200" w:firstLineChars="200"/>
    </w:pPr>
  </w:style>
  <w:style w:type="paragraph" w:customStyle="1" w:styleId="5">
    <w:name w:val="G表格"/>
    <w:basedOn w:val="1"/>
    <w:qFormat/>
    <w:uiPriority w:val="0"/>
    <w:pPr>
      <w:spacing w:before="0" w:beforeLines="0" w:after="0" w:afterLines="0" w:line="240" w:lineRule="auto"/>
    </w:pPr>
    <w:rPr>
      <w:sz w:val="21"/>
    </w:rPr>
  </w:style>
  <w:style w:type="paragraph" w:customStyle="1" w:styleId="6">
    <w:name w:val="G(一)"/>
    <w:basedOn w:val="1"/>
    <w:next w:val="4"/>
    <w:qFormat/>
    <w:uiPriority w:val="0"/>
    <w:pPr>
      <w:outlineLvl w:val="2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2025-11-18T10:42:00Z</dcterms:created>
  <dc:creator>王红宁</dc:creator>
  <cp:lastModifiedBy>王红宁</cp:lastModifiedBy>
  <dcterms:modified xsi:type="dcterms:W3CDTF">2025-11-18T10:43:15Z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ACED8B76D1264F249F4DEBEF6781A46B_11</vt:lpwstr>
  </property>
  <property fmtid="{D5CDD505-2E9C-101B-9397-08002B2CF9AE}" pid="4" name="KSOTemplateDocerSaveRecord">
    <vt:lpwstr>eyJoZGlkIjoiMzEwNTM5NzYwMDRjMzkwZTVkZjY2ODkwMGIxNGU0OTUiLCJ1c2VySWQiOiIxMzgyODU2MjMzIn0=</vt:lpwstr>
  </property>
</Properties>
</file>