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4168B">
      <w:pPr>
        <w:spacing w:before="156" w:after="156"/>
        <w:ind w:firstLine="480"/>
      </w:pPr>
    </w:p>
    <w:p w14:paraId="444996D5">
      <w:pPr>
        <w:spacing w:before="156" w:after="156"/>
        <w:ind w:firstLine="480"/>
      </w:pPr>
    </w:p>
    <w:p w14:paraId="1F2EC882">
      <w:pPr>
        <w:pStyle w:val="20"/>
        <w:spacing w:before="156" w:after="156"/>
        <w:ind w:firstLine="643"/>
        <w:jc w:val="center"/>
        <w:rPr>
          <w:b/>
          <w:bCs/>
          <w:sz w:val="32"/>
          <w:szCs w:val="32"/>
        </w:rPr>
      </w:pPr>
      <w:bookmarkStart w:id="0" w:name="_Toc5612"/>
      <w:bookmarkStart w:id="1" w:name="_Toc46436352"/>
      <w:r>
        <w:rPr>
          <w:rFonts w:hint="eastAsia"/>
          <w:b/>
          <w:bCs/>
          <w:sz w:val="32"/>
          <w:szCs w:val="32"/>
        </w:rPr>
        <w:t>中国银河证券股份有限公司</w:t>
      </w:r>
    </w:p>
    <w:bookmarkEnd w:id="0"/>
    <w:p w14:paraId="4F932B94">
      <w:pPr>
        <w:pStyle w:val="20"/>
        <w:spacing w:before="156" w:after="156"/>
        <w:ind w:firstLine="643"/>
        <w:jc w:val="center"/>
        <w:rPr>
          <w:rFonts w:hint="eastAsia"/>
          <w:b/>
          <w:bCs/>
          <w:sz w:val="32"/>
          <w:szCs w:val="32"/>
        </w:rPr>
      </w:pPr>
      <w:bookmarkStart w:id="2" w:name="_Toc28823"/>
      <w:r>
        <w:rPr>
          <w:rFonts w:hint="eastAsia"/>
          <w:b/>
          <w:bCs/>
          <w:sz w:val="32"/>
          <w:szCs w:val="32"/>
          <w:lang w:val="en-US" w:eastAsia="zh-CN"/>
        </w:rPr>
        <w:t>关于</w:t>
      </w:r>
      <w:r>
        <w:rPr>
          <w:rFonts w:hint="eastAsia"/>
          <w:b/>
          <w:bCs/>
          <w:sz w:val="32"/>
          <w:szCs w:val="32"/>
        </w:rPr>
        <w:t>四川汇源光通信股份有限公司</w:t>
      </w:r>
    </w:p>
    <w:p w14:paraId="3BE7358A">
      <w:pPr>
        <w:pStyle w:val="20"/>
        <w:spacing w:before="156" w:after="156"/>
        <w:ind w:firstLine="643"/>
        <w:jc w:val="center"/>
        <w:rPr>
          <w:rFonts w:hint="default" w:eastAsia="宋体"/>
          <w:b/>
          <w:bCs/>
          <w:sz w:val="32"/>
          <w:szCs w:val="32"/>
          <w:lang w:val="en-US" w:eastAsia="zh-CN"/>
        </w:rPr>
      </w:pPr>
      <w:r>
        <w:rPr>
          <w:rFonts w:hint="eastAsia"/>
          <w:b/>
          <w:bCs/>
          <w:sz w:val="32"/>
          <w:szCs w:val="32"/>
          <w:lang w:val="en-US" w:eastAsia="zh-CN"/>
        </w:rPr>
        <w:t>收购报告书</w:t>
      </w:r>
      <w:r>
        <w:rPr>
          <w:rFonts w:hint="eastAsia"/>
          <w:b/>
          <w:bCs/>
          <w:sz w:val="32"/>
          <w:szCs w:val="32"/>
        </w:rPr>
        <w:t>之财务顾问</w:t>
      </w:r>
      <w:bookmarkEnd w:id="1"/>
      <w:bookmarkEnd w:id="2"/>
      <w:r>
        <w:rPr>
          <w:rFonts w:hint="eastAsia"/>
          <w:b/>
          <w:bCs/>
          <w:sz w:val="32"/>
          <w:szCs w:val="32"/>
          <w:lang w:val="en-US" w:eastAsia="zh-CN"/>
        </w:rPr>
        <w:t>报告</w:t>
      </w:r>
    </w:p>
    <w:p w14:paraId="4090783A">
      <w:pPr>
        <w:pStyle w:val="20"/>
        <w:spacing w:before="156" w:after="156"/>
        <w:ind w:firstLine="480"/>
        <w:jc w:val="both"/>
      </w:pPr>
    </w:p>
    <w:p w14:paraId="691B36CD">
      <w:pPr>
        <w:pStyle w:val="20"/>
        <w:spacing w:before="156" w:after="156"/>
        <w:ind w:firstLine="480"/>
        <w:jc w:val="both"/>
      </w:pPr>
    </w:p>
    <w:p w14:paraId="3004CB37">
      <w:pPr>
        <w:pStyle w:val="20"/>
        <w:spacing w:before="156" w:after="156"/>
        <w:ind w:firstLine="480"/>
        <w:jc w:val="both"/>
      </w:pPr>
    </w:p>
    <w:p w14:paraId="41550677">
      <w:pPr>
        <w:pStyle w:val="20"/>
        <w:spacing w:before="156" w:after="156"/>
        <w:ind w:firstLine="480"/>
        <w:jc w:val="both"/>
      </w:pPr>
    </w:p>
    <w:p w14:paraId="2BCE7FF6">
      <w:pPr>
        <w:pStyle w:val="20"/>
        <w:spacing w:before="156" w:after="156"/>
        <w:ind w:firstLine="480"/>
        <w:jc w:val="both"/>
      </w:pPr>
    </w:p>
    <w:p w14:paraId="512465FF">
      <w:pPr>
        <w:pStyle w:val="20"/>
        <w:spacing w:before="156" w:after="156"/>
        <w:ind w:firstLine="480"/>
        <w:jc w:val="both"/>
      </w:pPr>
    </w:p>
    <w:p w14:paraId="3C3633DE">
      <w:pPr>
        <w:spacing w:before="156" w:after="156"/>
      </w:pPr>
    </w:p>
    <w:p w14:paraId="7E399EDC">
      <w:pPr>
        <w:pStyle w:val="6"/>
        <w:adjustRightInd w:val="0"/>
        <w:snapToGrid w:val="0"/>
        <w:spacing w:before="50" w:after="156" w:line="360" w:lineRule="auto"/>
        <w:jc w:val="center"/>
        <w:rPr>
          <w:rFonts w:ascii="Times New Roman" w:hAnsi="Times New Roman" w:eastAsia="黑体"/>
          <w:b/>
          <w:bCs/>
          <w:sz w:val="32"/>
        </w:rPr>
      </w:pPr>
      <w:r>
        <w:rPr>
          <w:rFonts w:hint="eastAsia" w:ascii="Times New Roman" w:hAnsi="Times New Roman" w:eastAsia="黑体"/>
          <w:b/>
          <w:bCs/>
          <w:sz w:val="32"/>
        </w:rPr>
        <w:t>财务</w:t>
      </w:r>
      <w:r>
        <w:rPr>
          <w:rFonts w:ascii="Times New Roman" w:hAnsi="Times New Roman" w:eastAsia="黑体"/>
          <w:b/>
          <w:bCs/>
          <w:sz w:val="32"/>
        </w:rPr>
        <w:t>顾问</w:t>
      </w:r>
    </w:p>
    <w:tbl>
      <w:tblPr>
        <w:tblStyle w:val="13"/>
        <w:tblpPr w:leftFromText="180" w:rightFromText="180" w:vertAnchor="text" w:tblpY="1"/>
        <w:tblOverlap w:val="never"/>
        <w:tblW w:w="5000" w:type="pct"/>
        <w:tblInd w:w="0" w:type="dxa"/>
        <w:tblLayout w:type="autofit"/>
        <w:tblCellMar>
          <w:top w:w="0" w:type="dxa"/>
          <w:left w:w="28" w:type="dxa"/>
          <w:bottom w:w="0" w:type="dxa"/>
          <w:right w:w="28" w:type="dxa"/>
        </w:tblCellMar>
      </w:tblPr>
      <w:tblGrid>
        <w:gridCol w:w="8362"/>
      </w:tblGrid>
      <w:tr w14:paraId="6EBFC396">
        <w:tblPrEx>
          <w:tblCellMar>
            <w:top w:w="0" w:type="dxa"/>
            <w:left w:w="28" w:type="dxa"/>
            <w:bottom w:w="0" w:type="dxa"/>
            <w:right w:w="28" w:type="dxa"/>
          </w:tblCellMar>
        </w:tblPrEx>
        <w:trPr>
          <w:trHeight w:val="851" w:hRule="atLeast"/>
        </w:trPr>
        <w:tc>
          <w:tcPr>
            <w:tcW w:w="5000" w:type="pct"/>
            <w:vAlign w:val="center"/>
          </w:tcPr>
          <w:p w14:paraId="152E8295">
            <w:pPr>
              <w:pStyle w:val="6"/>
              <w:adjustRightInd w:val="0"/>
              <w:snapToGrid w:val="0"/>
              <w:spacing w:after="156"/>
              <w:jc w:val="center"/>
              <w:rPr>
                <w:rFonts w:ascii="Times New Roman" w:hAnsi="Times New Roman" w:eastAsia="黑体"/>
                <w:b/>
                <w:bCs/>
                <w:sz w:val="32"/>
              </w:rPr>
            </w:pPr>
            <w:r>
              <w:rPr>
                <w:rFonts w:ascii="Times New Roman" w:hAnsi="Times New Roman" w:eastAsia="黑体"/>
                <w:b/>
                <w:sz w:val="36"/>
                <w:szCs w:val="36"/>
              </w:rPr>
              <w:drawing>
                <wp:inline distT="0" distB="0" distL="0" distR="0">
                  <wp:extent cx="3458210" cy="534035"/>
                  <wp:effectExtent l="0" t="0" r="0" b="0"/>
                  <wp:docPr id="1" name="图片 1" descr="说明: A_02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A_02_13"/>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3458210" cy="534035"/>
                          </a:xfrm>
                          <a:prstGeom prst="rect">
                            <a:avLst/>
                          </a:prstGeom>
                          <a:noFill/>
                          <a:ln>
                            <a:noFill/>
                          </a:ln>
                        </pic:spPr>
                      </pic:pic>
                    </a:graphicData>
                  </a:graphic>
                </wp:inline>
              </w:drawing>
            </w:r>
          </w:p>
        </w:tc>
      </w:tr>
      <w:tr w14:paraId="4CD93138">
        <w:tblPrEx>
          <w:tblCellMar>
            <w:top w:w="0" w:type="dxa"/>
            <w:left w:w="28" w:type="dxa"/>
            <w:bottom w:w="0" w:type="dxa"/>
            <w:right w:w="28" w:type="dxa"/>
          </w:tblCellMar>
        </w:tblPrEx>
        <w:tc>
          <w:tcPr>
            <w:tcW w:w="5000" w:type="pct"/>
            <w:vAlign w:val="center"/>
          </w:tcPr>
          <w:p w14:paraId="23E93E23">
            <w:pPr>
              <w:pStyle w:val="6"/>
              <w:adjustRightInd w:val="0"/>
              <w:snapToGrid w:val="0"/>
              <w:spacing w:after="156"/>
              <w:jc w:val="center"/>
              <w:rPr>
                <w:rFonts w:ascii="Times New Roman" w:hAnsi="Times New Roman" w:eastAsia="黑体"/>
                <w:b/>
                <w:bCs/>
                <w:sz w:val="24"/>
                <w:szCs w:val="24"/>
              </w:rPr>
            </w:pPr>
            <w:r>
              <w:rPr>
                <w:rFonts w:hint="eastAsia" w:ascii="Times New Roman" w:hAnsi="Times New Roman" w:eastAsia="黑体"/>
                <w:b/>
                <w:bCs/>
                <w:sz w:val="24"/>
                <w:szCs w:val="24"/>
              </w:rPr>
              <w:t>北京市丰台区西营街8号院1号楼</w:t>
            </w:r>
          </w:p>
        </w:tc>
      </w:tr>
    </w:tbl>
    <w:p w14:paraId="6D89CC67">
      <w:pPr>
        <w:spacing w:before="0" w:beforeLines="0" w:after="156"/>
        <w:jc w:val="center"/>
        <w:rPr>
          <w:b/>
        </w:rPr>
      </w:pPr>
    </w:p>
    <w:p w14:paraId="1BB5FE97">
      <w:pPr>
        <w:pStyle w:val="20"/>
        <w:spacing w:before="156" w:after="156"/>
        <w:ind w:firstLine="480"/>
        <w:jc w:val="center"/>
      </w:pPr>
      <w:r>
        <w:t>202</w:t>
      </w:r>
      <w:r>
        <w:rPr>
          <w:rFonts w:hint="eastAsia"/>
          <w:lang w:val="en-US" w:eastAsia="zh-CN"/>
        </w:rPr>
        <w:t>5</w:t>
      </w:r>
      <w:r>
        <w:t>年</w:t>
      </w:r>
      <w:r>
        <w:rPr>
          <w:rFonts w:hint="eastAsia"/>
          <w:lang w:val="en-US" w:eastAsia="zh-CN"/>
        </w:rPr>
        <w:t>11</w:t>
      </w:r>
      <w:r>
        <w:rPr>
          <w:rFonts w:hint="eastAsia"/>
        </w:rPr>
        <w:t>月</w:t>
      </w:r>
    </w:p>
    <w:p w14:paraId="34E00A2B">
      <w:pPr>
        <w:pStyle w:val="20"/>
        <w:spacing w:before="156" w:after="156"/>
        <w:ind w:firstLine="480"/>
        <w:jc w:val="cente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332AF4B5">
      <w:pPr>
        <w:spacing w:before="0" w:beforeLines="0" w:after="156" w:line="240" w:lineRule="auto"/>
        <w:jc w:val="center"/>
        <w:rPr>
          <w:rFonts w:ascii="Times New Roman" w:hAnsi="Times New Roman" w:eastAsia="宋体" w:cs="Times New Roman"/>
          <w:kern w:val="2"/>
          <w:sz w:val="24"/>
          <w:szCs w:val="24"/>
          <w:lang w:val="en-US" w:eastAsia="zh-CN" w:bidi="ar-SA"/>
        </w:rPr>
      </w:pPr>
      <w:bookmarkStart w:id="3" w:name="_Toc18340"/>
      <w:bookmarkStart w:id="4" w:name="_Toc8965"/>
      <w:bookmarkStart w:id="5" w:name="_Toc46436353"/>
      <w:r>
        <w:rPr>
          <w:b/>
          <w:sz w:val="32"/>
        </w:rPr>
        <w:t>目录</w:t>
      </w:r>
      <w:bookmarkEnd w:id="3"/>
      <w:bookmarkEnd w:id="4"/>
      <w:bookmarkEnd w:id="5"/>
      <w:r>
        <w:fldChar w:fldCharType="begin"/>
      </w:r>
      <w:r>
        <w:instrText xml:space="preserve"> TOC \o "1-2" \h \z \u </w:instrText>
      </w:r>
      <w:r>
        <w:fldChar w:fldCharType="separate"/>
      </w:r>
    </w:p>
    <w:p w14:paraId="37E929EB">
      <w:pPr>
        <w:pStyle w:val="9"/>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rPr>
          <w:b/>
          <w:bCs/>
        </w:rPr>
      </w:pPr>
      <w:r>
        <w:rPr>
          <w:b/>
          <w:bCs/>
        </w:rPr>
        <w:fldChar w:fldCharType="begin"/>
      </w:r>
      <w:r>
        <w:rPr>
          <w:b/>
          <w:bCs/>
        </w:rPr>
        <w:instrText xml:space="preserve"> HYPERLINK \l _Toc31995 </w:instrText>
      </w:r>
      <w:r>
        <w:rPr>
          <w:b/>
          <w:bCs/>
        </w:rPr>
        <w:fldChar w:fldCharType="separate"/>
      </w:r>
      <w:r>
        <w:rPr>
          <w:rFonts w:hint="eastAsia"/>
          <w:b/>
          <w:bCs/>
        </w:rPr>
        <w:t>声明</w:t>
      </w:r>
      <w:r>
        <w:rPr>
          <w:b/>
          <w:bCs/>
        </w:rPr>
        <w:tab/>
      </w:r>
      <w:r>
        <w:rPr>
          <w:b/>
          <w:bCs/>
        </w:rPr>
        <w:fldChar w:fldCharType="begin"/>
      </w:r>
      <w:r>
        <w:rPr>
          <w:b/>
          <w:bCs/>
        </w:rPr>
        <w:instrText xml:space="preserve"> PAGEREF _Toc31995 \h </w:instrText>
      </w:r>
      <w:r>
        <w:rPr>
          <w:b/>
          <w:bCs/>
        </w:rPr>
        <w:fldChar w:fldCharType="separate"/>
      </w:r>
      <w:r>
        <w:rPr>
          <w:b/>
          <w:bCs/>
        </w:rPr>
        <w:t>2</w:t>
      </w:r>
      <w:r>
        <w:rPr>
          <w:b/>
          <w:bCs/>
        </w:rPr>
        <w:fldChar w:fldCharType="end"/>
      </w:r>
      <w:r>
        <w:rPr>
          <w:b/>
          <w:bCs/>
        </w:rPr>
        <w:fldChar w:fldCharType="end"/>
      </w:r>
    </w:p>
    <w:p w14:paraId="258BA773">
      <w:pPr>
        <w:pStyle w:val="9"/>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rPr>
          <w:b/>
          <w:bCs/>
        </w:rPr>
      </w:pPr>
      <w:r>
        <w:rPr>
          <w:b/>
          <w:bCs/>
        </w:rPr>
        <w:fldChar w:fldCharType="begin"/>
      </w:r>
      <w:r>
        <w:rPr>
          <w:b/>
          <w:bCs/>
        </w:rPr>
        <w:instrText xml:space="preserve"> HYPERLINK \l _Toc11582 </w:instrText>
      </w:r>
      <w:r>
        <w:rPr>
          <w:b/>
          <w:bCs/>
        </w:rPr>
        <w:fldChar w:fldCharType="separate"/>
      </w:r>
      <w:r>
        <w:rPr>
          <w:rFonts w:hint="eastAsia"/>
          <w:b/>
          <w:bCs/>
        </w:rPr>
        <w:t>释义</w:t>
      </w:r>
      <w:r>
        <w:rPr>
          <w:b/>
          <w:bCs/>
        </w:rPr>
        <w:tab/>
      </w:r>
      <w:r>
        <w:rPr>
          <w:b/>
          <w:bCs/>
        </w:rPr>
        <w:fldChar w:fldCharType="begin"/>
      </w:r>
      <w:r>
        <w:rPr>
          <w:b/>
          <w:bCs/>
        </w:rPr>
        <w:instrText xml:space="preserve"> PAGEREF _Toc11582 \h </w:instrText>
      </w:r>
      <w:r>
        <w:rPr>
          <w:b/>
          <w:bCs/>
        </w:rPr>
        <w:fldChar w:fldCharType="separate"/>
      </w:r>
      <w:r>
        <w:rPr>
          <w:b/>
          <w:bCs/>
        </w:rPr>
        <w:t>4</w:t>
      </w:r>
      <w:r>
        <w:rPr>
          <w:b/>
          <w:bCs/>
        </w:rPr>
        <w:fldChar w:fldCharType="end"/>
      </w:r>
      <w:r>
        <w:rPr>
          <w:b/>
          <w:bCs/>
        </w:rPr>
        <w:fldChar w:fldCharType="end"/>
      </w:r>
    </w:p>
    <w:p w14:paraId="6B59D33D">
      <w:pPr>
        <w:pStyle w:val="9"/>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rPr>
          <w:b/>
          <w:bCs/>
        </w:rPr>
      </w:pPr>
      <w:r>
        <w:rPr>
          <w:b/>
          <w:bCs/>
        </w:rPr>
        <w:fldChar w:fldCharType="begin"/>
      </w:r>
      <w:r>
        <w:rPr>
          <w:b/>
          <w:bCs/>
        </w:rPr>
        <w:instrText xml:space="preserve"> HYPERLINK \l _Toc19170 </w:instrText>
      </w:r>
      <w:r>
        <w:rPr>
          <w:b/>
          <w:bCs/>
        </w:rPr>
        <w:fldChar w:fldCharType="separate"/>
      </w:r>
      <w:r>
        <w:rPr>
          <w:rFonts w:hint="eastAsia"/>
          <w:b/>
          <w:bCs/>
          <w:lang w:val="en-US" w:eastAsia="zh-CN"/>
        </w:rPr>
        <w:t>财务顾问核查意见</w:t>
      </w:r>
      <w:r>
        <w:rPr>
          <w:b/>
          <w:bCs/>
        </w:rPr>
        <w:tab/>
      </w:r>
      <w:r>
        <w:rPr>
          <w:b/>
          <w:bCs/>
        </w:rPr>
        <w:fldChar w:fldCharType="begin"/>
      </w:r>
      <w:r>
        <w:rPr>
          <w:b/>
          <w:bCs/>
        </w:rPr>
        <w:instrText xml:space="preserve"> PAGEREF _Toc19170 \h </w:instrText>
      </w:r>
      <w:r>
        <w:rPr>
          <w:b/>
          <w:bCs/>
        </w:rPr>
        <w:fldChar w:fldCharType="separate"/>
      </w:r>
      <w:r>
        <w:rPr>
          <w:b/>
          <w:bCs/>
        </w:rPr>
        <w:t>5</w:t>
      </w:r>
      <w:r>
        <w:rPr>
          <w:b/>
          <w:bCs/>
        </w:rPr>
        <w:fldChar w:fldCharType="end"/>
      </w:r>
      <w:r>
        <w:rPr>
          <w:b/>
          <w:bCs/>
        </w:rPr>
        <w:fldChar w:fldCharType="end"/>
      </w:r>
    </w:p>
    <w:p w14:paraId="62BD8BD6">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_Toc20570 </w:instrText>
      </w:r>
      <w:r>
        <w:fldChar w:fldCharType="separate"/>
      </w:r>
      <w:r>
        <w:rPr>
          <w:rFonts w:hint="eastAsia"/>
        </w:rPr>
        <w:t>一、对《</w:t>
      </w:r>
      <w:r>
        <w:rPr>
          <w:rFonts w:hint="eastAsia"/>
          <w:lang w:val="en-US" w:eastAsia="zh-CN"/>
        </w:rPr>
        <w:t>收购报告书</w:t>
      </w:r>
      <w:r>
        <w:rPr>
          <w:rFonts w:hint="eastAsia"/>
        </w:rPr>
        <w:t>》内容的核查</w:t>
      </w:r>
      <w:r>
        <w:tab/>
      </w:r>
      <w:r>
        <w:fldChar w:fldCharType="begin"/>
      </w:r>
      <w:r>
        <w:instrText xml:space="preserve"> PAGEREF _Toc20570 \h </w:instrText>
      </w:r>
      <w:r>
        <w:fldChar w:fldCharType="separate"/>
      </w:r>
      <w:r>
        <w:t>5</w:t>
      </w:r>
      <w:r>
        <w:fldChar w:fldCharType="end"/>
      </w:r>
      <w:r>
        <w:fldChar w:fldCharType="end"/>
      </w:r>
    </w:p>
    <w:p w14:paraId="6D27F67D">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_Toc10166 </w:instrText>
      </w:r>
      <w:r>
        <w:fldChar w:fldCharType="separate"/>
      </w:r>
      <w:r>
        <w:rPr>
          <w:rFonts w:hint="eastAsia"/>
          <w:lang w:val="en-US" w:eastAsia="zh-CN"/>
        </w:rPr>
        <w:t>二</w:t>
      </w:r>
      <w:r>
        <w:rPr>
          <w:rFonts w:hint="eastAsia"/>
        </w:rPr>
        <w:t>、对</w:t>
      </w:r>
      <w:r>
        <w:rPr>
          <w:rFonts w:hint="eastAsia"/>
          <w:lang w:val="en-US" w:eastAsia="zh-CN"/>
        </w:rPr>
        <w:t>收购</w:t>
      </w:r>
      <w:r>
        <w:rPr>
          <w:rFonts w:hint="eastAsia"/>
        </w:rPr>
        <w:t>人基本情况的核查</w:t>
      </w:r>
      <w:r>
        <w:tab/>
      </w:r>
      <w:r>
        <w:fldChar w:fldCharType="begin"/>
      </w:r>
      <w:r>
        <w:instrText xml:space="preserve"> PAGEREF _Toc10166 \h </w:instrText>
      </w:r>
      <w:r>
        <w:fldChar w:fldCharType="separate"/>
      </w:r>
      <w:r>
        <w:t>5</w:t>
      </w:r>
      <w:r>
        <w:fldChar w:fldCharType="end"/>
      </w:r>
      <w:r>
        <w:fldChar w:fldCharType="end"/>
      </w:r>
    </w:p>
    <w:p w14:paraId="33542F30">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_Toc8583 </w:instrText>
      </w:r>
      <w:r>
        <w:fldChar w:fldCharType="separate"/>
      </w:r>
      <w:r>
        <w:rPr>
          <w:rFonts w:hint="eastAsia"/>
          <w:lang w:val="en-US" w:eastAsia="zh-CN"/>
        </w:rPr>
        <w:t>三</w:t>
      </w:r>
      <w:r>
        <w:rPr>
          <w:rFonts w:hint="eastAsia"/>
        </w:rPr>
        <w:t>、对</w:t>
      </w:r>
      <w:r>
        <w:rPr>
          <w:rFonts w:hint="eastAsia"/>
          <w:lang w:val="en-US" w:eastAsia="zh-CN"/>
        </w:rPr>
        <w:t>一致行动人</w:t>
      </w:r>
      <w:r>
        <w:rPr>
          <w:rFonts w:hint="eastAsia"/>
        </w:rPr>
        <w:t>基本情况的核查</w:t>
      </w:r>
      <w:r>
        <w:tab/>
      </w:r>
      <w:r>
        <w:fldChar w:fldCharType="begin"/>
      </w:r>
      <w:r>
        <w:instrText xml:space="preserve"> PAGEREF _Toc8583 \h </w:instrText>
      </w:r>
      <w:r>
        <w:fldChar w:fldCharType="separate"/>
      </w:r>
      <w:r>
        <w:t>11</w:t>
      </w:r>
      <w:r>
        <w:fldChar w:fldCharType="end"/>
      </w:r>
      <w:r>
        <w:fldChar w:fldCharType="end"/>
      </w:r>
    </w:p>
    <w:p w14:paraId="5C22328F">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_Toc20184 </w:instrText>
      </w:r>
      <w:r>
        <w:fldChar w:fldCharType="separate"/>
      </w:r>
      <w:r>
        <w:rPr>
          <w:rFonts w:hint="eastAsia"/>
          <w:lang w:val="en-US" w:eastAsia="zh-CN"/>
        </w:rPr>
        <w:t>四</w:t>
      </w:r>
      <w:r>
        <w:rPr>
          <w:rFonts w:hint="eastAsia"/>
        </w:rPr>
        <w:t>、</w:t>
      </w:r>
      <w:r>
        <w:rPr>
          <w:rFonts w:hint="eastAsia"/>
          <w:lang w:val="en-US" w:eastAsia="zh-CN"/>
        </w:rPr>
        <w:t>对收购人及其一致行动人关系的核查</w:t>
      </w:r>
      <w:r>
        <w:tab/>
      </w:r>
      <w:r>
        <w:fldChar w:fldCharType="begin"/>
      </w:r>
      <w:r>
        <w:instrText xml:space="preserve"> PAGEREF _Toc20184 \h </w:instrText>
      </w:r>
      <w:r>
        <w:fldChar w:fldCharType="separate"/>
      </w:r>
      <w:r>
        <w:t>16</w:t>
      </w:r>
      <w:r>
        <w:fldChar w:fldCharType="end"/>
      </w:r>
      <w:r>
        <w:fldChar w:fldCharType="end"/>
      </w:r>
    </w:p>
    <w:p w14:paraId="3A82143E">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_Toc26440 </w:instrText>
      </w:r>
      <w:r>
        <w:fldChar w:fldCharType="separate"/>
      </w:r>
      <w:r>
        <w:rPr>
          <w:rFonts w:hint="eastAsia"/>
          <w:lang w:val="en-US" w:eastAsia="zh-CN"/>
        </w:rPr>
        <w:t>五</w:t>
      </w:r>
      <w:r>
        <w:rPr>
          <w:rFonts w:hint="eastAsia"/>
        </w:rPr>
        <w:t>、对本次</w:t>
      </w:r>
      <w:r>
        <w:rPr>
          <w:rFonts w:hint="eastAsia"/>
          <w:lang w:val="en-US" w:eastAsia="zh-CN"/>
        </w:rPr>
        <w:t>收购</w:t>
      </w:r>
      <w:r>
        <w:rPr>
          <w:rFonts w:hint="eastAsia"/>
        </w:rPr>
        <w:t>目的</w:t>
      </w:r>
      <w:r>
        <w:rPr>
          <w:rFonts w:hint="eastAsia"/>
          <w:lang w:val="en-US" w:eastAsia="zh-CN"/>
        </w:rPr>
        <w:t>和履行程序的核查</w:t>
      </w:r>
      <w:r>
        <w:tab/>
      </w:r>
      <w:r>
        <w:fldChar w:fldCharType="begin"/>
      </w:r>
      <w:r>
        <w:instrText xml:space="preserve"> PAGEREF _Toc26440 \h </w:instrText>
      </w:r>
      <w:r>
        <w:fldChar w:fldCharType="separate"/>
      </w:r>
      <w:r>
        <w:t>17</w:t>
      </w:r>
      <w:r>
        <w:fldChar w:fldCharType="end"/>
      </w:r>
      <w:r>
        <w:fldChar w:fldCharType="end"/>
      </w:r>
    </w:p>
    <w:p w14:paraId="6B6C9028">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_Toc10944 </w:instrText>
      </w:r>
      <w:r>
        <w:fldChar w:fldCharType="separate"/>
      </w:r>
      <w:r>
        <w:rPr>
          <w:rFonts w:hint="eastAsia"/>
          <w:lang w:val="en-US" w:eastAsia="zh-CN"/>
        </w:rPr>
        <w:t>六</w:t>
      </w:r>
      <w:r>
        <w:rPr>
          <w:rFonts w:hint="eastAsia"/>
        </w:rPr>
        <w:t>、对</w:t>
      </w:r>
      <w:r>
        <w:rPr>
          <w:rFonts w:hint="eastAsia"/>
          <w:lang w:val="en-US" w:eastAsia="zh-CN"/>
        </w:rPr>
        <w:t>本次收购</w:t>
      </w:r>
      <w:r>
        <w:rPr>
          <w:rFonts w:hint="eastAsia"/>
        </w:rPr>
        <w:t>方式</w:t>
      </w:r>
      <w:r>
        <w:rPr>
          <w:rFonts w:hint="eastAsia"/>
          <w:lang w:val="en-US" w:eastAsia="zh-CN"/>
        </w:rPr>
        <w:t>的核查</w:t>
      </w:r>
      <w:r>
        <w:tab/>
      </w:r>
      <w:r>
        <w:fldChar w:fldCharType="begin"/>
      </w:r>
      <w:r>
        <w:instrText xml:space="preserve"> PAGEREF _Toc10944 \h </w:instrText>
      </w:r>
      <w:r>
        <w:fldChar w:fldCharType="separate"/>
      </w:r>
      <w:r>
        <w:t>19</w:t>
      </w:r>
      <w:r>
        <w:fldChar w:fldCharType="end"/>
      </w:r>
      <w:r>
        <w:fldChar w:fldCharType="end"/>
      </w:r>
    </w:p>
    <w:p w14:paraId="76293C54">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_Toc12338 </w:instrText>
      </w:r>
      <w:r>
        <w:fldChar w:fldCharType="separate"/>
      </w:r>
      <w:r>
        <w:rPr>
          <w:rFonts w:hint="eastAsia"/>
          <w:lang w:val="en-US" w:eastAsia="zh-CN"/>
        </w:rPr>
        <w:t>七</w:t>
      </w:r>
      <w:r>
        <w:rPr>
          <w:rFonts w:hint="eastAsia"/>
        </w:rPr>
        <w:t>、对</w:t>
      </w:r>
      <w:r>
        <w:rPr>
          <w:rFonts w:hint="eastAsia"/>
          <w:lang w:val="en-US" w:eastAsia="zh-CN"/>
        </w:rPr>
        <w:t>收购人</w:t>
      </w:r>
      <w:r>
        <w:rPr>
          <w:rFonts w:hint="eastAsia"/>
        </w:rPr>
        <w:t>资金来源的核查</w:t>
      </w:r>
      <w:r>
        <w:tab/>
      </w:r>
      <w:r>
        <w:fldChar w:fldCharType="begin"/>
      </w:r>
      <w:r>
        <w:instrText xml:space="preserve"> PAGEREF _Toc12338 \h </w:instrText>
      </w:r>
      <w:r>
        <w:fldChar w:fldCharType="separate"/>
      </w:r>
      <w:r>
        <w:t>21</w:t>
      </w:r>
      <w:r>
        <w:fldChar w:fldCharType="end"/>
      </w:r>
      <w:r>
        <w:fldChar w:fldCharType="end"/>
      </w:r>
    </w:p>
    <w:p w14:paraId="0BDA903D">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_Toc3522 </w:instrText>
      </w:r>
      <w:r>
        <w:fldChar w:fldCharType="separate"/>
      </w:r>
      <w:r>
        <w:rPr>
          <w:rFonts w:hint="eastAsia"/>
          <w:lang w:val="en-US" w:eastAsia="zh-CN"/>
        </w:rPr>
        <w:t>八</w:t>
      </w:r>
      <w:r>
        <w:rPr>
          <w:rFonts w:hint="eastAsia"/>
        </w:rPr>
        <w:t>、对免于发出要约的情况的核查</w:t>
      </w:r>
      <w:r>
        <w:tab/>
      </w:r>
      <w:r>
        <w:fldChar w:fldCharType="begin"/>
      </w:r>
      <w:r>
        <w:instrText xml:space="preserve"> PAGEREF _Toc3522 \h </w:instrText>
      </w:r>
      <w:r>
        <w:fldChar w:fldCharType="separate"/>
      </w:r>
      <w:r>
        <w:t>22</w:t>
      </w:r>
      <w:r>
        <w:fldChar w:fldCharType="end"/>
      </w:r>
      <w:r>
        <w:fldChar w:fldCharType="end"/>
      </w:r>
    </w:p>
    <w:p w14:paraId="23B0AB64">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_Toc21263 </w:instrText>
      </w:r>
      <w:r>
        <w:fldChar w:fldCharType="separate"/>
      </w:r>
      <w:r>
        <w:rPr>
          <w:rFonts w:hint="eastAsia"/>
          <w:lang w:val="en-US" w:eastAsia="zh-CN"/>
        </w:rPr>
        <w:t>九</w:t>
      </w:r>
      <w:r>
        <w:rPr>
          <w:rFonts w:hint="eastAsia"/>
        </w:rPr>
        <w:t>、对本次收购完成后的后续计划的核查</w:t>
      </w:r>
      <w:r>
        <w:tab/>
      </w:r>
      <w:r>
        <w:fldChar w:fldCharType="begin"/>
      </w:r>
      <w:r>
        <w:instrText xml:space="preserve"> PAGEREF _Toc21263 \h </w:instrText>
      </w:r>
      <w:r>
        <w:fldChar w:fldCharType="separate"/>
      </w:r>
      <w:r>
        <w:t>22</w:t>
      </w:r>
      <w:r>
        <w:fldChar w:fldCharType="end"/>
      </w:r>
      <w:r>
        <w:fldChar w:fldCharType="end"/>
      </w:r>
    </w:p>
    <w:p w14:paraId="20CA5582">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_Toc12830 </w:instrText>
      </w:r>
      <w:r>
        <w:fldChar w:fldCharType="separate"/>
      </w:r>
      <w:r>
        <w:rPr>
          <w:rFonts w:hint="eastAsia"/>
          <w:lang w:val="en-US" w:eastAsia="zh-CN"/>
        </w:rPr>
        <w:t>十</w:t>
      </w:r>
      <w:r>
        <w:rPr>
          <w:rFonts w:hint="eastAsia"/>
        </w:rPr>
        <w:t>、关于本次</w:t>
      </w:r>
      <w:r>
        <w:rPr>
          <w:rFonts w:hint="eastAsia"/>
          <w:lang w:val="en-US" w:eastAsia="zh-CN"/>
        </w:rPr>
        <w:t>收购</w:t>
      </w:r>
      <w:r>
        <w:rPr>
          <w:rFonts w:hint="eastAsia"/>
        </w:rPr>
        <w:t>对上市公司影响的核查</w:t>
      </w:r>
      <w:r>
        <w:tab/>
      </w:r>
      <w:r>
        <w:fldChar w:fldCharType="begin"/>
      </w:r>
      <w:r>
        <w:instrText xml:space="preserve"> PAGEREF _Toc12830 \h </w:instrText>
      </w:r>
      <w:r>
        <w:fldChar w:fldCharType="separate"/>
      </w:r>
      <w:r>
        <w:t>24</w:t>
      </w:r>
      <w:r>
        <w:fldChar w:fldCharType="end"/>
      </w:r>
      <w:r>
        <w:fldChar w:fldCharType="end"/>
      </w:r>
    </w:p>
    <w:p w14:paraId="41DEF4A8">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_Toc27962 </w:instrText>
      </w:r>
      <w:r>
        <w:fldChar w:fldCharType="separate"/>
      </w:r>
      <w:r>
        <w:rPr>
          <w:rFonts w:hint="eastAsia"/>
          <w:lang w:val="en-US" w:eastAsia="zh-CN"/>
        </w:rPr>
        <w:t>十一</w:t>
      </w:r>
      <w:r>
        <w:rPr>
          <w:rFonts w:hint="eastAsia"/>
        </w:rPr>
        <w:t>、</w:t>
      </w:r>
      <w:r>
        <w:rPr>
          <w:rFonts w:hint="eastAsia"/>
          <w:lang w:val="en-US" w:eastAsia="zh-CN"/>
        </w:rPr>
        <w:t>关于</w:t>
      </w:r>
      <w:r>
        <w:rPr>
          <w:rFonts w:hint="eastAsia"/>
        </w:rPr>
        <w:t>与上市公司之间重大交易</w:t>
      </w:r>
      <w:r>
        <w:rPr>
          <w:rFonts w:hint="eastAsia"/>
          <w:lang w:val="en-US" w:eastAsia="zh-CN"/>
        </w:rPr>
        <w:t>的</w:t>
      </w:r>
      <w:r>
        <w:rPr>
          <w:rFonts w:hint="eastAsia"/>
        </w:rPr>
        <w:t>核查</w:t>
      </w:r>
      <w:r>
        <w:tab/>
      </w:r>
      <w:r>
        <w:fldChar w:fldCharType="begin"/>
      </w:r>
      <w:r>
        <w:instrText xml:space="preserve"> PAGEREF _Toc27962 \h </w:instrText>
      </w:r>
      <w:r>
        <w:fldChar w:fldCharType="separate"/>
      </w:r>
      <w:r>
        <w:t>28</w:t>
      </w:r>
      <w:r>
        <w:fldChar w:fldCharType="end"/>
      </w:r>
      <w:r>
        <w:fldChar w:fldCharType="end"/>
      </w:r>
    </w:p>
    <w:p w14:paraId="12F2FDA6">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_Toc17276 </w:instrText>
      </w:r>
      <w:r>
        <w:fldChar w:fldCharType="separate"/>
      </w:r>
      <w:r>
        <w:rPr>
          <w:rFonts w:hint="eastAsia"/>
          <w:lang w:val="en-US" w:eastAsia="zh-CN"/>
        </w:rPr>
        <w:t>十二</w:t>
      </w:r>
      <w:r>
        <w:rPr>
          <w:rFonts w:hint="eastAsia"/>
        </w:rPr>
        <w:t>、</w:t>
      </w:r>
      <w:r>
        <w:rPr>
          <w:rFonts w:hint="eastAsia"/>
          <w:lang w:val="en-US" w:eastAsia="zh-CN"/>
        </w:rPr>
        <w:t>关于</w:t>
      </w:r>
      <w:r>
        <w:rPr>
          <w:rFonts w:hint="eastAsia"/>
        </w:rPr>
        <w:t>前六个月内买卖上市交易股份情况</w:t>
      </w:r>
      <w:r>
        <w:rPr>
          <w:rFonts w:hint="eastAsia"/>
          <w:lang w:val="en-US" w:eastAsia="zh-CN"/>
        </w:rPr>
        <w:t>的</w:t>
      </w:r>
      <w:r>
        <w:rPr>
          <w:rFonts w:hint="eastAsia"/>
        </w:rPr>
        <w:t>核查</w:t>
      </w:r>
      <w:r>
        <w:tab/>
      </w:r>
      <w:r>
        <w:fldChar w:fldCharType="begin"/>
      </w:r>
      <w:r>
        <w:instrText xml:space="preserve"> PAGEREF _Toc17276 \h </w:instrText>
      </w:r>
      <w:r>
        <w:fldChar w:fldCharType="separate"/>
      </w:r>
      <w:r>
        <w:t>29</w:t>
      </w:r>
      <w:r>
        <w:fldChar w:fldCharType="end"/>
      </w:r>
      <w:r>
        <w:fldChar w:fldCharType="end"/>
      </w:r>
    </w:p>
    <w:p w14:paraId="78DFD468">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_Toc14505 </w:instrText>
      </w:r>
      <w:r>
        <w:fldChar w:fldCharType="separate"/>
      </w:r>
      <w:r>
        <w:rPr>
          <w:rFonts w:hint="eastAsia"/>
          <w:lang w:val="en-US" w:eastAsia="zh-CN"/>
        </w:rPr>
        <w:t>十三、对收购过渡期间保持上市公司稳定经营做出安排以及该安排是否符合有关规定的核查</w:t>
      </w:r>
      <w:r>
        <w:tab/>
      </w:r>
      <w:r>
        <w:fldChar w:fldCharType="begin"/>
      </w:r>
      <w:r>
        <w:instrText xml:space="preserve"> PAGEREF _Toc14505 \h </w:instrText>
      </w:r>
      <w:r>
        <w:fldChar w:fldCharType="separate"/>
      </w:r>
      <w:r>
        <w:t>30</w:t>
      </w:r>
      <w:r>
        <w:fldChar w:fldCharType="end"/>
      </w:r>
      <w:r>
        <w:fldChar w:fldCharType="end"/>
      </w:r>
    </w:p>
    <w:p w14:paraId="351502A1">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_Toc1335 </w:instrText>
      </w:r>
      <w:r>
        <w:fldChar w:fldCharType="separate"/>
      </w:r>
      <w:r>
        <w:rPr>
          <w:rFonts w:hint="eastAsia"/>
          <w:lang w:val="en-US" w:eastAsia="zh-CN"/>
        </w:rPr>
        <w:t>十四、关于对在收购标的是否设定其他权利，是否在收购价款之外还作出其他补偿安排的核查</w:t>
      </w:r>
      <w:r>
        <w:tab/>
      </w:r>
      <w:r>
        <w:fldChar w:fldCharType="begin"/>
      </w:r>
      <w:r>
        <w:instrText xml:space="preserve"> PAGEREF _Toc1335 \h </w:instrText>
      </w:r>
      <w:r>
        <w:fldChar w:fldCharType="separate"/>
      </w:r>
      <w:r>
        <w:t>30</w:t>
      </w:r>
      <w:r>
        <w:fldChar w:fldCharType="end"/>
      </w:r>
      <w:r>
        <w:fldChar w:fldCharType="end"/>
      </w:r>
    </w:p>
    <w:p w14:paraId="21168AE1">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_Toc8067 </w:instrText>
      </w:r>
      <w:r>
        <w:fldChar w:fldCharType="separate"/>
      </w:r>
      <w:r>
        <w:rPr>
          <w:rFonts w:hint="eastAsia"/>
          <w:lang w:val="en-US" w:eastAsia="zh-CN"/>
        </w:rPr>
        <w:t>十五、关于上市公司原控股股东、实际控制人及其关联方是否存在未清偿对公司的负债、未解除公司为其负债提供的担保或者损害公司利益的其他情形的核查</w:t>
      </w:r>
      <w:r>
        <w:tab/>
      </w:r>
      <w:r>
        <w:fldChar w:fldCharType="begin"/>
      </w:r>
      <w:r>
        <w:instrText xml:space="preserve"> PAGEREF _Toc8067 \h </w:instrText>
      </w:r>
      <w:r>
        <w:fldChar w:fldCharType="separate"/>
      </w:r>
      <w:r>
        <w:t>30</w:t>
      </w:r>
      <w:r>
        <w:fldChar w:fldCharType="end"/>
      </w:r>
      <w:r>
        <w:fldChar w:fldCharType="end"/>
      </w:r>
    </w:p>
    <w:p w14:paraId="3BBA00EB">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_Toc1068 </w:instrText>
      </w:r>
      <w:r>
        <w:fldChar w:fldCharType="separate"/>
      </w:r>
      <w:r>
        <w:rPr>
          <w:rFonts w:hint="eastAsia" w:ascii="Times New Roman" w:hAnsi="Times New Roman" w:eastAsia="宋体" w:cs="Times New Roman"/>
          <w:kern w:val="2"/>
          <w:szCs w:val="24"/>
          <w:lang w:val="en-US" w:eastAsia="zh-CN" w:bidi="ar-SA"/>
        </w:rPr>
        <w:t>十</w:t>
      </w:r>
      <w:r>
        <w:rPr>
          <w:rFonts w:hint="eastAsia" w:cs="Times New Roman"/>
          <w:kern w:val="2"/>
          <w:szCs w:val="24"/>
          <w:lang w:val="en-US" w:eastAsia="zh-CN" w:bidi="ar-SA"/>
        </w:rPr>
        <w:t>六</w:t>
      </w:r>
      <w:r>
        <w:rPr>
          <w:rFonts w:hint="eastAsia" w:ascii="Times New Roman" w:hAnsi="Times New Roman" w:eastAsia="宋体" w:cs="Times New Roman"/>
          <w:kern w:val="2"/>
          <w:szCs w:val="24"/>
          <w:lang w:val="en-US" w:eastAsia="zh-CN" w:bidi="ar-SA"/>
        </w:rPr>
        <w:t>、</w:t>
      </w:r>
      <w:r>
        <w:rPr>
          <w:rFonts w:hint="eastAsia"/>
        </w:rPr>
        <w:t>关于本次交易符合《关于加强证券公司在投资银行类业务中聘请第三方等廉洁从业风险防控的意见》相关规定的核查</w:t>
      </w:r>
      <w:r>
        <w:tab/>
      </w:r>
      <w:r>
        <w:fldChar w:fldCharType="begin"/>
      </w:r>
      <w:r>
        <w:instrText xml:space="preserve"> PAGEREF _Toc1068 \h </w:instrText>
      </w:r>
      <w:r>
        <w:fldChar w:fldCharType="separate"/>
      </w:r>
      <w:r>
        <w:t>31</w:t>
      </w:r>
      <w:r>
        <w:fldChar w:fldCharType="end"/>
      </w:r>
      <w:r>
        <w:fldChar w:fldCharType="end"/>
      </w:r>
    </w:p>
    <w:p w14:paraId="39A0A699">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_Toc24888 </w:instrText>
      </w:r>
      <w:r>
        <w:fldChar w:fldCharType="separate"/>
      </w:r>
      <w:r>
        <w:rPr>
          <w:rFonts w:hint="eastAsia"/>
          <w:lang w:val="en-US" w:eastAsia="zh-CN"/>
        </w:rPr>
        <w:t>十七</w:t>
      </w:r>
      <w:r>
        <w:rPr>
          <w:rFonts w:hint="eastAsia"/>
        </w:rPr>
        <w:t>、</w:t>
      </w:r>
      <w:r>
        <w:rPr>
          <w:rFonts w:hint="eastAsia"/>
          <w:lang w:val="en-US" w:eastAsia="zh-CN"/>
        </w:rPr>
        <w:t>对收购人是否存在其他重大事项的核查</w:t>
      </w:r>
      <w:r>
        <w:tab/>
      </w:r>
      <w:r>
        <w:fldChar w:fldCharType="begin"/>
      </w:r>
      <w:r>
        <w:instrText xml:space="preserve"> PAGEREF _Toc24888 \h </w:instrText>
      </w:r>
      <w:r>
        <w:fldChar w:fldCharType="separate"/>
      </w:r>
      <w:r>
        <w:t>31</w:t>
      </w:r>
      <w:r>
        <w:fldChar w:fldCharType="end"/>
      </w:r>
      <w:r>
        <w:fldChar w:fldCharType="end"/>
      </w:r>
    </w:p>
    <w:p w14:paraId="42998114">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exact"/>
        <w:textAlignment w:val="auto"/>
      </w:pPr>
      <w:r>
        <w:fldChar w:fldCharType="begin"/>
      </w:r>
      <w:r>
        <w:instrText xml:space="preserve"> HYPERLINK \l _Toc30701 </w:instrText>
      </w:r>
      <w:r>
        <w:fldChar w:fldCharType="separate"/>
      </w:r>
      <w:r>
        <w:rPr>
          <w:rFonts w:hint="eastAsia"/>
          <w:lang w:val="en-US" w:eastAsia="zh-CN"/>
        </w:rPr>
        <w:t>十八、财务顾问意见</w:t>
      </w:r>
      <w:r>
        <w:tab/>
      </w:r>
      <w:r>
        <w:fldChar w:fldCharType="begin"/>
      </w:r>
      <w:r>
        <w:instrText xml:space="preserve"> PAGEREF _Toc30701 \h </w:instrText>
      </w:r>
      <w:r>
        <w:fldChar w:fldCharType="separate"/>
      </w:r>
      <w:r>
        <w:t>31</w:t>
      </w:r>
      <w:r>
        <w:fldChar w:fldCharType="end"/>
      </w:r>
      <w:r>
        <w:fldChar w:fldCharType="end"/>
      </w:r>
    </w:p>
    <w:p w14:paraId="6F6E4ABE">
      <w:pPr>
        <w:pStyle w:val="28"/>
        <w:spacing w:before="156" w:beforeLines="0" w:after="156" w:line="240" w:lineRule="auto"/>
        <w:jc w:val="center"/>
      </w:pPr>
      <w:r>
        <w:rPr>
          <w:sz w:val="24"/>
        </w:rPr>
        <w:fldChar w:fldCharType="end"/>
      </w:r>
      <w:bookmarkStart w:id="6" w:name="_Toc8420"/>
      <w:bookmarkStart w:id="7" w:name="_Toc17135"/>
      <w:bookmarkStart w:id="8" w:name="_Toc9437"/>
      <w:bookmarkStart w:id="9" w:name="_Toc14826"/>
      <w:bookmarkStart w:id="10" w:name="_Toc6275"/>
      <w:bookmarkStart w:id="11" w:name="_Toc29890"/>
      <w:r>
        <w:br w:type="page"/>
      </w:r>
      <w:bookmarkEnd w:id="6"/>
      <w:bookmarkEnd w:id="7"/>
      <w:bookmarkEnd w:id="8"/>
      <w:bookmarkEnd w:id="9"/>
      <w:bookmarkEnd w:id="10"/>
      <w:bookmarkEnd w:id="11"/>
    </w:p>
    <w:p w14:paraId="5DD6F999">
      <w:pPr>
        <w:pStyle w:val="23"/>
        <w:spacing w:before="312" w:after="312"/>
        <w:jc w:val="center"/>
      </w:pPr>
      <w:bookmarkStart w:id="12" w:name="_Toc15192"/>
      <w:bookmarkStart w:id="13" w:name="_Toc31995"/>
      <w:bookmarkStart w:id="14" w:name="_Toc8810"/>
      <w:r>
        <w:rPr>
          <w:rFonts w:hint="eastAsia"/>
        </w:rPr>
        <w:t>声明</w:t>
      </w:r>
      <w:bookmarkEnd w:id="12"/>
      <w:bookmarkEnd w:id="13"/>
      <w:bookmarkEnd w:id="14"/>
    </w:p>
    <w:p w14:paraId="21E643FD">
      <w:pPr>
        <w:pStyle w:val="20"/>
        <w:spacing w:before="156" w:after="156"/>
        <w:ind w:firstLine="480"/>
        <w:jc w:val="both"/>
      </w:pPr>
      <w:r>
        <w:rPr>
          <w:rFonts w:hint="eastAsia"/>
          <w:lang w:val="en-US" w:eastAsia="zh-CN"/>
        </w:rPr>
        <w:t>根据</w:t>
      </w:r>
      <w:r>
        <w:rPr>
          <w:rFonts w:hint="eastAsia"/>
        </w:rPr>
        <w:t>《中华人民共和国公司法》《中华人民共和国证券法》《上市公司收购管理办法》</w:t>
      </w:r>
      <w:r>
        <w:rPr>
          <w:rFonts w:hint="eastAsia"/>
          <w:lang w:val="en-US" w:eastAsia="zh-CN"/>
        </w:rPr>
        <w:t>《公开发行证券的公司信息披露内容与格式准则第16号——上市公司收购报告书》</w:t>
      </w:r>
      <w:r>
        <w:rPr>
          <w:rFonts w:hint="eastAsia"/>
        </w:rPr>
        <w:t>等法律、法规的有关规定，中国银河证券股份有限公司按照行业公认的业务标准、道德规范，本着诚实信用和勤勉尽责的原则，经过审慎调查后</w:t>
      </w:r>
      <w:r>
        <w:rPr>
          <w:rFonts w:hint="eastAsia"/>
          <w:lang w:val="en-US" w:eastAsia="zh-CN"/>
        </w:rPr>
        <w:t>就《收购报告书》有关内容出具核查意见。</w:t>
      </w:r>
    </w:p>
    <w:p w14:paraId="181F776E">
      <w:pPr>
        <w:pStyle w:val="20"/>
        <w:spacing w:before="156" w:after="156"/>
        <w:ind w:firstLine="480"/>
        <w:jc w:val="both"/>
      </w:pPr>
      <w:r>
        <w:rPr>
          <w:rFonts w:hint="eastAsia"/>
        </w:rPr>
        <w:t>中国银河证券股份有限公司提出的财务顾问意见是在假设本次</w:t>
      </w:r>
      <w:r>
        <w:rPr>
          <w:rFonts w:hint="eastAsia"/>
          <w:lang w:val="en-US" w:eastAsia="zh-CN"/>
        </w:rPr>
        <w:t>交易</w:t>
      </w:r>
      <w:r>
        <w:rPr>
          <w:rFonts w:hint="eastAsia"/>
        </w:rPr>
        <w:t>的各方当事人均按照相关协议条款和承诺全面履行其所有职责的基础上提出的。本财务顾问特作如下声明：</w:t>
      </w:r>
    </w:p>
    <w:p w14:paraId="109D9952">
      <w:pPr>
        <w:pStyle w:val="20"/>
        <w:numPr>
          <w:ilvl w:val="0"/>
          <w:numId w:val="0"/>
        </w:numPr>
        <w:spacing w:before="156" w:after="156"/>
        <w:ind w:firstLine="480"/>
        <w:jc w:val="both"/>
        <w:rPr>
          <w:rFonts w:hint="eastAsia"/>
        </w:rPr>
      </w:pPr>
      <w:r>
        <w:rPr>
          <w:rFonts w:hint="eastAsia" w:ascii="Times New Roman" w:hAnsi="Times New Roman" w:eastAsia="宋体" w:cs="Times New Roman"/>
          <w:kern w:val="2"/>
          <w:sz w:val="24"/>
          <w:szCs w:val="24"/>
          <w:lang w:val="en-US" w:eastAsia="zh-CN" w:bidi="ar-SA"/>
        </w:rPr>
        <w:t>1、</w:t>
      </w:r>
      <w:r>
        <w:rPr>
          <w:rFonts w:hint="eastAsia"/>
        </w:rPr>
        <w:t>本报告所依据的文件、资料及其他相关材料由</w:t>
      </w:r>
      <w:r>
        <w:rPr>
          <w:rFonts w:hint="eastAsia"/>
          <w:lang w:val="en-US" w:eastAsia="zh-CN"/>
        </w:rPr>
        <w:t>信息披露义务人</w:t>
      </w:r>
      <w:r>
        <w:rPr>
          <w:rFonts w:hint="eastAsia"/>
        </w:rPr>
        <w:t>提供，</w:t>
      </w:r>
      <w:r>
        <w:rPr>
          <w:rFonts w:hint="eastAsia"/>
          <w:lang w:val="en-US" w:eastAsia="zh-CN"/>
        </w:rPr>
        <w:t>信息披露义务人</w:t>
      </w:r>
      <w:r>
        <w:rPr>
          <w:rFonts w:hint="eastAsia"/>
        </w:rPr>
        <w:t>已保证其所提供的出具本财务顾问报告所依据的相关材料真实、准确、完整，不存在虚假记载、误导性陈述或重大遗漏</w:t>
      </w:r>
      <w:r>
        <w:rPr>
          <w:rFonts w:hint="eastAsia"/>
          <w:lang w:eastAsia="zh-CN"/>
        </w:rPr>
        <w:t>，</w:t>
      </w:r>
      <w:r>
        <w:rPr>
          <w:rFonts w:hint="eastAsia"/>
          <w:lang w:val="en-US" w:eastAsia="zh-CN"/>
        </w:rPr>
        <w:t>并对所提供信息的真实性、准确性和完整性承担个别和连带的法律责任</w:t>
      </w:r>
      <w:r>
        <w:rPr>
          <w:rFonts w:hint="eastAsia"/>
        </w:rPr>
        <w:t>。</w:t>
      </w:r>
      <w:r>
        <w:rPr>
          <w:rFonts w:hint="eastAsia"/>
          <w:lang w:val="en-US" w:eastAsia="zh-CN"/>
        </w:rPr>
        <w:t xml:space="preserve">本财务顾问有充分理由确信本次收购符合法律、行政法规和中国证监会的规定，有充分理由确信收购人披露的信息真实、准确、完整，不存在虚假记载、误导性陈述和重大遗漏； </w:t>
      </w:r>
    </w:p>
    <w:p w14:paraId="4D72C47A">
      <w:pPr>
        <w:pStyle w:val="20"/>
        <w:numPr>
          <w:ilvl w:val="0"/>
          <w:numId w:val="0"/>
        </w:numPr>
        <w:spacing w:before="156" w:after="156"/>
        <w:ind w:firstLine="480"/>
        <w:jc w:val="both"/>
        <w:rPr>
          <w:rFonts w:hint="eastAsia"/>
        </w:rPr>
      </w:pPr>
      <w:r>
        <w:rPr>
          <w:rFonts w:hint="eastAsia"/>
          <w:lang w:val="en-US" w:eastAsia="zh-CN"/>
        </w:rPr>
        <w:t xml:space="preserve">2、本财务顾问已按照规定履行尽职调查义务，有充分理由确信所发表的专业意见与收购人公告文件的内容不存在实质性差异； </w:t>
      </w:r>
    </w:p>
    <w:p w14:paraId="41C7BA18">
      <w:pPr>
        <w:pStyle w:val="20"/>
        <w:numPr>
          <w:ilvl w:val="0"/>
          <w:numId w:val="0"/>
        </w:numPr>
        <w:spacing w:before="156" w:after="156"/>
        <w:ind w:firstLine="480"/>
        <w:jc w:val="both"/>
        <w:rPr>
          <w:rFonts w:hint="eastAsia"/>
        </w:rPr>
      </w:pPr>
      <w:r>
        <w:rPr>
          <w:rFonts w:hint="eastAsia"/>
          <w:lang w:val="en-US" w:eastAsia="zh-CN"/>
        </w:rPr>
        <w:t xml:space="preserve">3、本财务顾问已对收购人公告文件进行核查，确信公告文件的内容与格式符合规定； </w:t>
      </w:r>
    </w:p>
    <w:p w14:paraId="3880BF79">
      <w:pPr>
        <w:pStyle w:val="20"/>
        <w:numPr>
          <w:ilvl w:val="0"/>
          <w:numId w:val="0"/>
        </w:numPr>
        <w:spacing w:before="156" w:after="156"/>
        <w:ind w:firstLine="480"/>
        <w:jc w:val="both"/>
        <w:rPr>
          <w:rFonts w:hint="eastAsia"/>
        </w:rPr>
      </w:pPr>
      <w:r>
        <w:rPr>
          <w:rFonts w:hint="eastAsia"/>
          <w:lang w:val="en-US" w:eastAsia="zh-CN"/>
        </w:rPr>
        <w:t xml:space="preserve">4、本财务顾问就本次收购所出具的专业意见已提交其内核机构审查，并获得通过； </w:t>
      </w:r>
    </w:p>
    <w:p w14:paraId="5D520327">
      <w:pPr>
        <w:pStyle w:val="20"/>
        <w:numPr>
          <w:ilvl w:val="0"/>
          <w:numId w:val="0"/>
        </w:numPr>
        <w:spacing w:before="156" w:after="156"/>
        <w:ind w:firstLine="480"/>
        <w:jc w:val="both"/>
        <w:rPr>
          <w:rFonts w:hint="eastAsia"/>
          <w:lang w:val="en-US" w:eastAsia="zh-CN"/>
        </w:rPr>
      </w:pPr>
      <w:r>
        <w:rPr>
          <w:rFonts w:hint="eastAsia"/>
          <w:lang w:val="en-US" w:eastAsia="zh-CN"/>
        </w:rPr>
        <w:t xml:space="preserve">5、在担任财务顾问期间，本财务顾问已采取严格的保密措施，严格执行内部防火墙制度； </w:t>
      </w:r>
    </w:p>
    <w:p w14:paraId="451C22B1">
      <w:pPr>
        <w:pStyle w:val="20"/>
        <w:numPr>
          <w:ilvl w:val="0"/>
          <w:numId w:val="0"/>
        </w:numPr>
        <w:spacing w:before="156" w:after="156"/>
        <w:ind w:firstLine="480"/>
        <w:jc w:val="both"/>
        <w:rPr>
          <w:rFonts w:hint="eastAsia"/>
        </w:rPr>
      </w:pPr>
      <w:r>
        <w:rPr>
          <w:rFonts w:hint="eastAsia"/>
          <w:lang w:val="en-US" w:eastAsia="zh-CN"/>
        </w:rPr>
        <w:t>6、本财务顾问与收购人已签署财务顾问协议，约定了财务顾问的持续督导义务；</w:t>
      </w:r>
    </w:p>
    <w:p w14:paraId="2828E6D1">
      <w:pPr>
        <w:pStyle w:val="20"/>
        <w:spacing w:before="156" w:after="156"/>
        <w:ind w:firstLine="480"/>
        <w:jc w:val="both"/>
        <w:rPr>
          <w:rFonts w:hint="eastAsia" w:eastAsia="宋体"/>
          <w:lang w:eastAsia="zh-CN"/>
        </w:rPr>
      </w:pPr>
      <w:r>
        <w:rPr>
          <w:rFonts w:hint="eastAsia"/>
          <w:lang w:val="en-US" w:eastAsia="zh-CN"/>
        </w:rPr>
        <w:t>7</w:t>
      </w:r>
      <w:r>
        <w:rPr>
          <w:rFonts w:hint="eastAsia"/>
        </w:rPr>
        <w:t>、本财务顾问报告不构成</w:t>
      </w:r>
      <w:r>
        <w:rPr>
          <w:rFonts w:hint="eastAsia"/>
          <w:lang w:val="en-US" w:eastAsia="zh-CN"/>
        </w:rPr>
        <w:t>对</w:t>
      </w:r>
      <w:r>
        <w:rPr>
          <w:rFonts w:hint="eastAsia"/>
          <w:lang w:eastAsia="zh-CN"/>
        </w:rPr>
        <w:t>四川汇源光通信股份有限公司</w:t>
      </w:r>
      <w:r>
        <w:rPr>
          <w:rFonts w:hint="eastAsia"/>
        </w:rPr>
        <w:t>的任何投资建议，投资者根据本财务顾问报告所做出的任何投资决策而产生的相应风险，本财务顾问不承担任何责任</w:t>
      </w:r>
      <w:r>
        <w:rPr>
          <w:rFonts w:hint="eastAsia"/>
          <w:lang w:eastAsia="zh-CN"/>
        </w:rPr>
        <w:t>；</w:t>
      </w:r>
    </w:p>
    <w:p w14:paraId="6DF30D51">
      <w:pPr>
        <w:pStyle w:val="20"/>
        <w:spacing w:before="156" w:after="156"/>
        <w:ind w:firstLine="480"/>
        <w:jc w:val="both"/>
        <w:rPr>
          <w:rFonts w:hint="eastAsia" w:eastAsia="宋体"/>
          <w:lang w:eastAsia="zh-CN"/>
        </w:rPr>
      </w:pPr>
      <w:r>
        <w:rPr>
          <w:rFonts w:hint="eastAsia"/>
          <w:lang w:val="en-US" w:eastAsia="zh-CN"/>
        </w:rPr>
        <w:t>8</w:t>
      </w:r>
      <w:r>
        <w:rPr>
          <w:rFonts w:hint="eastAsia"/>
        </w:rPr>
        <w:t>、本财务顾问基于诚实信用、勤勉尽责的原则，已按照执业规则规定的工作程序，旨在就《</w:t>
      </w:r>
      <w:r>
        <w:rPr>
          <w:rFonts w:hint="eastAsia"/>
          <w:lang w:val="en-US" w:eastAsia="zh-CN"/>
        </w:rPr>
        <w:t>收购</w:t>
      </w:r>
      <w:r>
        <w:rPr>
          <w:rFonts w:hint="eastAsia"/>
        </w:rPr>
        <w:t>报告书》相关内容发表意见，发表意见的内容仅限《</w:t>
      </w:r>
      <w:r>
        <w:rPr>
          <w:rFonts w:hint="eastAsia"/>
          <w:lang w:val="en-US" w:eastAsia="zh-CN"/>
        </w:rPr>
        <w:t>收购</w:t>
      </w:r>
      <w:r>
        <w:rPr>
          <w:rFonts w:hint="eastAsia"/>
        </w:rPr>
        <w:t>报告书》正文所列内容，除非</w:t>
      </w:r>
      <w:r>
        <w:rPr>
          <w:rFonts w:hint="eastAsia"/>
          <w:lang w:val="en-US" w:eastAsia="zh-CN"/>
        </w:rPr>
        <w:t>证券交易所或</w:t>
      </w:r>
      <w:r>
        <w:rPr>
          <w:rFonts w:hint="eastAsia"/>
        </w:rPr>
        <w:t>中国证监会另有要求，并不对与本次</w:t>
      </w:r>
      <w:r>
        <w:rPr>
          <w:rFonts w:hint="eastAsia"/>
          <w:lang w:val="en-US" w:eastAsia="zh-CN"/>
        </w:rPr>
        <w:t>收购</w:t>
      </w:r>
      <w:r>
        <w:rPr>
          <w:rFonts w:hint="eastAsia"/>
        </w:rPr>
        <w:t>行为有关的其他方面发表意见</w:t>
      </w:r>
      <w:r>
        <w:rPr>
          <w:rFonts w:hint="eastAsia"/>
          <w:lang w:eastAsia="zh-CN"/>
        </w:rPr>
        <w:t>；</w:t>
      </w:r>
    </w:p>
    <w:p w14:paraId="7BFC336E">
      <w:pPr>
        <w:pStyle w:val="20"/>
        <w:spacing w:before="156" w:after="156"/>
        <w:ind w:firstLine="480"/>
        <w:jc w:val="both"/>
        <w:rPr>
          <w:rFonts w:hint="eastAsia" w:eastAsia="宋体"/>
          <w:lang w:eastAsia="zh-CN"/>
        </w:rPr>
      </w:pPr>
      <w:r>
        <w:rPr>
          <w:rFonts w:hint="eastAsia"/>
          <w:lang w:val="en-US" w:eastAsia="zh-CN"/>
        </w:rPr>
        <w:t>9</w:t>
      </w:r>
      <w:r>
        <w:rPr>
          <w:rFonts w:hint="eastAsia"/>
        </w:rPr>
        <w:t>、对于对本财务顾问报告至关重要而又无法得到独立证据支持或需要法律、审计等专业知识来识别的事实，本财务顾问依据有关政府部门、律师事务所、会计师事务所及其他有关单位出具的意见、说明及其他文件作出判断</w:t>
      </w:r>
      <w:r>
        <w:rPr>
          <w:rFonts w:hint="eastAsia"/>
          <w:lang w:eastAsia="zh-CN"/>
        </w:rPr>
        <w:t>；</w:t>
      </w:r>
    </w:p>
    <w:p w14:paraId="35293171">
      <w:pPr>
        <w:pStyle w:val="20"/>
        <w:spacing w:before="156" w:after="156"/>
        <w:ind w:firstLine="480"/>
        <w:jc w:val="both"/>
        <w:rPr>
          <w:rFonts w:hint="eastAsia" w:eastAsia="宋体"/>
          <w:lang w:eastAsia="zh-CN"/>
        </w:rPr>
      </w:pPr>
      <w:r>
        <w:rPr>
          <w:rFonts w:hint="eastAsia"/>
          <w:lang w:val="en-US" w:eastAsia="zh-CN"/>
        </w:rPr>
        <w:t>10</w:t>
      </w:r>
      <w:r>
        <w:rPr>
          <w:rFonts w:hint="eastAsia"/>
        </w:rPr>
        <w:t>、本财务顾问没有委托或授权其他任何机构和个人提供未在本财务顾问报告中列载的信息和对本财务顾问报告做任何解释或说明</w:t>
      </w:r>
      <w:r>
        <w:rPr>
          <w:rFonts w:hint="eastAsia"/>
          <w:lang w:eastAsia="zh-CN"/>
        </w:rPr>
        <w:t>；</w:t>
      </w:r>
    </w:p>
    <w:p w14:paraId="1943C2A1">
      <w:pPr>
        <w:pStyle w:val="20"/>
        <w:spacing w:before="156" w:after="156"/>
        <w:ind w:firstLine="480"/>
        <w:jc w:val="both"/>
      </w:pPr>
      <w:r>
        <w:rPr>
          <w:rFonts w:hint="eastAsia"/>
          <w:lang w:val="en-US" w:eastAsia="zh-CN"/>
        </w:rPr>
        <w:t>11</w:t>
      </w:r>
      <w:r>
        <w:rPr>
          <w:rFonts w:hint="eastAsia"/>
        </w:rPr>
        <w:t>、本财务顾问重点提醒投资者认真阅读《</w:t>
      </w:r>
      <w:r>
        <w:rPr>
          <w:rFonts w:hint="eastAsia"/>
          <w:lang w:val="en-US" w:eastAsia="zh-CN"/>
        </w:rPr>
        <w:t>收购</w:t>
      </w:r>
      <w:r>
        <w:rPr>
          <w:rFonts w:hint="eastAsia"/>
        </w:rPr>
        <w:t>报告书》以及有关本次</w:t>
      </w:r>
      <w:r>
        <w:rPr>
          <w:rFonts w:hint="eastAsia"/>
          <w:lang w:val="en-US" w:eastAsia="zh-CN"/>
        </w:rPr>
        <w:t>收购</w:t>
      </w:r>
      <w:r>
        <w:rPr>
          <w:rFonts w:hint="eastAsia"/>
        </w:rPr>
        <w:t>的公开披露信息。</w:t>
      </w:r>
    </w:p>
    <w:p w14:paraId="5A007B6E">
      <w:pPr>
        <w:pStyle w:val="20"/>
        <w:numPr>
          <w:ilvl w:val="0"/>
          <w:numId w:val="0"/>
        </w:numPr>
        <w:spacing w:before="156" w:after="156"/>
        <w:ind w:firstLine="480"/>
        <w:jc w:val="both"/>
        <w:rPr>
          <w:rFonts w:hint="eastAsia"/>
        </w:rPr>
      </w:pPr>
      <w:r>
        <w:br w:type="page"/>
      </w:r>
    </w:p>
    <w:p w14:paraId="31B9CF90">
      <w:pPr>
        <w:pStyle w:val="23"/>
        <w:spacing w:before="312" w:after="312" w:line="240" w:lineRule="auto"/>
      </w:pPr>
      <w:bookmarkStart w:id="15" w:name="_Toc19096"/>
      <w:bookmarkStart w:id="16" w:name="_Toc46376145"/>
      <w:bookmarkStart w:id="17" w:name="_Toc11582"/>
      <w:bookmarkStart w:id="18" w:name="_Toc16058"/>
      <w:r>
        <w:rPr>
          <w:rFonts w:hint="eastAsia"/>
        </w:rPr>
        <w:t>释义</w:t>
      </w:r>
      <w:bookmarkEnd w:id="15"/>
      <w:bookmarkEnd w:id="16"/>
      <w:bookmarkEnd w:id="17"/>
      <w:bookmarkEnd w:id="18"/>
    </w:p>
    <w:p w14:paraId="4D485E49">
      <w:pPr>
        <w:pStyle w:val="20"/>
        <w:spacing w:before="156" w:after="156" w:line="240" w:lineRule="auto"/>
        <w:ind w:firstLine="480"/>
        <w:jc w:val="both"/>
        <w:rPr>
          <w:rFonts w:hint="eastAsia"/>
          <w:lang w:eastAsia="zh-CN"/>
        </w:rPr>
      </w:pPr>
      <w:r>
        <w:rPr>
          <w:rFonts w:hint="eastAsia"/>
        </w:rPr>
        <w:t>除非文义另有所指，下列简称在本财务顾问报告中具有以下含义：</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2233"/>
        <w:gridCol w:w="476"/>
        <w:gridCol w:w="5813"/>
      </w:tblGrid>
      <w:tr w14:paraId="6E3A70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2233" w:type="dxa"/>
            <w:shd w:val="clear" w:color="auto" w:fill="auto"/>
            <w:vAlign w:val="center"/>
          </w:tcPr>
          <w:p w14:paraId="30185794">
            <w:pPr>
              <w:pStyle w:val="24"/>
              <w:rPr>
                <w:rFonts w:hint="default" w:eastAsia="宋体"/>
                <w:lang w:val="en-US" w:eastAsia="zh-CN"/>
              </w:rPr>
            </w:pPr>
            <w:r>
              <w:rPr>
                <w:rFonts w:hint="eastAsia"/>
                <w:lang w:val="en-US" w:eastAsia="zh-CN"/>
              </w:rPr>
              <w:t>收购报告书</w:t>
            </w:r>
          </w:p>
        </w:tc>
        <w:tc>
          <w:tcPr>
            <w:tcW w:w="476" w:type="dxa"/>
            <w:shd w:val="clear" w:color="auto" w:fill="auto"/>
            <w:vAlign w:val="center"/>
          </w:tcPr>
          <w:p w14:paraId="4829CE4C">
            <w:pPr>
              <w:pStyle w:val="24"/>
              <w:jc w:val="center"/>
              <w:rPr>
                <w:rFonts w:hint="eastAsia"/>
              </w:rPr>
            </w:pPr>
            <w:r>
              <w:rPr>
                <w:rFonts w:hint="eastAsia"/>
              </w:rPr>
              <w:t>指</w:t>
            </w:r>
          </w:p>
        </w:tc>
        <w:tc>
          <w:tcPr>
            <w:tcW w:w="5813" w:type="dxa"/>
            <w:shd w:val="clear" w:color="auto" w:fill="auto"/>
            <w:vAlign w:val="center"/>
          </w:tcPr>
          <w:p w14:paraId="083E5297">
            <w:pPr>
              <w:pStyle w:val="24"/>
              <w:rPr>
                <w:rFonts w:hint="eastAsia"/>
              </w:rPr>
            </w:pPr>
            <w:r>
              <w:rPr>
                <w:rFonts w:hint="eastAsia"/>
              </w:rPr>
              <w:t>《四川汇源光通信股份有限公司</w:t>
            </w:r>
            <w:r>
              <w:rPr>
                <w:rFonts w:hint="eastAsia"/>
                <w:lang w:val="en-US" w:eastAsia="zh-CN"/>
              </w:rPr>
              <w:t>收购报告</w:t>
            </w:r>
            <w:r>
              <w:rPr>
                <w:rFonts w:hint="eastAsia"/>
              </w:rPr>
              <w:t>书》</w:t>
            </w:r>
          </w:p>
        </w:tc>
      </w:tr>
      <w:tr w14:paraId="34DC38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2233" w:type="dxa"/>
            <w:shd w:val="clear" w:color="auto" w:fill="auto"/>
            <w:vAlign w:val="center"/>
          </w:tcPr>
          <w:p w14:paraId="1CEF3869">
            <w:pPr>
              <w:pStyle w:val="24"/>
              <w:rPr>
                <w:rFonts w:hint="eastAsia" w:ascii="Times New Roman" w:hAnsi="Times New Roman" w:eastAsia="宋体" w:cs="Times New Roman"/>
                <w:kern w:val="2"/>
                <w:sz w:val="21"/>
                <w:szCs w:val="24"/>
                <w:lang w:val="en-US" w:eastAsia="zh-CN" w:bidi="ar-SA"/>
              </w:rPr>
            </w:pPr>
            <w:r>
              <w:rPr>
                <w:rFonts w:hint="eastAsia"/>
                <w:lang w:val="en-US" w:eastAsia="zh-CN"/>
              </w:rPr>
              <w:t>本报告书</w:t>
            </w:r>
          </w:p>
        </w:tc>
        <w:tc>
          <w:tcPr>
            <w:tcW w:w="476" w:type="dxa"/>
            <w:shd w:val="clear" w:color="auto" w:fill="auto"/>
            <w:vAlign w:val="center"/>
          </w:tcPr>
          <w:p w14:paraId="3FFFE460">
            <w:pPr>
              <w:pStyle w:val="24"/>
              <w:jc w:val="center"/>
              <w:rPr>
                <w:rFonts w:hint="eastAsia" w:ascii="Times New Roman" w:hAnsi="Times New Roman" w:eastAsia="宋体" w:cs="Times New Roman"/>
                <w:kern w:val="2"/>
                <w:sz w:val="21"/>
                <w:szCs w:val="24"/>
                <w:lang w:val="en-US" w:eastAsia="zh-CN" w:bidi="ar-SA"/>
              </w:rPr>
            </w:pPr>
            <w:r>
              <w:rPr>
                <w:rFonts w:hint="eastAsia"/>
              </w:rPr>
              <w:t>指</w:t>
            </w:r>
          </w:p>
        </w:tc>
        <w:tc>
          <w:tcPr>
            <w:tcW w:w="5813" w:type="dxa"/>
            <w:shd w:val="clear" w:color="auto" w:fill="auto"/>
            <w:vAlign w:val="center"/>
          </w:tcPr>
          <w:p w14:paraId="010C41D7">
            <w:pPr>
              <w:pStyle w:val="24"/>
              <w:rPr>
                <w:rFonts w:hint="eastAsia" w:ascii="Times New Roman" w:hAnsi="Times New Roman" w:eastAsia="宋体" w:cs="Times New Roman"/>
                <w:kern w:val="2"/>
                <w:sz w:val="21"/>
                <w:szCs w:val="24"/>
                <w:lang w:val="en-US" w:eastAsia="zh-CN" w:bidi="ar-SA"/>
              </w:rPr>
            </w:pPr>
            <w:r>
              <w:rPr>
                <w:rFonts w:hint="eastAsia" w:eastAsia="宋体"/>
                <w:lang w:eastAsia="zh-CN"/>
              </w:rPr>
              <w:t>《中国银河证券股份有限公司关于四川汇源光通信股份有限公司收购报告书之财务顾问报告》</w:t>
            </w:r>
          </w:p>
        </w:tc>
      </w:tr>
      <w:tr w14:paraId="35C293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60B4F1EB">
            <w:pPr>
              <w:pStyle w:val="24"/>
              <w:rPr>
                <w:rFonts w:hint="eastAsia" w:eastAsia="宋体"/>
                <w:lang w:val="en-US" w:eastAsia="zh-CN"/>
              </w:rPr>
            </w:pPr>
            <w:r>
              <w:rPr>
                <w:rFonts w:hint="eastAsia"/>
                <w:lang w:val="en-US" w:eastAsia="zh-CN"/>
              </w:rPr>
              <w:t>收购人/鼎耘产业</w:t>
            </w:r>
          </w:p>
        </w:tc>
        <w:tc>
          <w:tcPr>
            <w:tcW w:w="279" w:type="pct"/>
            <w:shd w:val="clear" w:color="auto" w:fill="auto"/>
            <w:vAlign w:val="center"/>
          </w:tcPr>
          <w:p w14:paraId="08AD1117">
            <w:pPr>
              <w:pStyle w:val="24"/>
              <w:jc w:val="center"/>
            </w:pPr>
            <w:r>
              <w:rPr>
                <w:rFonts w:hint="eastAsia"/>
              </w:rPr>
              <w:t>指</w:t>
            </w:r>
          </w:p>
        </w:tc>
        <w:tc>
          <w:tcPr>
            <w:tcW w:w="3410" w:type="pct"/>
            <w:shd w:val="clear" w:color="auto" w:fill="auto"/>
            <w:vAlign w:val="center"/>
          </w:tcPr>
          <w:p w14:paraId="29599178">
            <w:pPr>
              <w:pStyle w:val="24"/>
              <w:rPr>
                <w:rFonts w:hint="eastAsia" w:eastAsia="宋体"/>
                <w:lang w:eastAsia="zh-CN"/>
              </w:rPr>
            </w:pPr>
            <w:r>
              <w:rPr>
                <w:rFonts w:hint="eastAsia" w:eastAsia="宋体"/>
                <w:lang w:eastAsia="zh-CN"/>
              </w:rPr>
              <w:t>合肥鼎耘科技产业发展合伙企业（有限合伙）</w:t>
            </w:r>
          </w:p>
        </w:tc>
      </w:tr>
      <w:tr w14:paraId="4CFC812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3890380">
            <w:pPr>
              <w:pStyle w:val="24"/>
              <w:rPr>
                <w:rFonts w:hint="default" w:eastAsia="宋体"/>
                <w:lang w:val="en-US" w:eastAsia="zh-CN"/>
              </w:rPr>
            </w:pPr>
            <w:r>
              <w:rPr>
                <w:rFonts w:hint="eastAsia"/>
                <w:lang w:val="en-US" w:eastAsia="zh-CN"/>
              </w:rPr>
              <w:t>一致行动人/鼎耘科技</w:t>
            </w:r>
          </w:p>
        </w:tc>
        <w:tc>
          <w:tcPr>
            <w:tcW w:w="279" w:type="pct"/>
            <w:shd w:val="clear" w:color="auto" w:fill="auto"/>
            <w:vAlign w:val="center"/>
          </w:tcPr>
          <w:p w14:paraId="1130A986">
            <w:pPr>
              <w:pStyle w:val="24"/>
              <w:jc w:val="center"/>
              <w:rPr>
                <w:rFonts w:hint="eastAsia"/>
              </w:rPr>
            </w:pPr>
            <w:r>
              <w:rPr>
                <w:rFonts w:hint="eastAsia"/>
              </w:rPr>
              <w:t>指</w:t>
            </w:r>
          </w:p>
        </w:tc>
        <w:tc>
          <w:tcPr>
            <w:tcW w:w="3410" w:type="pct"/>
            <w:shd w:val="clear" w:color="auto" w:fill="auto"/>
            <w:vAlign w:val="center"/>
          </w:tcPr>
          <w:p w14:paraId="0088CEE2">
            <w:pPr>
              <w:pStyle w:val="24"/>
              <w:rPr>
                <w:rFonts w:hint="eastAsia"/>
              </w:rPr>
            </w:pPr>
            <w:r>
              <w:rPr>
                <w:rFonts w:hint="eastAsia"/>
              </w:rPr>
              <w:t>北京鼎耘科技发展有限公司</w:t>
            </w:r>
          </w:p>
        </w:tc>
      </w:tr>
      <w:tr w14:paraId="43BF536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13" w:hRule="atLeast"/>
          <w:jc w:val="center"/>
        </w:trPr>
        <w:tc>
          <w:tcPr>
            <w:tcW w:w="1310" w:type="pct"/>
            <w:shd w:val="clear" w:color="auto" w:fill="auto"/>
            <w:vAlign w:val="center"/>
          </w:tcPr>
          <w:p w14:paraId="79A51D10">
            <w:pPr>
              <w:pStyle w:val="24"/>
              <w:rPr>
                <w:rFonts w:hint="eastAsia" w:eastAsia="宋体"/>
                <w:lang w:val="en-US" w:eastAsia="zh-CN"/>
              </w:rPr>
            </w:pPr>
            <w:r>
              <w:rPr>
                <w:rFonts w:hint="eastAsia"/>
              </w:rPr>
              <w:t>上市公司</w:t>
            </w:r>
            <w:r>
              <w:rPr>
                <w:rFonts w:hint="eastAsia"/>
                <w:lang w:val="en-US" w:eastAsia="zh-CN"/>
              </w:rPr>
              <w:t>/汇源通信</w:t>
            </w:r>
          </w:p>
        </w:tc>
        <w:tc>
          <w:tcPr>
            <w:tcW w:w="279" w:type="pct"/>
            <w:shd w:val="clear" w:color="auto" w:fill="auto"/>
            <w:vAlign w:val="center"/>
          </w:tcPr>
          <w:p w14:paraId="75B59EAF">
            <w:pPr>
              <w:pStyle w:val="24"/>
              <w:jc w:val="center"/>
            </w:pPr>
            <w:r>
              <w:rPr>
                <w:rFonts w:hint="eastAsia"/>
              </w:rPr>
              <w:t>指</w:t>
            </w:r>
          </w:p>
        </w:tc>
        <w:tc>
          <w:tcPr>
            <w:tcW w:w="3410" w:type="pct"/>
            <w:shd w:val="clear" w:color="auto" w:fill="auto"/>
            <w:vAlign w:val="center"/>
          </w:tcPr>
          <w:p w14:paraId="7D3BF09F">
            <w:pPr>
              <w:pStyle w:val="24"/>
              <w:rPr>
                <w:rFonts w:hint="eastAsia" w:eastAsia="宋体"/>
                <w:lang w:eastAsia="zh-CN"/>
              </w:rPr>
            </w:pPr>
            <w:r>
              <w:rPr>
                <w:rFonts w:hint="eastAsia"/>
              </w:rPr>
              <w:t>四川汇源光通信股份有限公司</w:t>
            </w:r>
          </w:p>
        </w:tc>
      </w:tr>
      <w:tr w14:paraId="17AC506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5EE12A71">
            <w:pPr>
              <w:pStyle w:val="24"/>
              <w:rPr>
                <w:rFonts w:hint="default" w:eastAsia="宋体"/>
                <w:lang w:val="en-US" w:eastAsia="zh-CN"/>
              </w:rPr>
            </w:pPr>
            <w:r>
              <w:rPr>
                <w:rFonts w:hint="eastAsia"/>
                <w:lang w:val="en-US" w:eastAsia="zh-CN"/>
              </w:rPr>
              <w:t>鼎耘工业</w:t>
            </w:r>
          </w:p>
        </w:tc>
        <w:tc>
          <w:tcPr>
            <w:tcW w:w="279" w:type="pct"/>
            <w:shd w:val="clear" w:color="auto" w:fill="auto"/>
            <w:vAlign w:val="center"/>
          </w:tcPr>
          <w:p w14:paraId="17294D1D">
            <w:pPr>
              <w:pStyle w:val="24"/>
              <w:jc w:val="center"/>
              <w:rPr>
                <w:rFonts w:hint="eastAsia"/>
              </w:rPr>
            </w:pPr>
            <w:r>
              <w:rPr>
                <w:rFonts w:hint="eastAsia"/>
              </w:rPr>
              <w:t>指</w:t>
            </w:r>
          </w:p>
        </w:tc>
        <w:tc>
          <w:tcPr>
            <w:tcW w:w="3410" w:type="pct"/>
            <w:shd w:val="clear" w:color="auto" w:fill="auto"/>
            <w:vAlign w:val="center"/>
          </w:tcPr>
          <w:p w14:paraId="3495F5E4">
            <w:pPr>
              <w:pStyle w:val="24"/>
              <w:jc w:val="both"/>
              <w:rPr>
                <w:rFonts w:hint="default"/>
                <w:lang w:val="en-US" w:eastAsia="zh-CN"/>
              </w:rPr>
            </w:pPr>
            <w:r>
              <w:rPr>
                <w:rFonts w:hint="eastAsia"/>
                <w:lang w:eastAsia="zh-CN"/>
              </w:rPr>
              <w:t>合肥鼎耘工业智能科技有限公司，</w:t>
            </w:r>
            <w:r>
              <w:rPr>
                <w:rFonts w:hint="eastAsia"/>
                <w:lang w:val="en-US" w:eastAsia="zh-CN"/>
              </w:rPr>
              <w:t>为鼎耘产业的执行事务合伙人</w:t>
            </w:r>
          </w:p>
        </w:tc>
      </w:tr>
      <w:tr w14:paraId="39B8D58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6FB526DE">
            <w:pPr>
              <w:pStyle w:val="24"/>
              <w:rPr>
                <w:rFonts w:hint="eastAsia" w:eastAsia="宋体"/>
                <w:lang w:val="en-US" w:eastAsia="zh-CN"/>
              </w:rPr>
            </w:pPr>
            <w:r>
              <w:rPr>
                <w:rFonts w:hint="eastAsia" w:eastAsia="宋体"/>
                <w:lang w:val="en-US" w:eastAsia="zh-CN"/>
              </w:rPr>
              <w:t>海南鼎耘</w:t>
            </w:r>
          </w:p>
        </w:tc>
        <w:tc>
          <w:tcPr>
            <w:tcW w:w="279" w:type="pct"/>
            <w:shd w:val="clear" w:color="auto" w:fill="auto"/>
            <w:vAlign w:val="center"/>
          </w:tcPr>
          <w:p w14:paraId="2E2C459F">
            <w:pPr>
              <w:pStyle w:val="24"/>
              <w:jc w:val="center"/>
              <w:rPr>
                <w:rFonts w:hint="eastAsia"/>
              </w:rPr>
            </w:pPr>
            <w:r>
              <w:rPr>
                <w:rFonts w:hint="eastAsia"/>
              </w:rPr>
              <w:t>指</w:t>
            </w:r>
          </w:p>
        </w:tc>
        <w:tc>
          <w:tcPr>
            <w:tcW w:w="3410" w:type="pct"/>
            <w:shd w:val="clear" w:color="auto" w:fill="auto"/>
            <w:vAlign w:val="center"/>
          </w:tcPr>
          <w:p w14:paraId="78B0641C">
            <w:pPr>
              <w:pStyle w:val="24"/>
              <w:bidi w:val="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鼎耘投资发展</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海南</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有限公司</w:t>
            </w:r>
          </w:p>
        </w:tc>
      </w:tr>
      <w:tr w14:paraId="497273F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7E1484D5">
            <w:pPr>
              <w:pStyle w:val="24"/>
              <w:rPr>
                <w:rFonts w:hint="eastAsia"/>
              </w:rPr>
            </w:pPr>
            <w:r>
              <w:rPr>
                <w:rFonts w:hint="eastAsia"/>
                <w:lang w:val="en-US" w:eastAsia="zh-CN"/>
              </w:rPr>
              <w:t>家家悦控股</w:t>
            </w:r>
          </w:p>
        </w:tc>
        <w:tc>
          <w:tcPr>
            <w:tcW w:w="279" w:type="pct"/>
            <w:shd w:val="clear" w:color="auto" w:fill="auto"/>
            <w:vAlign w:val="center"/>
          </w:tcPr>
          <w:p w14:paraId="4A341F32">
            <w:pPr>
              <w:pStyle w:val="24"/>
              <w:jc w:val="center"/>
              <w:rPr>
                <w:rFonts w:hint="eastAsia"/>
              </w:rPr>
            </w:pPr>
            <w:r>
              <w:rPr>
                <w:rFonts w:hint="eastAsia"/>
              </w:rPr>
              <w:t>指</w:t>
            </w:r>
          </w:p>
        </w:tc>
        <w:tc>
          <w:tcPr>
            <w:tcW w:w="3410" w:type="pct"/>
            <w:shd w:val="clear" w:color="auto" w:fill="auto"/>
            <w:vAlign w:val="center"/>
          </w:tcPr>
          <w:p w14:paraId="6CAB0CBA">
            <w:pPr>
              <w:pStyle w:val="24"/>
              <w:jc w:val="both"/>
              <w:rPr>
                <w:rFonts w:hint="eastAsia"/>
                <w:lang w:val="en-US" w:eastAsia="zh-CN"/>
              </w:rPr>
            </w:pPr>
            <w:r>
              <w:rPr>
                <w:rFonts w:hint="eastAsia"/>
                <w:lang w:val="en-US" w:eastAsia="zh-CN"/>
              </w:rPr>
              <w:fldChar w:fldCharType="begin"/>
            </w:r>
            <w:r>
              <w:rPr>
                <w:rFonts w:hint="eastAsia"/>
                <w:lang w:val="en-US" w:eastAsia="zh-CN"/>
              </w:rPr>
              <w:instrText xml:space="preserve"> HYPERLINK "https://www.qcc.com/firm/30073d52cd64267467b21dab86349a27.html" \t "https://www.qcc.com/firm/_blank" </w:instrText>
            </w:r>
            <w:r>
              <w:rPr>
                <w:rFonts w:hint="eastAsia"/>
                <w:lang w:val="en-US" w:eastAsia="zh-CN"/>
              </w:rPr>
              <w:fldChar w:fldCharType="separate"/>
            </w:r>
            <w:r>
              <w:rPr>
                <w:rFonts w:hint="eastAsia"/>
                <w:lang w:val="en-US" w:eastAsia="zh-CN"/>
              </w:rPr>
              <w:t>家家悦控股集团股份有限公司</w:t>
            </w:r>
            <w:r>
              <w:rPr>
                <w:rFonts w:hint="eastAsia"/>
                <w:lang w:val="en-US" w:eastAsia="zh-CN"/>
              </w:rPr>
              <w:fldChar w:fldCharType="end"/>
            </w:r>
          </w:p>
        </w:tc>
      </w:tr>
      <w:tr w14:paraId="1A4D7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4737F8A0">
            <w:pPr>
              <w:pStyle w:val="24"/>
              <w:rPr>
                <w:rFonts w:hint="eastAsia" w:eastAsia="宋体"/>
                <w:lang w:eastAsia="zh-CN"/>
              </w:rPr>
            </w:pPr>
            <w:r>
              <w:rPr>
                <w:rFonts w:hint="eastAsia"/>
              </w:rPr>
              <w:t>本次</w:t>
            </w:r>
            <w:r>
              <w:rPr>
                <w:rFonts w:hint="eastAsia"/>
                <w:lang w:val="en-US" w:eastAsia="zh-CN"/>
              </w:rPr>
              <w:t>收购/</w:t>
            </w:r>
            <w:r>
              <w:rPr>
                <w:rFonts w:hint="eastAsia"/>
              </w:rPr>
              <w:t>本次交易</w:t>
            </w:r>
          </w:p>
        </w:tc>
        <w:tc>
          <w:tcPr>
            <w:tcW w:w="279" w:type="pct"/>
            <w:shd w:val="clear" w:color="auto" w:fill="auto"/>
            <w:vAlign w:val="center"/>
          </w:tcPr>
          <w:p w14:paraId="0C8E674C">
            <w:pPr>
              <w:pStyle w:val="24"/>
              <w:jc w:val="center"/>
            </w:pPr>
            <w:r>
              <w:rPr>
                <w:rFonts w:hint="eastAsia"/>
              </w:rPr>
              <w:t>指</w:t>
            </w:r>
          </w:p>
        </w:tc>
        <w:tc>
          <w:tcPr>
            <w:tcW w:w="3410" w:type="pct"/>
            <w:shd w:val="clear" w:color="auto" w:fill="auto"/>
            <w:vAlign w:val="center"/>
          </w:tcPr>
          <w:p w14:paraId="073A2BC0">
            <w:pPr>
              <w:pStyle w:val="24"/>
              <w:jc w:val="both"/>
              <w:rPr>
                <w:rFonts w:hint="default"/>
                <w:lang w:val="en-US"/>
              </w:rPr>
            </w:pPr>
            <w:r>
              <w:rPr>
                <w:rFonts w:hint="eastAsia"/>
                <w:lang w:val="en-US" w:eastAsia="zh-CN"/>
              </w:rPr>
              <w:t>鼎耘产业</w:t>
            </w:r>
            <w:r>
              <w:rPr>
                <w:rFonts w:hint="default"/>
                <w:lang w:val="en-US" w:eastAsia="zh-CN"/>
              </w:rPr>
              <w:t>拟以现金认购上市公司本次向特定对象发行的全部股票，认购股票数量不</w:t>
            </w:r>
            <w:r>
              <w:rPr>
                <w:rFonts w:hint="eastAsia"/>
                <w:lang w:val="en-US" w:eastAsia="zh-CN"/>
              </w:rPr>
              <w:t>超过</w:t>
            </w:r>
            <w:r>
              <w:rPr>
                <w:rFonts w:hint="default"/>
                <w:lang w:val="en-US" w:eastAsia="zh-CN"/>
              </w:rPr>
              <w:t>58,032,000股（含本数）</w:t>
            </w:r>
          </w:p>
        </w:tc>
      </w:tr>
      <w:tr w14:paraId="6E12384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5FF6A5DE">
            <w:pPr>
              <w:pStyle w:val="24"/>
              <w:jc w:val="both"/>
              <w:rPr>
                <w:rFonts w:hint="default" w:eastAsia="宋体"/>
                <w:lang w:val="en-US" w:eastAsia="zh-CN"/>
              </w:rPr>
            </w:pPr>
            <w:r>
              <w:rPr>
                <w:rFonts w:hint="default" w:eastAsia="宋体"/>
                <w:lang w:val="en-US" w:eastAsia="zh-CN"/>
              </w:rPr>
              <w:t>本次发行/本次向特定对象发行</w:t>
            </w:r>
          </w:p>
        </w:tc>
        <w:tc>
          <w:tcPr>
            <w:tcW w:w="279" w:type="pct"/>
            <w:shd w:val="clear" w:color="auto" w:fill="auto"/>
            <w:vAlign w:val="center"/>
          </w:tcPr>
          <w:p w14:paraId="501F745B">
            <w:pPr>
              <w:pStyle w:val="24"/>
              <w:jc w:val="center"/>
              <w:rPr>
                <w:rFonts w:hint="eastAsia"/>
              </w:rPr>
            </w:pPr>
            <w:r>
              <w:rPr>
                <w:rFonts w:hint="eastAsia"/>
              </w:rPr>
              <w:t>指</w:t>
            </w:r>
          </w:p>
        </w:tc>
        <w:tc>
          <w:tcPr>
            <w:tcW w:w="3410" w:type="pct"/>
            <w:shd w:val="clear" w:color="auto" w:fill="auto"/>
            <w:vAlign w:val="center"/>
          </w:tcPr>
          <w:p w14:paraId="42979F4F">
            <w:pPr>
              <w:pStyle w:val="24"/>
              <w:jc w:val="both"/>
              <w:rPr>
                <w:rFonts w:hint="eastAsia"/>
                <w:lang w:val="en-US" w:eastAsia="zh-CN"/>
              </w:rPr>
            </w:pPr>
            <w:r>
              <w:rPr>
                <w:rFonts w:hint="eastAsia"/>
              </w:rPr>
              <w:t>四川汇源光通信股份有限公司</w:t>
            </w:r>
            <w:r>
              <w:rPr>
                <w:rFonts w:hint="eastAsia"/>
                <w:lang w:val="en-US" w:eastAsia="zh-CN"/>
              </w:rPr>
              <w:t>2025年度向特定对象发行A股股票的行为</w:t>
            </w:r>
          </w:p>
        </w:tc>
      </w:tr>
      <w:tr w14:paraId="237FDC2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69AA4487">
            <w:pPr>
              <w:pStyle w:val="24"/>
              <w:rPr>
                <w:rFonts w:hint="eastAsia"/>
              </w:rPr>
            </w:pPr>
            <w:r>
              <w:rPr>
                <w:rFonts w:hint="eastAsia"/>
                <w:lang w:val="en-US" w:eastAsia="zh-CN"/>
              </w:rPr>
              <w:t>《附条件生效的股份认购协议》</w:t>
            </w:r>
          </w:p>
        </w:tc>
        <w:tc>
          <w:tcPr>
            <w:tcW w:w="279" w:type="pct"/>
            <w:shd w:val="clear" w:color="auto" w:fill="auto"/>
            <w:vAlign w:val="center"/>
          </w:tcPr>
          <w:p w14:paraId="31055197">
            <w:pPr>
              <w:pStyle w:val="24"/>
              <w:jc w:val="center"/>
              <w:rPr>
                <w:rFonts w:hint="eastAsia"/>
              </w:rPr>
            </w:pPr>
            <w:r>
              <w:rPr>
                <w:rFonts w:hint="eastAsia"/>
              </w:rPr>
              <w:t>指</w:t>
            </w:r>
          </w:p>
        </w:tc>
        <w:tc>
          <w:tcPr>
            <w:tcW w:w="3410" w:type="pct"/>
            <w:shd w:val="clear" w:color="auto" w:fill="auto"/>
            <w:vAlign w:val="center"/>
          </w:tcPr>
          <w:p w14:paraId="086A78DC">
            <w:pPr>
              <w:pStyle w:val="24"/>
              <w:rPr>
                <w:rFonts w:hint="eastAsia"/>
              </w:rPr>
            </w:pPr>
            <w:r>
              <w:rPr>
                <w:rFonts w:hint="eastAsia"/>
                <w:lang w:val="en-US" w:eastAsia="zh-CN"/>
              </w:rPr>
              <w:t>《</w:t>
            </w:r>
            <w:r>
              <w:rPr>
                <w:rFonts w:hint="eastAsia"/>
              </w:rPr>
              <w:t>四川汇源光通信股份有限公司向特定对象发行A股股票附条件生效的股份认购协议</w:t>
            </w:r>
            <w:r>
              <w:rPr>
                <w:rFonts w:hint="eastAsia"/>
                <w:lang w:val="en-US" w:eastAsia="zh-CN"/>
              </w:rPr>
              <w:t>》</w:t>
            </w:r>
          </w:p>
        </w:tc>
      </w:tr>
      <w:tr w14:paraId="65789FA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0364C464">
            <w:pPr>
              <w:pStyle w:val="24"/>
              <w:rPr>
                <w:rFonts w:hint="default" w:eastAsia="宋体"/>
                <w:lang w:val="en-US" w:eastAsia="zh-CN"/>
              </w:rPr>
            </w:pPr>
            <w:r>
              <w:rPr>
                <w:rFonts w:hint="eastAsia"/>
                <w:lang w:val="en-US" w:eastAsia="zh-CN"/>
              </w:rPr>
              <w:t>《公司章程》</w:t>
            </w:r>
          </w:p>
        </w:tc>
        <w:tc>
          <w:tcPr>
            <w:tcW w:w="279" w:type="pct"/>
            <w:shd w:val="clear" w:color="auto" w:fill="auto"/>
            <w:vAlign w:val="center"/>
          </w:tcPr>
          <w:p w14:paraId="21DE2318">
            <w:pPr>
              <w:pStyle w:val="24"/>
              <w:jc w:val="center"/>
              <w:rPr>
                <w:rFonts w:hint="eastAsia"/>
              </w:rPr>
            </w:pPr>
            <w:r>
              <w:rPr>
                <w:rFonts w:hint="eastAsia"/>
              </w:rPr>
              <w:t>指</w:t>
            </w:r>
          </w:p>
        </w:tc>
        <w:tc>
          <w:tcPr>
            <w:tcW w:w="3410" w:type="pct"/>
            <w:shd w:val="clear" w:color="auto" w:fill="auto"/>
            <w:vAlign w:val="center"/>
          </w:tcPr>
          <w:p w14:paraId="32BA3086">
            <w:pPr>
              <w:pStyle w:val="24"/>
              <w:rPr>
                <w:rFonts w:hint="eastAsia" w:eastAsia="宋体"/>
                <w:lang w:eastAsia="zh-CN"/>
              </w:rPr>
            </w:pPr>
            <w:r>
              <w:rPr>
                <w:rFonts w:hint="eastAsia"/>
                <w:lang w:eastAsia="zh-CN"/>
              </w:rPr>
              <w:t>《</w:t>
            </w:r>
            <w:r>
              <w:rPr>
                <w:rFonts w:hint="eastAsia"/>
                <w:lang w:eastAsia="zh-CN"/>
              </w:rPr>
              <w:fldChar w:fldCharType="begin"/>
            </w:r>
            <w:r>
              <w:rPr>
                <w:rFonts w:hint="eastAsia"/>
                <w:lang w:eastAsia="zh-CN"/>
              </w:rPr>
              <w:instrText xml:space="preserve"> HYPERLINK "https://114.80.154.45/EquitySalesF9Web/F9/NewsAndFilings/CompanyBulletin.html?lan=cn&amp;Remarks=smartreader&amp;WindCode=000586.SZ&amp;stockname=%E6%B1%87%E6%BA%90%E9%80%9A%E4%BF%A1" \l "240FC8CC97A338BAA0CF21BC9B591FF3" </w:instrText>
            </w:r>
            <w:r>
              <w:rPr>
                <w:rFonts w:hint="eastAsia"/>
                <w:lang w:eastAsia="zh-CN"/>
              </w:rPr>
              <w:fldChar w:fldCharType="separate"/>
            </w:r>
            <w:r>
              <w:rPr>
                <w:rFonts w:hint="eastAsia"/>
                <w:lang w:eastAsia="zh-CN"/>
              </w:rPr>
              <w:t>四川汇源光通信股份有限公司章程</w:t>
            </w:r>
            <w:r>
              <w:rPr>
                <w:rFonts w:hint="eastAsia"/>
                <w:lang w:eastAsia="zh-CN"/>
              </w:rPr>
              <w:fldChar w:fldCharType="end"/>
            </w:r>
            <w:r>
              <w:rPr>
                <w:rFonts w:hint="eastAsia"/>
                <w:lang w:eastAsia="zh-CN"/>
              </w:rPr>
              <w:t>》</w:t>
            </w:r>
          </w:p>
        </w:tc>
      </w:tr>
      <w:tr w14:paraId="1DF48C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768ADC92">
            <w:pPr>
              <w:pStyle w:val="24"/>
              <w:rPr>
                <w:rFonts w:hint="eastAsia" w:eastAsia="宋体"/>
                <w:lang w:eastAsia="zh-CN"/>
              </w:rPr>
            </w:pPr>
            <w:r>
              <w:rPr>
                <w:rFonts w:hint="eastAsia"/>
              </w:rPr>
              <w:t>中国证监会</w:t>
            </w:r>
          </w:p>
        </w:tc>
        <w:tc>
          <w:tcPr>
            <w:tcW w:w="279" w:type="pct"/>
            <w:shd w:val="clear" w:color="auto" w:fill="auto"/>
            <w:vAlign w:val="center"/>
          </w:tcPr>
          <w:p w14:paraId="6F8269CD">
            <w:pPr>
              <w:pStyle w:val="24"/>
              <w:jc w:val="center"/>
            </w:pPr>
            <w:r>
              <w:rPr>
                <w:rFonts w:hint="eastAsia"/>
              </w:rPr>
              <w:t>指</w:t>
            </w:r>
          </w:p>
        </w:tc>
        <w:tc>
          <w:tcPr>
            <w:tcW w:w="3410" w:type="pct"/>
            <w:shd w:val="clear" w:color="auto" w:fill="auto"/>
            <w:vAlign w:val="center"/>
          </w:tcPr>
          <w:p w14:paraId="76E51518">
            <w:pPr>
              <w:pStyle w:val="24"/>
            </w:pPr>
            <w:r>
              <w:rPr>
                <w:rFonts w:hint="eastAsia"/>
              </w:rPr>
              <w:t>中国证券监督管理委员会</w:t>
            </w:r>
          </w:p>
        </w:tc>
      </w:tr>
      <w:tr w14:paraId="651036A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AFDB6C5">
            <w:pPr>
              <w:pStyle w:val="24"/>
            </w:pPr>
            <w:r>
              <w:rPr>
                <w:rFonts w:hint="eastAsia"/>
                <w:lang w:val="en-US" w:eastAsia="zh-CN"/>
              </w:rPr>
              <w:t>深</w:t>
            </w:r>
            <w:r>
              <w:rPr>
                <w:rFonts w:hint="eastAsia"/>
              </w:rPr>
              <w:t>交所</w:t>
            </w:r>
          </w:p>
        </w:tc>
        <w:tc>
          <w:tcPr>
            <w:tcW w:w="279" w:type="pct"/>
            <w:shd w:val="clear" w:color="auto" w:fill="auto"/>
            <w:vAlign w:val="center"/>
          </w:tcPr>
          <w:p w14:paraId="0CF47487">
            <w:pPr>
              <w:pStyle w:val="24"/>
              <w:jc w:val="center"/>
            </w:pPr>
            <w:r>
              <w:rPr>
                <w:rFonts w:hint="eastAsia"/>
              </w:rPr>
              <w:t>指</w:t>
            </w:r>
          </w:p>
        </w:tc>
        <w:tc>
          <w:tcPr>
            <w:tcW w:w="3410" w:type="pct"/>
            <w:shd w:val="clear" w:color="auto" w:fill="auto"/>
            <w:vAlign w:val="center"/>
          </w:tcPr>
          <w:p w14:paraId="184BAA2B">
            <w:pPr>
              <w:pStyle w:val="24"/>
            </w:pPr>
            <w:r>
              <w:rPr>
                <w:rFonts w:hint="eastAsia"/>
                <w:lang w:val="en-US" w:eastAsia="zh-CN"/>
              </w:rPr>
              <w:t>深圳</w:t>
            </w:r>
            <w:r>
              <w:rPr>
                <w:rFonts w:hint="eastAsia"/>
              </w:rPr>
              <w:t>证券交易所</w:t>
            </w:r>
          </w:p>
        </w:tc>
      </w:tr>
      <w:tr w14:paraId="5081EC2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E4770BC">
            <w:pPr>
              <w:pStyle w:val="24"/>
            </w:pPr>
            <w:r>
              <w:rPr>
                <w:rFonts w:hint="eastAsia"/>
              </w:rPr>
              <w:t>财务顾问</w:t>
            </w:r>
          </w:p>
        </w:tc>
        <w:tc>
          <w:tcPr>
            <w:tcW w:w="279" w:type="pct"/>
            <w:shd w:val="clear" w:color="auto" w:fill="auto"/>
            <w:vAlign w:val="center"/>
          </w:tcPr>
          <w:p w14:paraId="016EA498">
            <w:pPr>
              <w:pStyle w:val="24"/>
              <w:jc w:val="center"/>
            </w:pPr>
            <w:r>
              <w:rPr>
                <w:rFonts w:hint="eastAsia"/>
              </w:rPr>
              <w:t>指</w:t>
            </w:r>
          </w:p>
        </w:tc>
        <w:tc>
          <w:tcPr>
            <w:tcW w:w="3410" w:type="pct"/>
            <w:shd w:val="clear" w:color="auto" w:fill="auto"/>
            <w:vAlign w:val="center"/>
          </w:tcPr>
          <w:p w14:paraId="42A4A52E">
            <w:pPr>
              <w:pStyle w:val="24"/>
            </w:pPr>
            <w:r>
              <w:rPr>
                <w:rFonts w:hint="eastAsia"/>
              </w:rPr>
              <w:t>中国银河证券股份有限公司</w:t>
            </w:r>
          </w:p>
        </w:tc>
      </w:tr>
      <w:tr w14:paraId="28D391B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043644C0">
            <w:pPr>
              <w:pStyle w:val="24"/>
              <w:rPr>
                <w:rFonts w:hint="default" w:eastAsia="宋体"/>
                <w:lang w:val="en-US" w:eastAsia="zh-CN"/>
              </w:rPr>
            </w:pPr>
            <w:r>
              <w:rPr>
                <w:rFonts w:hint="eastAsia"/>
                <w:lang w:val="en-US" w:eastAsia="zh-CN"/>
              </w:rPr>
              <w:t>股东会</w:t>
            </w:r>
          </w:p>
        </w:tc>
        <w:tc>
          <w:tcPr>
            <w:tcW w:w="279" w:type="pct"/>
            <w:shd w:val="clear" w:color="auto" w:fill="auto"/>
            <w:vAlign w:val="center"/>
          </w:tcPr>
          <w:p w14:paraId="5A7277EC">
            <w:pPr>
              <w:pStyle w:val="24"/>
              <w:jc w:val="center"/>
              <w:rPr>
                <w:rFonts w:hint="eastAsia"/>
              </w:rPr>
            </w:pPr>
            <w:r>
              <w:rPr>
                <w:rFonts w:hint="eastAsia"/>
              </w:rPr>
              <w:t>指</w:t>
            </w:r>
          </w:p>
        </w:tc>
        <w:tc>
          <w:tcPr>
            <w:tcW w:w="3410" w:type="pct"/>
            <w:shd w:val="clear" w:color="auto" w:fill="auto"/>
            <w:vAlign w:val="center"/>
          </w:tcPr>
          <w:p w14:paraId="11BF0FB1">
            <w:pPr>
              <w:pStyle w:val="24"/>
              <w:rPr>
                <w:rFonts w:hint="eastAsia"/>
              </w:rPr>
            </w:pPr>
            <w:r>
              <w:rPr>
                <w:rFonts w:hint="eastAsia"/>
              </w:rPr>
              <w:t>四川汇源光通信股份有限公司</w:t>
            </w:r>
            <w:r>
              <w:rPr>
                <w:rFonts w:hint="eastAsia"/>
                <w:lang w:val="en-US" w:eastAsia="zh-CN"/>
              </w:rPr>
              <w:t>股东会</w:t>
            </w:r>
          </w:p>
        </w:tc>
      </w:tr>
      <w:tr w14:paraId="6C50FB3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83EB97E">
            <w:pPr>
              <w:pStyle w:val="24"/>
              <w:rPr>
                <w:rFonts w:hint="eastAsia" w:eastAsia="宋体"/>
                <w:lang w:eastAsia="zh-CN"/>
              </w:rPr>
            </w:pPr>
            <w:r>
              <w:rPr>
                <w:rFonts w:hint="eastAsia"/>
                <w:lang w:val="en-US" w:eastAsia="zh-CN"/>
              </w:rPr>
              <w:t>董事会</w:t>
            </w:r>
          </w:p>
        </w:tc>
        <w:tc>
          <w:tcPr>
            <w:tcW w:w="279" w:type="pct"/>
            <w:shd w:val="clear" w:color="auto" w:fill="auto"/>
            <w:vAlign w:val="center"/>
          </w:tcPr>
          <w:p w14:paraId="6EB1DCA9">
            <w:pPr>
              <w:pStyle w:val="24"/>
              <w:jc w:val="center"/>
              <w:rPr>
                <w:rFonts w:hint="eastAsia"/>
              </w:rPr>
            </w:pPr>
            <w:r>
              <w:rPr>
                <w:rFonts w:hint="eastAsia"/>
              </w:rPr>
              <w:t>指</w:t>
            </w:r>
          </w:p>
        </w:tc>
        <w:tc>
          <w:tcPr>
            <w:tcW w:w="3410" w:type="pct"/>
            <w:shd w:val="clear" w:color="auto" w:fill="auto"/>
            <w:vAlign w:val="center"/>
          </w:tcPr>
          <w:p w14:paraId="546C6A3D">
            <w:pPr>
              <w:pStyle w:val="24"/>
              <w:rPr>
                <w:rFonts w:hint="eastAsia"/>
              </w:rPr>
            </w:pPr>
            <w:r>
              <w:rPr>
                <w:rFonts w:hint="eastAsia"/>
              </w:rPr>
              <w:t>四川汇源光通信股份有限公司</w:t>
            </w:r>
            <w:r>
              <w:rPr>
                <w:rFonts w:hint="eastAsia"/>
                <w:lang w:val="en-US" w:eastAsia="zh-CN"/>
              </w:rPr>
              <w:t>董事会</w:t>
            </w:r>
          </w:p>
        </w:tc>
      </w:tr>
      <w:tr w14:paraId="396A959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C6B3594">
            <w:pPr>
              <w:pStyle w:val="24"/>
            </w:pPr>
            <w:r>
              <w:rPr>
                <w:rFonts w:hint="eastAsia"/>
              </w:rPr>
              <w:t>《公司法》</w:t>
            </w:r>
          </w:p>
        </w:tc>
        <w:tc>
          <w:tcPr>
            <w:tcW w:w="279" w:type="pct"/>
            <w:shd w:val="clear" w:color="auto" w:fill="auto"/>
            <w:vAlign w:val="center"/>
          </w:tcPr>
          <w:p w14:paraId="0E035463">
            <w:pPr>
              <w:pStyle w:val="24"/>
              <w:jc w:val="center"/>
            </w:pPr>
            <w:r>
              <w:rPr>
                <w:rFonts w:hint="eastAsia"/>
              </w:rPr>
              <w:t>指</w:t>
            </w:r>
          </w:p>
        </w:tc>
        <w:tc>
          <w:tcPr>
            <w:tcW w:w="3410" w:type="pct"/>
            <w:shd w:val="clear" w:color="auto" w:fill="auto"/>
            <w:vAlign w:val="center"/>
          </w:tcPr>
          <w:p w14:paraId="5F30A75A">
            <w:pPr>
              <w:pStyle w:val="24"/>
            </w:pPr>
            <w:r>
              <w:rPr>
                <w:rFonts w:hint="eastAsia"/>
              </w:rPr>
              <w:t>《中华人民共和国公司法》</w:t>
            </w:r>
          </w:p>
        </w:tc>
      </w:tr>
      <w:tr w14:paraId="2045133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726D128F">
            <w:pPr>
              <w:pStyle w:val="24"/>
            </w:pPr>
            <w:r>
              <w:rPr>
                <w:rFonts w:hint="eastAsia"/>
              </w:rPr>
              <w:t>《证券法》</w:t>
            </w:r>
          </w:p>
        </w:tc>
        <w:tc>
          <w:tcPr>
            <w:tcW w:w="279" w:type="pct"/>
            <w:shd w:val="clear" w:color="auto" w:fill="auto"/>
            <w:vAlign w:val="center"/>
          </w:tcPr>
          <w:p w14:paraId="11107EAB">
            <w:pPr>
              <w:pStyle w:val="24"/>
              <w:jc w:val="center"/>
            </w:pPr>
            <w:r>
              <w:rPr>
                <w:rFonts w:hint="eastAsia"/>
              </w:rPr>
              <w:t>指</w:t>
            </w:r>
          </w:p>
        </w:tc>
        <w:tc>
          <w:tcPr>
            <w:tcW w:w="3410" w:type="pct"/>
            <w:shd w:val="clear" w:color="auto" w:fill="auto"/>
            <w:vAlign w:val="center"/>
          </w:tcPr>
          <w:p w14:paraId="57D27074">
            <w:pPr>
              <w:pStyle w:val="24"/>
            </w:pPr>
            <w:r>
              <w:rPr>
                <w:rFonts w:hint="eastAsia"/>
              </w:rPr>
              <w:t>《中华人民共和国证券法》</w:t>
            </w:r>
          </w:p>
        </w:tc>
      </w:tr>
      <w:tr w14:paraId="207200A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79F2451B">
            <w:pPr>
              <w:pStyle w:val="24"/>
            </w:pPr>
            <w:r>
              <w:rPr>
                <w:rFonts w:hint="eastAsia"/>
              </w:rPr>
              <w:t>《收购办法》</w:t>
            </w:r>
          </w:p>
        </w:tc>
        <w:tc>
          <w:tcPr>
            <w:tcW w:w="279" w:type="pct"/>
            <w:shd w:val="clear" w:color="auto" w:fill="auto"/>
            <w:vAlign w:val="center"/>
          </w:tcPr>
          <w:p w14:paraId="7D780B91">
            <w:pPr>
              <w:pStyle w:val="24"/>
              <w:jc w:val="center"/>
            </w:pPr>
            <w:r>
              <w:rPr>
                <w:rFonts w:hint="eastAsia"/>
              </w:rPr>
              <w:t>指</w:t>
            </w:r>
          </w:p>
        </w:tc>
        <w:tc>
          <w:tcPr>
            <w:tcW w:w="3410" w:type="pct"/>
            <w:shd w:val="clear" w:color="auto" w:fill="auto"/>
            <w:vAlign w:val="center"/>
          </w:tcPr>
          <w:p w14:paraId="0CC50564">
            <w:pPr>
              <w:pStyle w:val="24"/>
            </w:pPr>
            <w:r>
              <w:rPr>
                <w:rFonts w:hint="eastAsia"/>
              </w:rPr>
              <w:t>《上市公司收购管理办法》</w:t>
            </w:r>
          </w:p>
        </w:tc>
      </w:tr>
      <w:tr w14:paraId="1AF84D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53F76E1B">
            <w:pPr>
              <w:pStyle w:val="24"/>
              <w:rPr>
                <w:rFonts w:hint="eastAsia"/>
                <w:lang w:val="en-US" w:eastAsia="zh-CN"/>
              </w:rPr>
            </w:pPr>
            <w:r>
              <w:rPr>
                <w:rFonts w:hint="eastAsia"/>
                <w:lang w:val="en-US" w:eastAsia="zh-CN"/>
              </w:rPr>
              <w:t>《准则第16号》</w:t>
            </w:r>
          </w:p>
        </w:tc>
        <w:tc>
          <w:tcPr>
            <w:tcW w:w="279" w:type="pct"/>
            <w:shd w:val="clear" w:color="auto" w:fill="auto"/>
            <w:vAlign w:val="center"/>
          </w:tcPr>
          <w:p w14:paraId="522DE449">
            <w:pPr>
              <w:pStyle w:val="24"/>
              <w:jc w:val="center"/>
              <w:rPr>
                <w:rFonts w:hint="eastAsia"/>
              </w:rPr>
            </w:pPr>
            <w:r>
              <w:rPr>
                <w:rFonts w:hint="eastAsia"/>
              </w:rPr>
              <w:t>指</w:t>
            </w:r>
          </w:p>
        </w:tc>
        <w:tc>
          <w:tcPr>
            <w:tcW w:w="3410" w:type="pct"/>
            <w:shd w:val="clear" w:color="auto" w:fill="auto"/>
            <w:vAlign w:val="center"/>
          </w:tcPr>
          <w:p w14:paraId="4211B431">
            <w:pPr>
              <w:pStyle w:val="24"/>
              <w:rPr>
                <w:rFonts w:hint="eastAsia"/>
                <w:lang w:val="en-US" w:eastAsia="zh-CN"/>
              </w:rPr>
            </w:pPr>
            <w:r>
              <w:rPr>
                <w:rFonts w:hint="eastAsia"/>
                <w:lang w:val="en-US" w:eastAsia="zh-CN"/>
              </w:rPr>
              <w:t>《公开发行证券的公司信息披露内容与格式准则第16号——上市公司收购报告书》</w:t>
            </w:r>
          </w:p>
        </w:tc>
      </w:tr>
      <w:tr w14:paraId="7E1D8B3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2FB816EA">
            <w:pPr>
              <w:pStyle w:val="24"/>
              <w:rPr>
                <w:rFonts w:hint="eastAsia"/>
              </w:rPr>
            </w:pPr>
            <w:r>
              <w:rPr>
                <w:rFonts w:hint="eastAsia"/>
                <w:lang w:val="en-US" w:eastAsia="zh-CN"/>
              </w:rPr>
              <w:t>A股、股</w:t>
            </w:r>
          </w:p>
        </w:tc>
        <w:tc>
          <w:tcPr>
            <w:tcW w:w="279" w:type="pct"/>
            <w:shd w:val="clear" w:color="auto" w:fill="auto"/>
            <w:vAlign w:val="center"/>
          </w:tcPr>
          <w:p w14:paraId="05C37284">
            <w:pPr>
              <w:pStyle w:val="24"/>
              <w:jc w:val="center"/>
              <w:rPr>
                <w:rFonts w:hint="eastAsia"/>
              </w:rPr>
            </w:pPr>
            <w:r>
              <w:rPr>
                <w:rFonts w:hint="eastAsia"/>
              </w:rPr>
              <w:t>指</w:t>
            </w:r>
          </w:p>
        </w:tc>
        <w:tc>
          <w:tcPr>
            <w:tcW w:w="3410" w:type="pct"/>
            <w:shd w:val="clear" w:color="auto" w:fill="auto"/>
            <w:vAlign w:val="center"/>
          </w:tcPr>
          <w:p w14:paraId="2E7A4B7D">
            <w:pPr>
              <w:pStyle w:val="24"/>
              <w:rPr>
                <w:rFonts w:hint="eastAsia"/>
              </w:rPr>
            </w:pPr>
            <w:r>
              <w:rPr>
                <w:rFonts w:hint="eastAsia"/>
                <w:lang w:val="en-US" w:eastAsia="zh-CN"/>
              </w:rPr>
              <w:t>人民币普通股</w:t>
            </w:r>
          </w:p>
        </w:tc>
      </w:tr>
      <w:tr w14:paraId="69FC7C9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46C2E825">
            <w:pPr>
              <w:pStyle w:val="24"/>
            </w:pPr>
            <w:r>
              <w:rPr>
                <w:rFonts w:hint="eastAsia"/>
              </w:rPr>
              <w:t>元、万元、亿元</w:t>
            </w:r>
          </w:p>
        </w:tc>
        <w:tc>
          <w:tcPr>
            <w:tcW w:w="279" w:type="pct"/>
            <w:shd w:val="clear" w:color="auto" w:fill="auto"/>
            <w:vAlign w:val="center"/>
          </w:tcPr>
          <w:p w14:paraId="7934F7E6">
            <w:pPr>
              <w:pStyle w:val="24"/>
              <w:jc w:val="center"/>
            </w:pPr>
            <w:r>
              <w:rPr>
                <w:rFonts w:hint="eastAsia"/>
              </w:rPr>
              <w:t>指</w:t>
            </w:r>
          </w:p>
        </w:tc>
        <w:tc>
          <w:tcPr>
            <w:tcW w:w="3410" w:type="pct"/>
            <w:shd w:val="clear" w:color="auto" w:fill="auto"/>
            <w:vAlign w:val="center"/>
          </w:tcPr>
          <w:p w14:paraId="719159C4">
            <w:pPr>
              <w:pStyle w:val="24"/>
            </w:pPr>
            <w:r>
              <w:rPr>
                <w:rFonts w:hint="eastAsia"/>
              </w:rPr>
              <w:t>人民币元、万元、亿元</w:t>
            </w:r>
          </w:p>
        </w:tc>
      </w:tr>
    </w:tbl>
    <w:p w14:paraId="0DE3CC61">
      <w:pPr>
        <w:pStyle w:val="24"/>
        <w:bidi w:val="0"/>
      </w:pPr>
      <w:r>
        <w:rPr>
          <w:rFonts w:hint="eastAsia"/>
        </w:rPr>
        <w:t>注：由于四舍五入的原因，</w:t>
      </w:r>
      <w:r>
        <w:rPr>
          <w:rFonts w:hint="eastAsia"/>
          <w:lang w:val="en-US" w:eastAsia="zh-CN"/>
        </w:rPr>
        <w:t>本报告书</w:t>
      </w:r>
      <w:r>
        <w:rPr>
          <w:rFonts w:hint="eastAsia"/>
        </w:rPr>
        <w:t>中分项之和与合计项之间可能存在尾差。</w:t>
      </w:r>
    </w:p>
    <w:p w14:paraId="2F5BF866">
      <w:pPr>
        <w:spacing w:before="156" w:after="156"/>
        <w:ind w:firstLine="480"/>
      </w:pPr>
      <w:r>
        <w:br w:type="page"/>
      </w:r>
    </w:p>
    <w:p w14:paraId="6BB61B8E">
      <w:pPr>
        <w:pStyle w:val="23"/>
        <w:spacing w:before="312" w:after="312" w:line="240" w:lineRule="auto"/>
        <w:rPr>
          <w:rFonts w:hint="default" w:eastAsia="宋体"/>
          <w:lang w:val="en-US" w:eastAsia="zh-CN"/>
        </w:rPr>
      </w:pPr>
      <w:bookmarkStart w:id="19" w:name="_Toc19170"/>
      <w:bookmarkStart w:id="20" w:name="_Toc21403"/>
      <w:bookmarkStart w:id="21" w:name="_Toc24799"/>
      <w:r>
        <w:rPr>
          <w:rFonts w:hint="eastAsia"/>
          <w:lang w:val="en-US" w:eastAsia="zh-CN"/>
        </w:rPr>
        <w:t>财务顾问核查意见</w:t>
      </w:r>
      <w:bookmarkEnd w:id="19"/>
    </w:p>
    <w:p w14:paraId="698BD068">
      <w:pPr>
        <w:pStyle w:val="25"/>
        <w:spacing w:before="234" w:after="234"/>
      </w:pPr>
      <w:bookmarkStart w:id="22" w:name="_Toc20570"/>
      <w:r>
        <w:rPr>
          <w:rFonts w:hint="eastAsia"/>
        </w:rPr>
        <w:t>一、对《</w:t>
      </w:r>
      <w:r>
        <w:rPr>
          <w:rFonts w:hint="eastAsia"/>
          <w:lang w:val="en-US" w:eastAsia="zh-CN"/>
        </w:rPr>
        <w:t>收购报告书</w:t>
      </w:r>
      <w:r>
        <w:rPr>
          <w:rFonts w:hint="eastAsia"/>
        </w:rPr>
        <w:t>》内容的核查</w:t>
      </w:r>
      <w:bookmarkEnd w:id="20"/>
      <w:bookmarkEnd w:id="21"/>
      <w:bookmarkEnd w:id="22"/>
    </w:p>
    <w:p w14:paraId="371DB0CF">
      <w:pPr>
        <w:pStyle w:val="20"/>
        <w:spacing w:before="156" w:after="156"/>
        <w:ind w:firstLine="480"/>
        <w:jc w:val="both"/>
      </w:pPr>
      <w:r>
        <w:rPr>
          <w:rFonts w:hint="eastAsia"/>
          <w:lang w:val="en-US" w:eastAsia="zh-CN"/>
        </w:rPr>
        <w:t>信息披露义务人</w:t>
      </w:r>
      <w:r>
        <w:rPr>
          <w:rFonts w:hint="eastAsia"/>
        </w:rPr>
        <w:t>已按照《证券法》《收购办法》《</w:t>
      </w:r>
      <w:r>
        <w:rPr>
          <w:rFonts w:hint="eastAsia"/>
          <w:lang w:val="en-US" w:eastAsia="zh-CN"/>
        </w:rPr>
        <w:t>准则第16号</w:t>
      </w:r>
      <w:r>
        <w:rPr>
          <w:rFonts w:hint="eastAsia"/>
        </w:rPr>
        <w:t>》等相关法律、法规编写《</w:t>
      </w:r>
      <w:r>
        <w:rPr>
          <w:rFonts w:hint="eastAsia"/>
          <w:lang w:val="en-US" w:eastAsia="zh-CN"/>
        </w:rPr>
        <w:t>收购报告书</w:t>
      </w:r>
      <w:r>
        <w:rPr>
          <w:rFonts w:hint="eastAsia"/>
        </w:rPr>
        <w:t>》，对</w:t>
      </w:r>
      <w:r>
        <w:rPr>
          <w:rFonts w:hint="eastAsia"/>
          <w:lang w:val="en-US" w:eastAsia="zh-CN"/>
        </w:rPr>
        <w:t>收购人的</w:t>
      </w:r>
      <w:r>
        <w:rPr>
          <w:rFonts w:hint="eastAsia"/>
        </w:rPr>
        <w:t>基本情况、</w:t>
      </w:r>
      <w:r>
        <w:rPr>
          <w:rFonts w:hint="eastAsia"/>
          <w:lang w:val="en-US" w:eastAsia="zh-CN"/>
        </w:rPr>
        <w:t>收购</w:t>
      </w:r>
      <w:r>
        <w:rPr>
          <w:rFonts w:hint="eastAsia"/>
        </w:rPr>
        <w:t>目的、</w:t>
      </w:r>
      <w:r>
        <w:rPr>
          <w:rFonts w:hint="eastAsia"/>
          <w:lang w:val="en-US" w:eastAsia="zh-CN"/>
        </w:rPr>
        <w:t>收购</w:t>
      </w:r>
      <w:r>
        <w:rPr>
          <w:rFonts w:hint="eastAsia"/>
        </w:rPr>
        <w:t>方式、资金来源、后续计划、对上市公司的影响分析、与上市公司之间的重大交易、前六个月内买卖上市公司股票的情况、财务资料等内容进行了披露。</w:t>
      </w:r>
    </w:p>
    <w:p w14:paraId="6F8D2CE7">
      <w:pPr>
        <w:pStyle w:val="20"/>
        <w:spacing w:before="156" w:after="156"/>
        <w:ind w:firstLine="480"/>
        <w:jc w:val="both"/>
      </w:pPr>
      <w:r>
        <w:rPr>
          <w:rFonts w:hint="eastAsia"/>
        </w:rPr>
        <w:t>本财务顾问按照诚实信用和勤勉尽责的原则，对</w:t>
      </w:r>
      <w:r>
        <w:rPr>
          <w:rFonts w:hint="eastAsia"/>
          <w:lang w:val="en-US" w:eastAsia="zh-CN"/>
        </w:rPr>
        <w:t>收购人</w:t>
      </w:r>
      <w:r>
        <w:rPr>
          <w:rFonts w:hint="eastAsia"/>
        </w:rPr>
        <w:t>《</w:t>
      </w:r>
      <w:r>
        <w:rPr>
          <w:rFonts w:hint="eastAsia"/>
          <w:lang w:val="en-US" w:eastAsia="zh-CN"/>
        </w:rPr>
        <w:t>收购报告书</w:t>
      </w:r>
      <w:r>
        <w:rPr>
          <w:rFonts w:hint="eastAsia"/>
        </w:rPr>
        <w:t>》</w:t>
      </w:r>
      <w:r>
        <w:rPr>
          <w:rFonts w:hint="eastAsia"/>
          <w:lang w:val="en-US" w:eastAsia="zh-CN"/>
        </w:rPr>
        <w:t>核查后认为</w:t>
      </w:r>
      <w:r>
        <w:rPr>
          <w:rFonts w:hint="eastAsia"/>
        </w:rPr>
        <w:t>，</w:t>
      </w:r>
      <w:r>
        <w:rPr>
          <w:rFonts w:hint="eastAsia"/>
          <w:lang w:val="en-US" w:eastAsia="zh-CN"/>
        </w:rPr>
        <w:t>收购人编制的《收购报告书》符合</w:t>
      </w:r>
      <w:r>
        <w:rPr>
          <w:rFonts w:hint="eastAsia"/>
        </w:rPr>
        <w:t>《证券法》《收购办法》《</w:t>
      </w:r>
      <w:r>
        <w:rPr>
          <w:rFonts w:hint="eastAsia"/>
          <w:lang w:val="en-US" w:eastAsia="zh-CN"/>
        </w:rPr>
        <w:t>准则第16号</w:t>
      </w:r>
      <w:r>
        <w:rPr>
          <w:rFonts w:hint="eastAsia"/>
        </w:rPr>
        <w:t>》</w:t>
      </w:r>
      <w:r>
        <w:rPr>
          <w:rFonts w:hint="eastAsia"/>
          <w:lang w:val="en-US" w:eastAsia="zh-CN"/>
        </w:rPr>
        <w:t>等法律、法规和规章对上市公司收购报告书的信息披露的要求，《收购报告书》所披露的内容真实、准确、完整</w:t>
      </w:r>
      <w:r>
        <w:rPr>
          <w:rFonts w:hint="eastAsia"/>
        </w:rPr>
        <w:t>。</w:t>
      </w:r>
    </w:p>
    <w:p w14:paraId="540F1C85">
      <w:pPr>
        <w:pStyle w:val="25"/>
        <w:spacing w:before="234" w:after="234"/>
      </w:pPr>
      <w:bookmarkStart w:id="23" w:name="_Toc28359"/>
      <w:bookmarkStart w:id="24" w:name="_Toc10166"/>
      <w:bookmarkStart w:id="25" w:name="_Toc7481"/>
      <w:r>
        <w:rPr>
          <w:rFonts w:hint="eastAsia"/>
          <w:lang w:val="en-US" w:eastAsia="zh-CN"/>
        </w:rPr>
        <w:t>二</w:t>
      </w:r>
      <w:r>
        <w:rPr>
          <w:rFonts w:hint="eastAsia"/>
        </w:rPr>
        <w:t>、</w:t>
      </w:r>
      <w:bookmarkEnd w:id="23"/>
      <w:r>
        <w:rPr>
          <w:rFonts w:hint="eastAsia"/>
        </w:rPr>
        <w:t>对</w:t>
      </w:r>
      <w:r>
        <w:rPr>
          <w:rFonts w:hint="eastAsia"/>
          <w:lang w:val="en-US" w:eastAsia="zh-CN"/>
        </w:rPr>
        <w:t>收购</w:t>
      </w:r>
      <w:r>
        <w:rPr>
          <w:rFonts w:hint="eastAsia"/>
        </w:rPr>
        <w:t>人基本情况的核查</w:t>
      </w:r>
      <w:bookmarkEnd w:id="24"/>
      <w:bookmarkEnd w:id="25"/>
    </w:p>
    <w:p w14:paraId="0A63D26A">
      <w:pPr>
        <w:pStyle w:val="21"/>
        <w:spacing w:before="156" w:after="156"/>
      </w:pPr>
      <w:r>
        <w:rPr>
          <w:rFonts w:hint="eastAsia"/>
        </w:rPr>
        <w:t>（一）对</w:t>
      </w:r>
      <w:r>
        <w:rPr>
          <w:rFonts w:hint="eastAsia"/>
          <w:lang w:val="en-US" w:eastAsia="zh-CN"/>
        </w:rPr>
        <w:t>收购</w:t>
      </w:r>
      <w:r>
        <w:rPr>
          <w:rFonts w:hint="eastAsia"/>
        </w:rPr>
        <w:t>人主体资格的核查</w:t>
      </w:r>
    </w:p>
    <w:p w14:paraId="6D1CF17C">
      <w:pPr>
        <w:pStyle w:val="20"/>
        <w:jc w:val="both"/>
      </w:pPr>
      <w:r>
        <w:rPr>
          <w:rFonts w:hint="eastAsia"/>
          <w:lang w:val="en-US" w:eastAsia="zh-CN"/>
        </w:rPr>
        <w:t>经核查，截至本报告书签署日，收购人鼎耘产业的基本信息如下：</w:t>
      </w:r>
    </w:p>
    <w:tbl>
      <w:tblPr>
        <w:tblStyle w:val="13"/>
        <w:tblW w:w="5046"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804"/>
        <w:gridCol w:w="6639"/>
      </w:tblGrid>
      <w:tr w14:paraId="36289B4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23E5089D">
            <w:pPr>
              <w:pStyle w:val="24"/>
              <w:rPr>
                <w:b/>
                <w:bCs/>
              </w:rPr>
            </w:pPr>
            <w:r>
              <w:rPr>
                <w:rFonts w:hint="eastAsia"/>
                <w:b/>
                <w:bCs/>
                <w:lang w:val="en-US" w:eastAsia="zh-CN"/>
              </w:rPr>
              <w:t>企业</w:t>
            </w:r>
            <w:r>
              <w:rPr>
                <w:b/>
                <w:bCs/>
              </w:rPr>
              <w:t>名称</w:t>
            </w:r>
          </w:p>
        </w:tc>
        <w:tc>
          <w:tcPr>
            <w:tcW w:w="3931" w:type="pct"/>
            <w:shd w:val="clear" w:color="auto" w:fill="auto"/>
            <w:vAlign w:val="center"/>
          </w:tcPr>
          <w:p w14:paraId="1EF6375C">
            <w:pPr>
              <w:pStyle w:val="24"/>
            </w:pPr>
            <w:r>
              <w:rPr>
                <w:rFonts w:hint="eastAsia"/>
              </w:rPr>
              <w:t>合肥鼎耘科技产业发展合伙企业（有限合伙）</w:t>
            </w:r>
          </w:p>
        </w:tc>
      </w:tr>
      <w:tr w14:paraId="63CD5AA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46C97E94">
            <w:pPr>
              <w:pStyle w:val="24"/>
              <w:rPr>
                <w:rFonts w:hint="eastAsia" w:eastAsia="宋体"/>
                <w:b/>
                <w:bCs/>
                <w:lang w:val="en-US" w:eastAsia="zh-CN"/>
              </w:rPr>
            </w:pPr>
            <w:r>
              <w:rPr>
                <w:rFonts w:hint="eastAsia"/>
                <w:b/>
                <w:bCs/>
                <w:lang w:val="en-US" w:eastAsia="zh-CN"/>
              </w:rPr>
              <w:t>执行事务合伙人</w:t>
            </w:r>
          </w:p>
        </w:tc>
        <w:tc>
          <w:tcPr>
            <w:tcW w:w="3931" w:type="pct"/>
            <w:shd w:val="clear" w:color="auto" w:fill="auto"/>
            <w:vAlign w:val="center"/>
          </w:tcPr>
          <w:p w14:paraId="7A07B6D6">
            <w:pPr>
              <w:pStyle w:val="24"/>
              <w:rPr>
                <w:rFonts w:hint="eastAsia"/>
                <w:lang w:eastAsia="zh-CN"/>
              </w:rPr>
            </w:pPr>
            <w:r>
              <w:rPr>
                <w:rFonts w:hint="eastAsia"/>
                <w:lang w:eastAsia="zh-CN"/>
              </w:rPr>
              <w:t>合肥鼎耘工业智能科技有限公司</w:t>
            </w:r>
          </w:p>
        </w:tc>
      </w:tr>
      <w:tr w14:paraId="14C256E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1FC1BD2">
            <w:pPr>
              <w:pStyle w:val="24"/>
              <w:rPr>
                <w:rFonts w:hint="eastAsia" w:eastAsia="宋体"/>
                <w:b/>
                <w:bCs/>
                <w:lang w:val="en-US" w:eastAsia="zh-CN"/>
              </w:rPr>
            </w:pPr>
            <w:r>
              <w:rPr>
                <w:rFonts w:hint="eastAsia"/>
                <w:b/>
                <w:bCs/>
                <w:lang w:val="en-US" w:eastAsia="zh-CN"/>
              </w:rPr>
              <w:t>认缴出资额</w:t>
            </w:r>
          </w:p>
        </w:tc>
        <w:tc>
          <w:tcPr>
            <w:tcW w:w="3931" w:type="pct"/>
            <w:shd w:val="clear" w:color="auto" w:fill="auto"/>
            <w:vAlign w:val="center"/>
          </w:tcPr>
          <w:p w14:paraId="0AC6AB21">
            <w:pPr>
              <w:pStyle w:val="24"/>
              <w:rPr>
                <w:rFonts w:hint="default"/>
                <w:vertAlign w:val="superscript"/>
                <w:lang w:val="en-US" w:eastAsia="zh-CN"/>
              </w:rPr>
            </w:pPr>
            <w:r>
              <w:rPr>
                <w:rFonts w:hint="eastAsia"/>
                <w:lang w:val="en-US" w:eastAsia="zh-CN"/>
              </w:rPr>
              <w:t>61,500万元人民币</w:t>
            </w:r>
          </w:p>
        </w:tc>
      </w:tr>
      <w:tr w14:paraId="2BD0FCC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4FDB679D">
            <w:pPr>
              <w:pStyle w:val="24"/>
              <w:rPr>
                <w:b/>
                <w:bCs/>
              </w:rPr>
            </w:pPr>
            <w:r>
              <w:rPr>
                <w:b/>
                <w:bCs/>
              </w:rPr>
              <w:t>统一社会信用代码</w:t>
            </w:r>
          </w:p>
        </w:tc>
        <w:tc>
          <w:tcPr>
            <w:tcW w:w="3931" w:type="pct"/>
            <w:shd w:val="clear" w:color="auto" w:fill="auto"/>
            <w:vAlign w:val="center"/>
          </w:tcPr>
          <w:p w14:paraId="47CF5ADC">
            <w:pPr>
              <w:pStyle w:val="24"/>
              <w:rPr>
                <w:rFonts w:hint="eastAsia"/>
                <w:lang w:val="en-US" w:eastAsia="zh-CN"/>
              </w:rPr>
            </w:pPr>
            <w:r>
              <w:rPr>
                <w:rFonts w:hint="eastAsia"/>
                <w:lang w:val="en-US" w:eastAsia="zh-CN"/>
              </w:rPr>
              <w:t>91340121MAEW2WFM51</w:t>
            </w:r>
          </w:p>
        </w:tc>
      </w:tr>
      <w:tr w14:paraId="683FB6B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95889EB">
            <w:pPr>
              <w:pStyle w:val="24"/>
              <w:rPr>
                <w:b/>
                <w:bCs/>
              </w:rPr>
            </w:pPr>
            <w:r>
              <w:rPr>
                <w:rFonts w:hint="eastAsia"/>
                <w:b/>
                <w:bCs/>
                <w:lang w:val="en-US" w:eastAsia="zh-CN"/>
              </w:rPr>
              <w:t>企业</w:t>
            </w:r>
            <w:r>
              <w:rPr>
                <w:b/>
                <w:bCs/>
              </w:rPr>
              <w:t>类型</w:t>
            </w:r>
          </w:p>
        </w:tc>
        <w:tc>
          <w:tcPr>
            <w:tcW w:w="3931" w:type="pct"/>
            <w:shd w:val="clear" w:color="auto" w:fill="auto"/>
            <w:vAlign w:val="center"/>
          </w:tcPr>
          <w:p w14:paraId="607C990E">
            <w:pPr>
              <w:pStyle w:val="24"/>
              <w:rPr>
                <w:rFonts w:hint="eastAsia"/>
                <w:lang w:eastAsia="zh-CN"/>
              </w:rPr>
            </w:pPr>
            <w:r>
              <w:rPr>
                <w:rFonts w:hint="eastAsia"/>
                <w:lang w:eastAsia="zh-CN"/>
              </w:rPr>
              <w:t>有限合伙企业</w:t>
            </w:r>
          </w:p>
        </w:tc>
      </w:tr>
      <w:tr w14:paraId="0D9B05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1304C9C">
            <w:pPr>
              <w:pStyle w:val="24"/>
              <w:rPr>
                <w:b/>
                <w:bCs/>
              </w:rPr>
            </w:pPr>
            <w:r>
              <w:rPr>
                <w:b/>
                <w:bCs/>
              </w:rPr>
              <w:t>经营范围</w:t>
            </w:r>
          </w:p>
        </w:tc>
        <w:tc>
          <w:tcPr>
            <w:tcW w:w="3931" w:type="pct"/>
            <w:shd w:val="clear" w:color="auto" w:fill="auto"/>
            <w:vAlign w:val="center"/>
          </w:tcPr>
          <w:p w14:paraId="1D94D907">
            <w:pPr>
              <w:pStyle w:val="24"/>
              <w:rPr>
                <w:rFonts w:hint="eastAsia"/>
                <w:lang w:eastAsia="zh-CN"/>
              </w:rPr>
            </w:pPr>
            <w:r>
              <w:rPr>
                <w:rFonts w:hint="eastAsia"/>
                <w:lang w:eastAsia="zh-CN"/>
              </w:rPr>
              <w:t>一般项目：企业管理；企业管理咨询；企业总部管理；技术服务、技术开发、技术咨询、技术交流、技术转让、技术推广（除许可业务外,可自主依法经营法律法规非禁止或限制的项目）</w:t>
            </w:r>
          </w:p>
        </w:tc>
      </w:tr>
      <w:tr w14:paraId="154D1A0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493DAFB6">
            <w:pPr>
              <w:pStyle w:val="24"/>
              <w:rPr>
                <w:b/>
                <w:bCs/>
              </w:rPr>
            </w:pPr>
            <w:r>
              <w:rPr>
                <w:rFonts w:hint="eastAsia"/>
                <w:b/>
                <w:bCs/>
              </w:rPr>
              <w:t>成立日期</w:t>
            </w:r>
          </w:p>
        </w:tc>
        <w:tc>
          <w:tcPr>
            <w:tcW w:w="3931" w:type="pct"/>
            <w:shd w:val="clear" w:color="auto" w:fill="auto"/>
            <w:vAlign w:val="center"/>
          </w:tcPr>
          <w:p w14:paraId="5E0A9B84">
            <w:pPr>
              <w:pStyle w:val="24"/>
              <w:rPr>
                <w:rFonts w:hint="default"/>
                <w:lang w:val="en-US" w:eastAsia="zh-CN"/>
              </w:rPr>
            </w:pPr>
            <w:r>
              <w:rPr>
                <w:rFonts w:hint="eastAsia"/>
                <w:lang w:val="en-US" w:eastAsia="zh-CN"/>
              </w:rPr>
              <w:t>2025年8月27日</w:t>
            </w:r>
          </w:p>
        </w:tc>
      </w:tr>
      <w:tr w14:paraId="272DD9E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4CC721D">
            <w:pPr>
              <w:pStyle w:val="24"/>
              <w:rPr>
                <w:b/>
                <w:bCs/>
              </w:rPr>
            </w:pPr>
            <w:r>
              <w:rPr>
                <w:rFonts w:hint="eastAsia"/>
                <w:b/>
                <w:bCs/>
              </w:rPr>
              <w:t>经营</w:t>
            </w:r>
            <w:r>
              <w:rPr>
                <w:b/>
                <w:bCs/>
              </w:rPr>
              <w:t>期限</w:t>
            </w:r>
          </w:p>
        </w:tc>
        <w:tc>
          <w:tcPr>
            <w:tcW w:w="3931" w:type="pct"/>
            <w:shd w:val="clear" w:color="auto" w:fill="auto"/>
            <w:vAlign w:val="center"/>
          </w:tcPr>
          <w:p w14:paraId="1EB4BE06">
            <w:pPr>
              <w:pStyle w:val="24"/>
              <w:rPr>
                <w:rFonts w:hint="eastAsia"/>
                <w:lang w:eastAsia="zh-CN"/>
              </w:rPr>
            </w:pPr>
            <w:r>
              <w:rPr>
                <w:rFonts w:hint="eastAsia"/>
                <w:lang w:eastAsia="zh-CN"/>
              </w:rPr>
              <w:t>2025</w:t>
            </w:r>
            <w:r>
              <w:rPr>
                <w:rFonts w:hint="eastAsia"/>
                <w:lang w:val="en-US" w:eastAsia="zh-CN"/>
              </w:rPr>
              <w:t>年</w:t>
            </w:r>
            <w:r>
              <w:rPr>
                <w:rFonts w:hint="eastAsia"/>
                <w:lang w:eastAsia="zh-CN"/>
              </w:rPr>
              <w:t>8</w:t>
            </w:r>
            <w:r>
              <w:rPr>
                <w:rFonts w:hint="eastAsia"/>
                <w:lang w:val="en-US" w:eastAsia="zh-CN"/>
              </w:rPr>
              <w:t>月</w:t>
            </w:r>
            <w:r>
              <w:rPr>
                <w:rFonts w:hint="eastAsia"/>
                <w:lang w:eastAsia="zh-CN"/>
              </w:rPr>
              <w:t>27</w:t>
            </w:r>
            <w:r>
              <w:rPr>
                <w:rFonts w:hint="eastAsia"/>
                <w:lang w:val="en-US" w:eastAsia="zh-CN"/>
              </w:rPr>
              <w:t>日</w:t>
            </w:r>
            <w:r>
              <w:rPr>
                <w:rFonts w:hint="eastAsia"/>
                <w:lang w:eastAsia="zh-CN"/>
              </w:rPr>
              <w:t>至2035</w:t>
            </w:r>
            <w:r>
              <w:rPr>
                <w:rFonts w:hint="eastAsia"/>
                <w:lang w:val="en-US" w:eastAsia="zh-CN"/>
              </w:rPr>
              <w:t>年</w:t>
            </w:r>
            <w:r>
              <w:rPr>
                <w:rFonts w:hint="eastAsia"/>
                <w:lang w:eastAsia="zh-CN"/>
              </w:rPr>
              <w:t>8</w:t>
            </w:r>
            <w:r>
              <w:rPr>
                <w:rFonts w:hint="eastAsia"/>
                <w:lang w:val="en-US" w:eastAsia="zh-CN"/>
              </w:rPr>
              <w:t>月</w:t>
            </w:r>
            <w:r>
              <w:rPr>
                <w:rFonts w:hint="eastAsia"/>
                <w:lang w:eastAsia="zh-CN"/>
              </w:rPr>
              <w:t>27</w:t>
            </w:r>
            <w:r>
              <w:rPr>
                <w:rFonts w:hint="eastAsia"/>
                <w:lang w:val="en-US" w:eastAsia="zh-CN"/>
              </w:rPr>
              <w:t>日</w:t>
            </w:r>
          </w:p>
        </w:tc>
      </w:tr>
      <w:tr w14:paraId="14DF857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7E863ED">
            <w:pPr>
              <w:pStyle w:val="24"/>
              <w:rPr>
                <w:b/>
                <w:bCs/>
              </w:rPr>
            </w:pPr>
            <w:r>
              <w:rPr>
                <w:rFonts w:hint="eastAsia"/>
                <w:b/>
                <w:bCs/>
              </w:rPr>
              <w:t>注册地址</w:t>
            </w:r>
          </w:p>
        </w:tc>
        <w:tc>
          <w:tcPr>
            <w:tcW w:w="3931" w:type="pct"/>
            <w:shd w:val="clear" w:color="auto" w:fill="auto"/>
            <w:vAlign w:val="center"/>
          </w:tcPr>
          <w:p w14:paraId="385657F9">
            <w:pPr>
              <w:pStyle w:val="24"/>
              <w:rPr>
                <w:rFonts w:hint="eastAsia"/>
                <w:lang w:eastAsia="zh-CN"/>
              </w:rPr>
            </w:pPr>
            <w:r>
              <w:rPr>
                <w:rFonts w:hint="eastAsia"/>
                <w:lang w:eastAsia="zh-CN"/>
              </w:rPr>
              <w:t>安徽省合肥市长丰县双凤经济开发区梅冲湖路双凤智谷科技园B座6楼</w:t>
            </w:r>
          </w:p>
        </w:tc>
      </w:tr>
      <w:tr w14:paraId="48370EC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AF8EFB3">
            <w:pPr>
              <w:pStyle w:val="24"/>
              <w:rPr>
                <w:b/>
                <w:bCs/>
              </w:rPr>
            </w:pPr>
            <w:r>
              <w:rPr>
                <w:rFonts w:hint="eastAsia"/>
                <w:b/>
                <w:bCs/>
              </w:rPr>
              <w:t>通讯地址</w:t>
            </w:r>
          </w:p>
        </w:tc>
        <w:tc>
          <w:tcPr>
            <w:tcW w:w="3931" w:type="pct"/>
            <w:shd w:val="clear" w:color="auto" w:fill="auto"/>
            <w:vAlign w:val="center"/>
          </w:tcPr>
          <w:p w14:paraId="0E9F252C">
            <w:pPr>
              <w:pStyle w:val="24"/>
              <w:rPr>
                <w:rFonts w:hint="eastAsia"/>
                <w:lang w:eastAsia="zh-CN"/>
              </w:rPr>
            </w:pPr>
            <w:r>
              <w:rPr>
                <w:rFonts w:hint="eastAsia"/>
                <w:lang w:eastAsia="zh-CN"/>
              </w:rPr>
              <w:t>安徽省合肥市长丰县双凤经济开发区梅冲湖路双凤智谷科技园B座6楼</w:t>
            </w:r>
          </w:p>
        </w:tc>
      </w:tr>
    </w:tbl>
    <w:p w14:paraId="31447D83">
      <w:pPr>
        <w:pStyle w:val="20"/>
        <w:spacing w:before="156" w:after="156"/>
        <w:ind w:firstLine="480"/>
        <w:jc w:val="both"/>
      </w:pPr>
      <w:r>
        <w:rPr>
          <w:rFonts w:hint="eastAsia"/>
        </w:rPr>
        <w:t>截至</w:t>
      </w:r>
      <w:r>
        <w:rPr>
          <w:rFonts w:hint="eastAsia"/>
          <w:lang w:val="en-US" w:eastAsia="zh-CN"/>
        </w:rPr>
        <w:t>本报告书</w:t>
      </w:r>
      <w:r>
        <w:rPr>
          <w:rFonts w:hint="eastAsia"/>
        </w:rPr>
        <w:t>签署日，</w:t>
      </w:r>
      <w:r>
        <w:rPr>
          <w:rFonts w:hint="eastAsia"/>
          <w:lang w:val="en-US" w:eastAsia="zh-CN"/>
        </w:rPr>
        <w:t>收购人已出具《关于主体资格的说明》，确认公司</w:t>
      </w:r>
      <w:r>
        <w:rPr>
          <w:rFonts w:hint="eastAsia"/>
        </w:rPr>
        <w:t>不存在《收购办法》第六条规定的不得收购上市公司的情况，并且已经按照《收购办法》第五十条的要求提供相关文件。</w:t>
      </w:r>
    </w:p>
    <w:p w14:paraId="2E0F4ACB">
      <w:pPr>
        <w:pStyle w:val="20"/>
        <w:spacing w:before="156" w:after="156"/>
        <w:ind w:firstLine="480"/>
        <w:jc w:val="both"/>
        <w:rPr>
          <w:rFonts w:hint="eastAsia"/>
        </w:rPr>
      </w:pPr>
      <w:r>
        <w:rPr>
          <w:rFonts w:hint="eastAsia"/>
        </w:rPr>
        <w:t>经核查，本财务顾问认为：截至</w:t>
      </w:r>
      <w:r>
        <w:rPr>
          <w:rFonts w:hint="eastAsia"/>
          <w:lang w:val="en-US" w:eastAsia="zh-CN"/>
        </w:rPr>
        <w:t>本报告书</w:t>
      </w:r>
      <w:r>
        <w:rPr>
          <w:rFonts w:hint="eastAsia"/>
        </w:rPr>
        <w:t>签署日，</w:t>
      </w:r>
      <w:r>
        <w:rPr>
          <w:rFonts w:hint="eastAsia"/>
          <w:lang w:val="en-US" w:eastAsia="zh-CN"/>
        </w:rPr>
        <w:t>收购人</w:t>
      </w:r>
      <w:r>
        <w:rPr>
          <w:rFonts w:hint="eastAsia"/>
        </w:rPr>
        <w:t>系在中华人民共和国境内依法设立并合法存续的主体，不存在《收购办法》第六条规定情形及法律法规禁止收购上市公司的情形，</w:t>
      </w:r>
      <w:r>
        <w:rPr>
          <w:rFonts w:hint="eastAsia"/>
          <w:lang w:val="en-US" w:eastAsia="zh-CN"/>
        </w:rPr>
        <w:t>能够提供《收购办法》第五十条规定的文件，具备本次收购的主体资格</w:t>
      </w:r>
      <w:r>
        <w:rPr>
          <w:rFonts w:hint="eastAsia"/>
        </w:rPr>
        <w:t>。</w:t>
      </w:r>
    </w:p>
    <w:p w14:paraId="442FF441">
      <w:pPr>
        <w:pStyle w:val="21"/>
        <w:bidi w:val="0"/>
        <w:rPr>
          <w:rFonts w:hint="eastAsia"/>
        </w:rPr>
      </w:pPr>
      <w:r>
        <w:rPr>
          <w:rFonts w:hint="eastAsia"/>
          <w:lang w:val="en-US" w:eastAsia="zh-CN"/>
        </w:rPr>
        <w:t>（二）对收购人股权控制关系的核查</w:t>
      </w:r>
    </w:p>
    <w:p w14:paraId="62F683D7">
      <w:pPr>
        <w:pStyle w:val="22"/>
        <w:bidi w:val="0"/>
        <w:rPr>
          <w:rFonts w:hint="eastAsia"/>
          <w:lang w:val="en-US" w:eastAsia="zh-CN"/>
        </w:rPr>
      </w:pPr>
      <w:r>
        <w:rPr>
          <w:rFonts w:hint="eastAsia"/>
          <w:lang w:val="en-US" w:eastAsia="zh-CN"/>
        </w:rPr>
        <w:t>1、收购人的股权结构关系</w:t>
      </w:r>
    </w:p>
    <w:p w14:paraId="424EE11F">
      <w:pPr>
        <w:pStyle w:val="20"/>
        <w:spacing w:before="156" w:after="156"/>
        <w:ind w:firstLine="480"/>
        <w:jc w:val="both"/>
        <w:rPr>
          <w:rFonts w:hint="default"/>
          <w:lang w:val="en-US" w:eastAsia="zh-CN"/>
        </w:rPr>
      </w:pPr>
      <w:r>
        <w:rPr>
          <w:rFonts w:hint="eastAsia"/>
        </w:rPr>
        <w:t>截至本报告书签署日</w:t>
      </w:r>
      <w:r>
        <w:rPr>
          <w:rFonts w:hint="eastAsia"/>
          <w:lang w:eastAsia="zh-CN"/>
        </w:rPr>
        <w:t>，</w:t>
      </w:r>
      <w:r>
        <w:rPr>
          <w:rFonts w:hint="eastAsia"/>
          <w:lang w:val="en-US" w:eastAsia="zh-CN"/>
        </w:rPr>
        <w:t>收购人鼎耘产业的执行事务合伙人为鼎耘工业，实际控制人为李红星先生。</w:t>
      </w:r>
    </w:p>
    <w:p w14:paraId="39DCA952">
      <w:pPr>
        <w:pStyle w:val="20"/>
        <w:spacing w:before="156" w:after="156"/>
        <w:ind w:firstLine="480"/>
        <w:jc w:val="both"/>
      </w:pPr>
      <w:r>
        <w:rPr>
          <w:rFonts w:hint="eastAsia"/>
          <w:lang w:val="en-US" w:eastAsia="zh-CN"/>
        </w:rPr>
        <w:t>收购人的合伙人</w:t>
      </w:r>
      <w:r>
        <w:rPr>
          <w:rFonts w:hint="eastAsia"/>
          <w:lang w:eastAsia="zh-CN"/>
        </w:rPr>
        <w:t>及其出资情况如下：</w:t>
      </w:r>
    </w:p>
    <w:tbl>
      <w:tblPr>
        <w:tblStyle w:val="13"/>
        <w:tblW w:w="0" w:type="auto"/>
        <w:tblInd w:w="0" w:type="dxa"/>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2"/>
        <w:gridCol w:w="4099"/>
        <w:gridCol w:w="1963"/>
        <w:gridCol w:w="1426"/>
      </w:tblGrid>
      <w:tr w14:paraId="517CA416">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1032" w:type="dxa"/>
            <w:tcBorders>
              <w:tl2br w:val="nil"/>
              <w:tr2bl w:val="nil"/>
            </w:tcBorders>
            <w:shd w:val="clear" w:color="auto" w:fill="auto"/>
            <w:vAlign w:val="center"/>
          </w:tcPr>
          <w:p w14:paraId="41849AC6">
            <w:pPr>
              <w:pStyle w:val="24"/>
              <w:bidi w:val="0"/>
              <w:jc w:val="center"/>
              <w:rPr>
                <w:b/>
                <w:bCs/>
              </w:rPr>
            </w:pPr>
            <w:r>
              <w:rPr>
                <w:rFonts w:hint="eastAsia"/>
                <w:b/>
                <w:bCs/>
              </w:rPr>
              <w:t>序号</w:t>
            </w:r>
          </w:p>
        </w:tc>
        <w:tc>
          <w:tcPr>
            <w:tcW w:w="4099" w:type="dxa"/>
            <w:tcBorders>
              <w:tl2br w:val="nil"/>
              <w:tr2bl w:val="nil"/>
            </w:tcBorders>
            <w:shd w:val="clear" w:color="auto" w:fill="auto"/>
            <w:vAlign w:val="center"/>
          </w:tcPr>
          <w:p w14:paraId="78D2B4A4">
            <w:pPr>
              <w:pStyle w:val="24"/>
              <w:bidi w:val="0"/>
              <w:jc w:val="center"/>
              <w:rPr>
                <w:b/>
                <w:bCs/>
              </w:rPr>
            </w:pPr>
            <w:r>
              <w:rPr>
                <w:rFonts w:hint="eastAsia"/>
                <w:b/>
                <w:bCs/>
              </w:rPr>
              <w:t>股东姓名</w:t>
            </w:r>
          </w:p>
        </w:tc>
        <w:tc>
          <w:tcPr>
            <w:tcW w:w="1963" w:type="dxa"/>
            <w:tcBorders>
              <w:tl2br w:val="nil"/>
              <w:tr2bl w:val="nil"/>
            </w:tcBorders>
            <w:shd w:val="clear" w:color="auto" w:fill="auto"/>
            <w:vAlign w:val="center"/>
          </w:tcPr>
          <w:p w14:paraId="132CF3E0">
            <w:pPr>
              <w:pStyle w:val="24"/>
              <w:bidi w:val="0"/>
              <w:jc w:val="center"/>
              <w:rPr>
                <w:rFonts w:hint="eastAsia"/>
                <w:b/>
                <w:bCs/>
              </w:rPr>
            </w:pPr>
            <w:r>
              <w:rPr>
                <w:rFonts w:hint="eastAsia"/>
                <w:b/>
                <w:bCs/>
                <w:lang w:val="en-US" w:eastAsia="zh-CN"/>
              </w:rPr>
              <w:t>认缴出资额（万元）</w:t>
            </w:r>
          </w:p>
        </w:tc>
        <w:tc>
          <w:tcPr>
            <w:tcW w:w="1426" w:type="dxa"/>
            <w:tcBorders>
              <w:tl2br w:val="nil"/>
              <w:tr2bl w:val="nil"/>
            </w:tcBorders>
            <w:shd w:val="clear" w:color="auto" w:fill="auto"/>
            <w:vAlign w:val="center"/>
          </w:tcPr>
          <w:p w14:paraId="770F7F75">
            <w:pPr>
              <w:pStyle w:val="24"/>
              <w:bidi w:val="0"/>
              <w:jc w:val="center"/>
              <w:rPr>
                <w:b/>
                <w:bCs/>
              </w:rPr>
            </w:pPr>
            <w:r>
              <w:rPr>
                <w:rFonts w:hint="eastAsia"/>
                <w:b/>
                <w:bCs/>
              </w:rPr>
              <w:t>持股比例</w:t>
            </w:r>
          </w:p>
        </w:tc>
      </w:tr>
      <w:tr w14:paraId="3FA1AECA">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24010072">
            <w:pPr>
              <w:pStyle w:val="24"/>
              <w:bidi w:val="0"/>
              <w:jc w:val="center"/>
              <w:rPr>
                <w:rFonts w:hint="eastAsia" w:ascii="Times New Roman" w:hAnsi="Times New Roman" w:eastAsia="宋体" w:cs="Times New Roman"/>
                <w:kern w:val="2"/>
                <w:sz w:val="21"/>
                <w:szCs w:val="24"/>
                <w:lang w:val="en-US" w:eastAsia="zh-CN" w:bidi="ar-SA"/>
              </w:rPr>
            </w:pPr>
            <w:bookmarkStart w:id="26" w:name="OLE_LINK1" w:colFirst="3" w:colLast="3"/>
            <w:r>
              <w:rPr>
                <w:rFonts w:hint="eastAsia"/>
                <w:lang w:val="en-US" w:eastAsia="zh-CN"/>
              </w:rPr>
              <w:t>1</w:t>
            </w:r>
          </w:p>
        </w:tc>
        <w:tc>
          <w:tcPr>
            <w:tcW w:w="4099" w:type="dxa"/>
            <w:tcBorders>
              <w:tl2br w:val="nil"/>
              <w:tr2bl w:val="nil"/>
            </w:tcBorders>
            <w:shd w:val="clear" w:color="auto" w:fill="auto"/>
            <w:vAlign w:val="center"/>
          </w:tcPr>
          <w:p w14:paraId="704D889F">
            <w:pPr>
              <w:pStyle w:val="24"/>
              <w:bidi w:val="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合肥鼎耘工业智能科技有限公司</w:t>
            </w:r>
          </w:p>
        </w:tc>
        <w:tc>
          <w:tcPr>
            <w:tcW w:w="1963" w:type="dxa"/>
            <w:tcBorders>
              <w:tl2br w:val="nil"/>
              <w:tr2bl w:val="nil"/>
            </w:tcBorders>
            <w:shd w:val="clear" w:color="auto" w:fill="auto"/>
            <w:vAlign w:val="center"/>
          </w:tcPr>
          <w:p w14:paraId="3516F96B">
            <w:pPr>
              <w:pStyle w:val="24"/>
              <w:bidi w:val="0"/>
              <w:jc w:val="right"/>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500.00</w:t>
            </w:r>
          </w:p>
        </w:tc>
        <w:tc>
          <w:tcPr>
            <w:tcW w:w="1426" w:type="dxa"/>
            <w:tcBorders>
              <w:tl2br w:val="nil"/>
              <w:tr2bl w:val="nil"/>
            </w:tcBorders>
            <w:shd w:val="clear" w:color="auto" w:fill="auto"/>
            <w:vAlign w:val="center"/>
          </w:tcPr>
          <w:p w14:paraId="500539F6">
            <w:pPr>
              <w:pStyle w:val="24"/>
              <w:bidi w:val="0"/>
              <w:jc w:val="right"/>
              <w:rPr>
                <w:rFonts w:hint="default" w:ascii="Times New Roman" w:hAnsi="Times New Roman" w:eastAsia="宋体" w:cs="Times New Roman"/>
                <w:kern w:val="2"/>
                <w:sz w:val="21"/>
                <w:szCs w:val="24"/>
                <w:lang w:val="en-US" w:eastAsia="zh-CN" w:bidi="ar-SA"/>
              </w:rPr>
            </w:pPr>
            <w:r>
              <w:rPr>
                <w:rFonts w:hint="eastAsia"/>
                <w:lang w:val="en-US" w:eastAsia="zh-CN"/>
              </w:rPr>
              <w:t>0.81%</w:t>
            </w:r>
          </w:p>
        </w:tc>
      </w:tr>
      <w:tr w14:paraId="05B77EE6">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09413828">
            <w:pPr>
              <w:pStyle w:val="24"/>
              <w:bidi w:val="0"/>
              <w:jc w:val="center"/>
              <w:rPr>
                <w:rFonts w:hint="default"/>
                <w:lang w:val="en-US" w:eastAsia="zh-CN"/>
              </w:rPr>
            </w:pPr>
            <w:r>
              <w:rPr>
                <w:rFonts w:hint="eastAsia"/>
                <w:lang w:val="en-US" w:eastAsia="zh-CN"/>
              </w:rPr>
              <w:t>2</w:t>
            </w:r>
          </w:p>
        </w:tc>
        <w:tc>
          <w:tcPr>
            <w:tcW w:w="4099" w:type="dxa"/>
            <w:tcBorders>
              <w:tl2br w:val="nil"/>
              <w:tr2bl w:val="nil"/>
            </w:tcBorders>
            <w:shd w:val="clear" w:color="auto" w:fill="auto"/>
            <w:vAlign w:val="center"/>
          </w:tcPr>
          <w:p w14:paraId="6BD27F01">
            <w:pPr>
              <w:pStyle w:val="24"/>
              <w:bidi w:val="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合肥北城建设投资发展控股集团有限公司</w:t>
            </w:r>
          </w:p>
        </w:tc>
        <w:tc>
          <w:tcPr>
            <w:tcW w:w="1963" w:type="dxa"/>
            <w:tcBorders>
              <w:tl2br w:val="nil"/>
              <w:tr2bl w:val="nil"/>
            </w:tcBorders>
            <w:shd w:val="clear" w:color="auto" w:fill="auto"/>
            <w:vAlign w:val="center"/>
          </w:tcPr>
          <w:p w14:paraId="73AF3538">
            <w:pPr>
              <w:pStyle w:val="24"/>
              <w:bidi w:val="0"/>
              <w:jc w:val="right"/>
              <w:rPr>
                <w:rFonts w:hint="eastAsia" w:cs="Times New Roman"/>
                <w:kern w:val="2"/>
                <w:sz w:val="21"/>
                <w:szCs w:val="24"/>
                <w:lang w:val="en-US" w:eastAsia="zh-CN" w:bidi="ar-SA"/>
              </w:rPr>
            </w:pPr>
            <w:r>
              <w:rPr>
                <w:rFonts w:hint="eastAsia" w:cs="Times New Roman"/>
                <w:kern w:val="2"/>
                <w:sz w:val="21"/>
                <w:szCs w:val="24"/>
                <w:lang w:val="en-US" w:eastAsia="zh-CN" w:bidi="ar-SA"/>
              </w:rPr>
              <w:t>55,000</w:t>
            </w:r>
            <w:r>
              <w:rPr>
                <w:rFonts w:hint="eastAsia" w:ascii="Times New Roman" w:hAnsi="Times New Roman" w:eastAsia="宋体" w:cs="Times New Roman"/>
                <w:kern w:val="2"/>
                <w:sz w:val="21"/>
                <w:szCs w:val="24"/>
                <w:lang w:val="en-US" w:eastAsia="zh-CN" w:bidi="ar-SA"/>
              </w:rPr>
              <w:t>.00</w:t>
            </w:r>
          </w:p>
        </w:tc>
        <w:tc>
          <w:tcPr>
            <w:tcW w:w="1426" w:type="dxa"/>
            <w:tcBorders>
              <w:tl2br w:val="nil"/>
              <w:tr2bl w:val="nil"/>
            </w:tcBorders>
            <w:shd w:val="clear" w:color="auto" w:fill="auto"/>
            <w:vAlign w:val="center"/>
          </w:tcPr>
          <w:p w14:paraId="5EE84747">
            <w:pPr>
              <w:pStyle w:val="24"/>
              <w:bidi w:val="0"/>
              <w:jc w:val="right"/>
              <w:rPr>
                <w:rFonts w:hint="eastAsia" w:cs="Times New Roman"/>
                <w:kern w:val="2"/>
                <w:sz w:val="21"/>
                <w:szCs w:val="24"/>
                <w:lang w:val="en-US" w:eastAsia="zh-CN" w:bidi="ar-SA"/>
              </w:rPr>
            </w:pPr>
            <w:r>
              <w:rPr>
                <w:rFonts w:hint="eastAsia"/>
                <w:lang w:val="en-US" w:eastAsia="zh-CN"/>
              </w:rPr>
              <w:t>89.43%</w:t>
            </w:r>
          </w:p>
        </w:tc>
      </w:tr>
      <w:tr w14:paraId="351D8824">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6ED2ED24">
            <w:pPr>
              <w:pStyle w:val="24"/>
              <w:bidi w:val="0"/>
              <w:jc w:val="center"/>
              <w:rPr>
                <w:rFonts w:hint="eastAsia" w:ascii="Times New Roman" w:hAnsi="Times New Roman" w:eastAsia="宋体" w:cs="Times New Roman"/>
                <w:kern w:val="2"/>
                <w:sz w:val="21"/>
                <w:szCs w:val="24"/>
                <w:lang w:val="en-US" w:eastAsia="zh-CN" w:bidi="ar-SA"/>
              </w:rPr>
            </w:pPr>
            <w:r>
              <w:rPr>
                <w:rFonts w:hint="eastAsia"/>
                <w:lang w:val="en-US" w:eastAsia="zh-CN"/>
              </w:rPr>
              <w:t>3</w:t>
            </w:r>
          </w:p>
        </w:tc>
        <w:tc>
          <w:tcPr>
            <w:tcW w:w="4099" w:type="dxa"/>
            <w:tcBorders>
              <w:tl2br w:val="nil"/>
              <w:tr2bl w:val="nil"/>
            </w:tcBorders>
            <w:shd w:val="clear" w:color="auto" w:fill="auto"/>
            <w:vAlign w:val="center"/>
          </w:tcPr>
          <w:p w14:paraId="44D2EF32">
            <w:pPr>
              <w:pStyle w:val="24"/>
              <w:bidi w:val="0"/>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鼎耘投资发展</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海南</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有限公司</w:t>
            </w:r>
          </w:p>
        </w:tc>
        <w:tc>
          <w:tcPr>
            <w:tcW w:w="1963" w:type="dxa"/>
            <w:tcBorders>
              <w:tl2br w:val="nil"/>
              <w:tr2bl w:val="nil"/>
            </w:tcBorders>
            <w:shd w:val="clear" w:color="auto" w:fill="auto"/>
            <w:vAlign w:val="center"/>
          </w:tcPr>
          <w:p w14:paraId="100E2A92">
            <w:pPr>
              <w:pStyle w:val="24"/>
              <w:bidi w:val="0"/>
              <w:jc w:val="right"/>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6,0</w:t>
            </w:r>
            <w:r>
              <w:rPr>
                <w:rFonts w:hint="eastAsia" w:ascii="Times New Roman" w:hAnsi="Times New Roman" w:eastAsia="宋体" w:cs="Times New Roman"/>
                <w:kern w:val="2"/>
                <w:sz w:val="21"/>
                <w:szCs w:val="24"/>
                <w:lang w:val="en-US" w:eastAsia="zh-CN" w:bidi="ar-SA"/>
              </w:rPr>
              <w:t>00.00</w:t>
            </w:r>
          </w:p>
        </w:tc>
        <w:tc>
          <w:tcPr>
            <w:tcW w:w="1426" w:type="dxa"/>
            <w:tcBorders>
              <w:tl2br w:val="nil"/>
              <w:tr2bl w:val="nil"/>
            </w:tcBorders>
            <w:shd w:val="clear" w:color="auto" w:fill="auto"/>
            <w:vAlign w:val="center"/>
          </w:tcPr>
          <w:p w14:paraId="20B7F8ED">
            <w:pPr>
              <w:pStyle w:val="24"/>
              <w:bidi w:val="0"/>
              <w:jc w:val="right"/>
              <w:rPr>
                <w:rFonts w:hint="default" w:ascii="Times New Roman" w:hAnsi="Times New Roman" w:eastAsia="宋体" w:cs="Times New Roman"/>
                <w:kern w:val="2"/>
                <w:sz w:val="21"/>
                <w:szCs w:val="24"/>
                <w:lang w:val="en-US" w:eastAsia="zh-CN" w:bidi="ar-SA"/>
              </w:rPr>
            </w:pPr>
            <w:r>
              <w:rPr>
                <w:rFonts w:hint="eastAsia"/>
                <w:lang w:val="en-US" w:eastAsia="zh-CN"/>
              </w:rPr>
              <w:t>9.76%</w:t>
            </w:r>
          </w:p>
        </w:tc>
      </w:tr>
      <w:bookmarkEnd w:id="26"/>
      <w:tr w14:paraId="0B224474">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5131" w:type="dxa"/>
            <w:gridSpan w:val="2"/>
            <w:tcBorders>
              <w:tl2br w:val="nil"/>
              <w:tr2bl w:val="nil"/>
            </w:tcBorders>
            <w:shd w:val="clear" w:color="auto" w:fill="auto"/>
            <w:vAlign w:val="center"/>
          </w:tcPr>
          <w:p w14:paraId="035A9408">
            <w:pPr>
              <w:pStyle w:val="24"/>
              <w:bidi w:val="0"/>
              <w:jc w:val="center"/>
              <w:rPr>
                <w:b/>
                <w:bCs/>
              </w:rPr>
            </w:pPr>
            <w:r>
              <w:rPr>
                <w:rFonts w:hint="eastAsia"/>
                <w:b/>
                <w:bCs/>
              </w:rPr>
              <w:t>合计</w:t>
            </w:r>
          </w:p>
        </w:tc>
        <w:tc>
          <w:tcPr>
            <w:tcW w:w="1963" w:type="dxa"/>
            <w:tcBorders>
              <w:tl2br w:val="nil"/>
              <w:tr2bl w:val="nil"/>
            </w:tcBorders>
            <w:shd w:val="clear" w:color="auto" w:fill="auto"/>
            <w:vAlign w:val="center"/>
          </w:tcPr>
          <w:p w14:paraId="322E3368">
            <w:pPr>
              <w:pStyle w:val="24"/>
              <w:bidi w:val="0"/>
              <w:jc w:val="right"/>
              <w:rPr>
                <w:rFonts w:hint="default" w:eastAsia="宋体"/>
                <w:b/>
                <w:bCs/>
                <w:lang w:val="en-US" w:eastAsia="zh-CN"/>
              </w:rPr>
            </w:pPr>
            <w:r>
              <w:rPr>
                <w:rFonts w:hint="default" w:eastAsia="宋体"/>
                <w:b/>
                <w:bCs/>
                <w:lang w:val="en-US" w:eastAsia="zh-CN"/>
              </w:rPr>
              <w:t>61,500.00</w:t>
            </w:r>
          </w:p>
        </w:tc>
        <w:tc>
          <w:tcPr>
            <w:tcW w:w="1426" w:type="dxa"/>
            <w:tcBorders>
              <w:tl2br w:val="nil"/>
              <w:tr2bl w:val="nil"/>
            </w:tcBorders>
            <w:shd w:val="clear" w:color="auto" w:fill="auto"/>
            <w:vAlign w:val="center"/>
          </w:tcPr>
          <w:p w14:paraId="63E5B28F">
            <w:pPr>
              <w:pStyle w:val="24"/>
              <w:bidi w:val="0"/>
              <w:jc w:val="right"/>
              <w:rPr>
                <w:rFonts w:hint="default" w:eastAsia="宋体"/>
                <w:b/>
                <w:bCs/>
                <w:lang w:val="en-US" w:eastAsia="zh-CN"/>
              </w:rPr>
            </w:pPr>
            <w:r>
              <w:rPr>
                <w:rFonts w:hint="eastAsia"/>
                <w:b/>
                <w:bCs/>
                <w:lang w:val="en-US" w:eastAsia="zh-CN"/>
              </w:rPr>
              <w:t>100.00%</w:t>
            </w:r>
          </w:p>
        </w:tc>
      </w:tr>
    </w:tbl>
    <w:p w14:paraId="1CA10F96">
      <w:pPr>
        <w:pStyle w:val="20"/>
        <w:bidi w:val="0"/>
      </w:pPr>
      <w:r>
        <w:rPr>
          <w:rFonts w:hint="eastAsia"/>
        </w:rPr>
        <w:t>截至本报告书签署日，</w:t>
      </w:r>
      <w:r>
        <w:rPr>
          <w:rFonts w:hint="eastAsia"/>
          <w:lang w:val="en-US" w:eastAsia="zh-CN"/>
        </w:rPr>
        <w:t>收购人的股权结构如下：</w:t>
      </w:r>
    </w:p>
    <w:p w14:paraId="4E6583E1">
      <w:pPr>
        <w:pStyle w:val="20"/>
        <w:bidi w:val="0"/>
        <w:jc w:val="center"/>
        <w:rPr>
          <w:rFonts w:hint="eastAsia"/>
          <w:lang w:eastAsia="zh-CN"/>
        </w:rPr>
      </w:pPr>
      <w:r>
        <w:drawing>
          <wp:inline distT="0" distB="0" distL="114300" distR="114300">
            <wp:extent cx="5336540" cy="2378710"/>
            <wp:effectExtent l="0" t="0" r="508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1"/>
                    <a:stretch>
                      <a:fillRect/>
                    </a:stretch>
                  </pic:blipFill>
                  <pic:spPr>
                    <a:xfrm>
                      <a:off x="0" y="0"/>
                      <a:ext cx="5336540" cy="2378710"/>
                    </a:xfrm>
                    <a:prstGeom prst="rect">
                      <a:avLst/>
                    </a:prstGeom>
                    <a:noFill/>
                    <a:ln>
                      <a:noFill/>
                    </a:ln>
                  </pic:spPr>
                </pic:pic>
              </a:graphicData>
            </a:graphic>
          </wp:inline>
        </w:drawing>
      </w:r>
    </w:p>
    <w:p w14:paraId="08427A8C">
      <w:pPr>
        <w:pStyle w:val="20"/>
        <w:bidi w:val="0"/>
        <w:jc w:val="both"/>
        <w:rPr>
          <w:rFonts w:hint="eastAsia"/>
          <w:lang w:val="en-US" w:eastAsia="zh-CN"/>
        </w:rPr>
      </w:pPr>
      <w:r>
        <w:rPr>
          <w:rFonts w:hint="eastAsia" w:cs="Times New Roman"/>
          <w:kern w:val="2"/>
          <w:sz w:val="24"/>
          <w:szCs w:val="24"/>
          <w:lang w:val="en-US" w:eastAsia="zh-CN" w:bidi="ar-SA"/>
        </w:rPr>
        <w:t>鼎耘工业作为合伙企业的执行事务合伙人，有权对《合伙协议》约定执行事务合伙人有权独立决定的事项独立作出决定而无需进一步取得其他合伙人的同意，对合伙企业日常经营管理、重大事项决策和执行、重要人员聘免等能够起到实际支配作用，因此鼎耘工业对鼎耘产业拥有实际控制权。</w:t>
      </w:r>
      <w:r>
        <w:rPr>
          <w:rFonts w:hint="eastAsia"/>
          <w:lang w:val="en-US" w:eastAsia="zh-CN"/>
        </w:rPr>
        <w:t>而李红星持有</w:t>
      </w:r>
      <w:r>
        <w:rPr>
          <w:rFonts w:hint="eastAsia" w:cs="Times New Roman"/>
          <w:kern w:val="2"/>
          <w:sz w:val="24"/>
          <w:szCs w:val="24"/>
          <w:lang w:val="en-US" w:eastAsia="zh-CN" w:bidi="ar-SA"/>
        </w:rPr>
        <w:t>鼎耘工业100%股权，因此李红星为鼎耘产业的实际控制人。</w:t>
      </w:r>
    </w:p>
    <w:p w14:paraId="74A1F3E6">
      <w:pPr>
        <w:pStyle w:val="21"/>
        <w:bidi w:val="0"/>
        <w:ind w:firstLine="482" w:firstLineChars="200"/>
        <w:rPr>
          <w:rFonts w:hint="eastAsia"/>
          <w:lang w:val="en-US" w:eastAsia="zh-CN"/>
        </w:rPr>
      </w:pPr>
      <w:r>
        <w:rPr>
          <w:rFonts w:hint="eastAsia"/>
          <w:lang w:val="en-US" w:eastAsia="zh-CN"/>
        </w:rPr>
        <w:t>2、收购人的执行事务合伙人和实际控制人情况</w:t>
      </w:r>
    </w:p>
    <w:p w14:paraId="3F17A952">
      <w:pPr>
        <w:pStyle w:val="22"/>
        <w:bidi w:val="0"/>
        <w:rPr>
          <w:rFonts w:hint="eastAsia"/>
          <w:lang w:val="en-US" w:eastAsia="zh-CN"/>
        </w:rPr>
      </w:pPr>
      <w:r>
        <w:rPr>
          <w:rFonts w:hint="eastAsia"/>
          <w:lang w:val="en-US" w:eastAsia="zh-CN"/>
        </w:rPr>
        <w:t>（1）执行事务合伙人</w:t>
      </w:r>
    </w:p>
    <w:p w14:paraId="72C84FA8">
      <w:pPr>
        <w:pStyle w:val="20"/>
        <w:bidi w:val="0"/>
        <w:jc w:val="both"/>
        <w:rPr>
          <w:rFonts w:hint="eastAsia"/>
          <w:lang w:val="en-US" w:eastAsia="zh-CN"/>
        </w:rPr>
      </w:pPr>
      <w:r>
        <w:rPr>
          <w:rFonts w:hint="eastAsia"/>
          <w:lang w:val="en-US" w:eastAsia="zh-CN"/>
        </w:rPr>
        <w:t>截至本报告书签署日，鼎耘工业为收购人的执行事务合伙人，负责鼎耘产业的日常经营管理，其基本情况如下：</w:t>
      </w:r>
    </w:p>
    <w:tbl>
      <w:tblPr>
        <w:tblStyle w:val="13"/>
        <w:tblW w:w="5046"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804"/>
        <w:gridCol w:w="6639"/>
      </w:tblGrid>
      <w:tr w14:paraId="59DE44F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4A477DE5">
            <w:pPr>
              <w:pStyle w:val="24"/>
              <w:rPr>
                <w:b/>
                <w:bCs/>
              </w:rPr>
            </w:pPr>
            <w:r>
              <w:rPr>
                <w:rFonts w:hint="eastAsia"/>
                <w:b/>
                <w:bCs/>
                <w:lang w:val="en-US" w:eastAsia="zh-CN"/>
              </w:rPr>
              <w:t>企业</w:t>
            </w:r>
            <w:r>
              <w:rPr>
                <w:b/>
                <w:bCs/>
              </w:rPr>
              <w:t>名称</w:t>
            </w:r>
          </w:p>
        </w:tc>
        <w:tc>
          <w:tcPr>
            <w:tcW w:w="3931" w:type="pct"/>
            <w:shd w:val="clear" w:color="auto" w:fill="auto"/>
            <w:vAlign w:val="center"/>
          </w:tcPr>
          <w:p w14:paraId="60BD7CAE">
            <w:pPr>
              <w:pStyle w:val="24"/>
            </w:pPr>
            <w:r>
              <w:rPr>
                <w:rFonts w:hint="eastAsia"/>
              </w:rPr>
              <w:t>合肥鼎耘工业智能科技有限公司</w:t>
            </w:r>
          </w:p>
        </w:tc>
      </w:tr>
      <w:tr w14:paraId="79263B8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689BDF59">
            <w:pPr>
              <w:pStyle w:val="24"/>
              <w:rPr>
                <w:rFonts w:hint="eastAsia" w:eastAsia="宋体"/>
                <w:b/>
                <w:bCs/>
                <w:lang w:val="en-US" w:eastAsia="zh-CN"/>
              </w:rPr>
            </w:pPr>
            <w:r>
              <w:rPr>
                <w:rFonts w:hint="eastAsia"/>
                <w:b/>
                <w:bCs/>
                <w:lang w:val="en-US" w:eastAsia="zh-CN"/>
              </w:rPr>
              <w:t>法定代表人</w:t>
            </w:r>
          </w:p>
        </w:tc>
        <w:tc>
          <w:tcPr>
            <w:tcW w:w="3931" w:type="pct"/>
            <w:shd w:val="clear" w:color="auto" w:fill="auto"/>
            <w:vAlign w:val="center"/>
          </w:tcPr>
          <w:p w14:paraId="3CA76F17">
            <w:pPr>
              <w:pStyle w:val="24"/>
              <w:rPr>
                <w:rFonts w:hint="eastAsia"/>
                <w:lang w:eastAsia="zh-CN"/>
              </w:rPr>
            </w:pPr>
            <w:r>
              <w:rPr>
                <w:rFonts w:hint="eastAsia"/>
                <w:lang w:val="en-US" w:eastAsia="zh-CN"/>
              </w:rPr>
              <w:t>李红星</w:t>
            </w:r>
          </w:p>
        </w:tc>
      </w:tr>
      <w:tr w14:paraId="1279D9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2ABD3CD7">
            <w:pPr>
              <w:pStyle w:val="24"/>
              <w:rPr>
                <w:rFonts w:hint="default" w:eastAsia="宋体"/>
                <w:b/>
                <w:bCs/>
                <w:lang w:val="en-US" w:eastAsia="zh-CN"/>
              </w:rPr>
            </w:pPr>
            <w:r>
              <w:rPr>
                <w:rFonts w:hint="eastAsia"/>
                <w:b/>
                <w:bCs/>
                <w:lang w:val="en-US" w:eastAsia="zh-CN"/>
              </w:rPr>
              <w:t>认缴注册资本</w:t>
            </w:r>
          </w:p>
        </w:tc>
        <w:tc>
          <w:tcPr>
            <w:tcW w:w="3931" w:type="pct"/>
            <w:shd w:val="clear" w:color="auto" w:fill="auto"/>
            <w:vAlign w:val="center"/>
          </w:tcPr>
          <w:p w14:paraId="74EF367B">
            <w:pPr>
              <w:pStyle w:val="24"/>
              <w:rPr>
                <w:rFonts w:hint="default"/>
                <w:lang w:val="en-US" w:eastAsia="zh-CN"/>
              </w:rPr>
            </w:pPr>
            <w:r>
              <w:rPr>
                <w:rFonts w:hint="eastAsia"/>
                <w:lang w:val="en-US" w:eastAsia="zh-CN"/>
              </w:rPr>
              <w:t>500万人民币</w:t>
            </w:r>
          </w:p>
        </w:tc>
      </w:tr>
      <w:tr w14:paraId="29151A2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6FF626F3">
            <w:pPr>
              <w:pStyle w:val="24"/>
              <w:rPr>
                <w:b/>
                <w:bCs/>
              </w:rPr>
            </w:pPr>
            <w:r>
              <w:rPr>
                <w:b/>
                <w:bCs/>
              </w:rPr>
              <w:t>统一社会信用代码</w:t>
            </w:r>
          </w:p>
        </w:tc>
        <w:tc>
          <w:tcPr>
            <w:tcW w:w="3931" w:type="pct"/>
            <w:shd w:val="clear" w:color="auto" w:fill="auto"/>
            <w:vAlign w:val="center"/>
          </w:tcPr>
          <w:p w14:paraId="1A86ECEC">
            <w:pPr>
              <w:pStyle w:val="24"/>
              <w:rPr>
                <w:rFonts w:hint="eastAsia"/>
                <w:lang w:val="en-US" w:eastAsia="zh-CN"/>
              </w:rPr>
            </w:pPr>
            <w:r>
              <w:rPr>
                <w:rFonts w:hint="eastAsia"/>
                <w:lang w:val="en-US" w:eastAsia="zh-CN"/>
              </w:rPr>
              <w:t>91340121MAEN1EYC14</w:t>
            </w:r>
          </w:p>
        </w:tc>
      </w:tr>
      <w:tr w14:paraId="0D9C3CF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38C7B8E">
            <w:pPr>
              <w:pStyle w:val="24"/>
              <w:rPr>
                <w:b/>
                <w:bCs/>
              </w:rPr>
            </w:pPr>
            <w:r>
              <w:rPr>
                <w:rFonts w:hint="eastAsia"/>
                <w:b/>
                <w:bCs/>
                <w:lang w:val="en-US" w:eastAsia="zh-CN"/>
              </w:rPr>
              <w:t>企业</w:t>
            </w:r>
            <w:r>
              <w:rPr>
                <w:b/>
                <w:bCs/>
              </w:rPr>
              <w:t>类型</w:t>
            </w:r>
          </w:p>
        </w:tc>
        <w:tc>
          <w:tcPr>
            <w:tcW w:w="3931" w:type="pct"/>
            <w:shd w:val="clear" w:color="auto" w:fill="auto"/>
            <w:vAlign w:val="center"/>
          </w:tcPr>
          <w:p w14:paraId="10DD7CFF">
            <w:pPr>
              <w:pStyle w:val="24"/>
              <w:rPr>
                <w:rFonts w:hint="eastAsia"/>
                <w:lang w:eastAsia="zh-CN"/>
              </w:rPr>
            </w:pPr>
            <w:r>
              <w:rPr>
                <w:rFonts w:hint="eastAsia"/>
                <w:lang w:eastAsia="zh-CN"/>
              </w:rPr>
              <w:t>其他有限责任公司</w:t>
            </w:r>
          </w:p>
        </w:tc>
      </w:tr>
      <w:tr w14:paraId="186E562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2C66661">
            <w:pPr>
              <w:pStyle w:val="24"/>
              <w:rPr>
                <w:b/>
                <w:bCs/>
              </w:rPr>
            </w:pPr>
            <w:r>
              <w:rPr>
                <w:b/>
                <w:bCs/>
              </w:rPr>
              <w:t>经营范围</w:t>
            </w:r>
          </w:p>
        </w:tc>
        <w:tc>
          <w:tcPr>
            <w:tcW w:w="3931" w:type="pct"/>
            <w:shd w:val="clear" w:color="auto" w:fill="auto"/>
            <w:vAlign w:val="center"/>
          </w:tcPr>
          <w:p w14:paraId="6FBDC36C">
            <w:pPr>
              <w:pStyle w:val="24"/>
              <w:rPr>
                <w:rFonts w:hint="eastAsia"/>
                <w:lang w:eastAsia="zh-CN"/>
              </w:rPr>
            </w:pPr>
            <w:r>
              <w:rPr>
                <w:rFonts w:hint="eastAsia"/>
                <w:lang w:eastAsia="zh-CN"/>
              </w:rPr>
              <w:t>一般项目：人工智能基础软件开发；软件开发；工业自动控制系统装置制造；智能控制系统集成；金属制品研发；金属工具制造；机械零件、零部件加工；智能机器人的研发；工业机器人制造；智能无人飞行器制造；节能管理服务；技术服务、技术开发、技术咨询、技术交流、技术转让、技术推广）除许可业务外，可自主依法经营法律法规非禁止或限制的项目）</w:t>
            </w:r>
          </w:p>
        </w:tc>
      </w:tr>
      <w:tr w14:paraId="1C4CEE8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944E819">
            <w:pPr>
              <w:pStyle w:val="24"/>
              <w:rPr>
                <w:b/>
                <w:bCs/>
              </w:rPr>
            </w:pPr>
            <w:r>
              <w:rPr>
                <w:rFonts w:hint="eastAsia"/>
                <w:b/>
                <w:bCs/>
              </w:rPr>
              <w:t>成立日期</w:t>
            </w:r>
          </w:p>
        </w:tc>
        <w:tc>
          <w:tcPr>
            <w:tcW w:w="3931" w:type="pct"/>
            <w:shd w:val="clear" w:color="auto" w:fill="auto"/>
            <w:vAlign w:val="center"/>
          </w:tcPr>
          <w:p w14:paraId="5BED7638">
            <w:pPr>
              <w:pStyle w:val="24"/>
              <w:rPr>
                <w:rFonts w:hint="default"/>
                <w:lang w:val="en-US" w:eastAsia="zh-CN"/>
              </w:rPr>
            </w:pPr>
            <w:r>
              <w:rPr>
                <w:rFonts w:hint="eastAsia"/>
                <w:lang w:val="en-US" w:eastAsia="zh-CN"/>
              </w:rPr>
              <w:t>2025年6月11日</w:t>
            </w:r>
          </w:p>
        </w:tc>
      </w:tr>
      <w:tr w14:paraId="788FAE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6C12208">
            <w:pPr>
              <w:pStyle w:val="24"/>
              <w:rPr>
                <w:b/>
                <w:bCs/>
              </w:rPr>
            </w:pPr>
            <w:r>
              <w:rPr>
                <w:rFonts w:hint="eastAsia"/>
                <w:b/>
                <w:bCs/>
              </w:rPr>
              <w:t>经营</w:t>
            </w:r>
            <w:r>
              <w:rPr>
                <w:b/>
                <w:bCs/>
              </w:rPr>
              <w:t>期限</w:t>
            </w:r>
          </w:p>
        </w:tc>
        <w:tc>
          <w:tcPr>
            <w:tcW w:w="3931" w:type="pct"/>
            <w:shd w:val="clear" w:color="auto" w:fill="auto"/>
            <w:vAlign w:val="center"/>
          </w:tcPr>
          <w:p w14:paraId="39C617C0">
            <w:pPr>
              <w:pStyle w:val="24"/>
              <w:rPr>
                <w:rFonts w:hint="eastAsia"/>
                <w:lang w:eastAsia="zh-CN"/>
              </w:rPr>
            </w:pPr>
            <w:r>
              <w:rPr>
                <w:rFonts w:hint="eastAsia"/>
                <w:lang w:eastAsia="zh-CN"/>
              </w:rPr>
              <w:t>2025</w:t>
            </w:r>
            <w:r>
              <w:rPr>
                <w:rFonts w:hint="eastAsia"/>
                <w:lang w:val="en-US" w:eastAsia="zh-CN"/>
              </w:rPr>
              <w:t>年6月</w:t>
            </w:r>
            <w:r>
              <w:rPr>
                <w:rFonts w:hint="eastAsia"/>
                <w:lang w:eastAsia="zh-CN"/>
              </w:rPr>
              <w:t>11</w:t>
            </w:r>
            <w:r>
              <w:rPr>
                <w:rFonts w:hint="eastAsia"/>
                <w:lang w:val="en-US" w:eastAsia="zh-CN"/>
              </w:rPr>
              <w:t>日</w:t>
            </w:r>
            <w:r>
              <w:rPr>
                <w:rFonts w:hint="eastAsia"/>
                <w:lang w:eastAsia="zh-CN"/>
              </w:rPr>
              <w:t>至无固定日期</w:t>
            </w:r>
          </w:p>
        </w:tc>
      </w:tr>
      <w:tr w14:paraId="78247BF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5448A65">
            <w:pPr>
              <w:pStyle w:val="24"/>
              <w:rPr>
                <w:b/>
                <w:bCs/>
              </w:rPr>
            </w:pPr>
            <w:r>
              <w:rPr>
                <w:rFonts w:hint="eastAsia"/>
                <w:b/>
                <w:bCs/>
              </w:rPr>
              <w:t>注册地址</w:t>
            </w:r>
          </w:p>
        </w:tc>
        <w:tc>
          <w:tcPr>
            <w:tcW w:w="3931" w:type="pct"/>
            <w:shd w:val="clear" w:color="auto" w:fill="auto"/>
            <w:vAlign w:val="center"/>
          </w:tcPr>
          <w:p w14:paraId="4BEEE622">
            <w:pPr>
              <w:pStyle w:val="24"/>
              <w:rPr>
                <w:rFonts w:hint="eastAsia"/>
                <w:lang w:eastAsia="zh-CN"/>
              </w:rPr>
            </w:pPr>
            <w:r>
              <w:rPr>
                <w:rFonts w:hint="eastAsia"/>
                <w:lang w:eastAsia="zh-CN"/>
              </w:rPr>
              <w:t>安徽省合肥市长丰县双凤经济开发区梅冲湖路双凤智谷科技园B座6楼</w:t>
            </w:r>
          </w:p>
        </w:tc>
      </w:tr>
      <w:tr w14:paraId="7C635FD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6B742C0">
            <w:pPr>
              <w:pStyle w:val="24"/>
              <w:rPr>
                <w:b/>
                <w:bCs/>
              </w:rPr>
            </w:pPr>
            <w:r>
              <w:rPr>
                <w:rFonts w:hint="eastAsia"/>
                <w:b/>
                <w:bCs/>
              </w:rPr>
              <w:t>通讯地址</w:t>
            </w:r>
          </w:p>
        </w:tc>
        <w:tc>
          <w:tcPr>
            <w:tcW w:w="3931" w:type="pct"/>
            <w:shd w:val="clear" w:color="auto" w:fill="auto"/>
            <w:vAlign w:val="center"/>
          </w:tcPr>
          <w:p w14:paraId="479F3FDA">
            <w:pPr>
              <w:pStyle w:val="24"/>
              <w:rPr>
                <w:rFonts w:hint="eastAsia"/>
                <w:lang w:eastAsia="zh-CN"/>
              </w:rPr>
            </w:pPr>
            <w:r>
              <w:rPr>
                <w:rFonts w:hint="eastAsia"/>
                <w:lang w:eastAsia="zh-CN"/>
              </w:rPr>
              <w:t>安徽省合肥市长丰县双凤经济开发区梅冲湖路双凤智谷科技园B座6楼</w:t>
            </w:r>
          </w:p>
        </w:tc>
      </w:tr>
    </w:tbl>
    <w:p w14:paraId="48319A9B">
      <w:pPr>
        <w:pStyle w:val="22"/>
        <w:bidi w:val="0"/>
        <w:rPr>
          <w:rFonts w:hint="eastAsia"/>
          <w:lang w:val="en-US" w:eastAsia="zh-CN"/>
        </w:rPr>
      </w:pPr>
      <w:r>
        <w:rPr>
          <w:rFonts w:hint="eastAsia"/>
          <w:lang w:val="en-US" w:eastAsia="zh-CN"/>
        </w:rPr>
        <w:t>（2）实际控制人</w:t>
      </w:r>
    </w:p>
    <w:p w14:paraId="7201E8FB">
      <w:pPr>
        <w:pStyle w:val="20"/>
        <w:bidi w:val="0"/>
        <w:jc w:val="both"/>
        <w:rPr>
          <w:rFonts w:hint="eastAsia"/>
          <w:lang w:val="en-US" w:eastAsia="zh-CN"/>
        </w:rPr>
      </w:pPr>
      <w:r>
        <w:rPr>
          <w:rFonts w:hint="eastAsia"/>
          <w:lang w:val="en-US" w:eastAsia="zh-CN"/>
        </w:rPr>
        <w:t>截至本报告书签署日，李红星先生为收购人的实际控制人，其基本情况如下：</w:t>
      </w:r>
    </w:p>
    <w:tbl>
      <w:tblPr>
        <w:tblStyle w:val="13"/>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019"/>
        <w:gridCol w:w="934"/>
        <w:gridCol w:w="988"/>
        <w:gridCol w:w="2332"/>
        <w:gridCol w:w="1405"/>
        <w:gridCol w:w="1844"/>
      </w:tblGrid>
      <w:tr w14:paraId="3A2F13A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PrEx>
        <w:trPr>
          <w:trHeight w:val="397" w:hRule="atLeast"/>
        </w:trPr>
        <w:tc>
          <w:tcPr>
            <w:tcW w:w="597" w:type="pct"/>
            <w:shd w:val="clear" w:color="auto" w:fill="auto"/>
            <w:vAlign w:val="center"/>
          </w:tcPr>
          <w:p w14:paraId="630B117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姓名</w:t>
            </w:r>
          </w:p>
        </w:tc>
        <w:tc>
          <w:tcPr>
            <w:tcW w:w="547" w:type="pct"/>
            <w:shd w:val="clear" w:color="auto" w:fill="auto"/>
            <w:vAlign w:val="center"/>
          </w:tcPr>
          <w:p w14:paraId="6FDB22C7">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kern w:val="0"/>
                <w:sz w:val="21"/>
                <w:szCs w:val="21"/>
                <w:u w:val="none"/>
                <w:lang w:val="en-US" w:eastAsia="zh-CN" w:bidi="ar"/>
              </w:rPr>
            </w:pPr>
            <w:r>
              <w:rPr>
                <w:rFonts w:hint="eastAsia" w:cs="Times New Roman"/>
                <w:b/>
                <w:bCs/>
                <w:i w:val="0"/>
                <w:iCs w:val="0"/>
                <w:color w:val="333333"/>
                <w:kern w:val="0"/>
                <w:sz w:val="21"/>
                <w:szCs w:val="21"/>
                <w:u w:val="none"/>
                <w:lang w:val="en-US" w:eastAsia="zh-CN" w:bidi="ar"/>
              </w:rPr>
              <w:t>曾用名</w:t>
            </w:r>
          </w:p>
        </w:tc>
        <w:tc>
          <w:tcPr>
            <w:tcW w:w="579" w:type="pct"/>
            <w:shd w:val="clear" w:color="auto" w:fill="auto"/>
            <w:vAlign w:val="center"/>
          </w:tcPr>
          <w:p w14:paraId="608B9CC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国籍</w:t>
            </w:r>
          </w:p>
        </w:tc>
        <w:tc>
          <w:tcPr>
            <w:tcW w:w="1368" w:type="pct"/>
            <w:shd w:val="clear" w:color="auto" w:fill="auto"/>
            <w:vAlign w:val="center"/>
          </w:tcPr>
          <w:p w14:paraId="5DE8508C">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证件号码</w:t>
            </w:r>
          </w:p>
        </w:tc>
        <w:tc>
          <w:tcPr>
            <w:tcW w:w="824" w:type="pct"/>
            <w:shd w:val="clear" w:color="auto" w:fill="auto"/>
            <w:vAlign w:val="center"/>
          </w:tcPr>
          <w:p w14:paraId="2804740B">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lang w:val="en-US" w:eastAsia="zh-CN"/>
              </w:rPr>
            </w:pPr>
            <w:r>
              <w:rPr>
                <w:rFonts w:hint="eastAsia" w:cs="Times New Roman"/>
                <w:b/>
                <w:bCs/>
                <w:i w:val="0"/>
                <w:iCs w:val="0"/>
                <w:color w:val="333333"/>
                <w:sz w:val="21"/>
                <w:szCs w:val="21"/>
                <w:u w:val="none"/>
                <w:lang w:val="en-US" w:eastAsia="zh-CN"/>
              </w:rPr>
              <w:t>住所地</w:t>
            </w:r>
          </w:p>
        </w:tc>
        <w:tc>
          <w:tcPr>
            <w:tcW w:w="1081" w:type="pct"/>
            <w:shd w:val="clear" w:color="auto" w:fill="auto"/>
            <w:vAlign w:val="center"/>
          </w:tcPr>
          <w:p w14:paraId="7A7B4B1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是否取得其他国家或地区居留权</w:t>
            </w:r>
          </w:p>
        </w:tc>
      </w:tr>
      <w:tr w14:paraId="2BA48D3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597" w:type="pct"/>
            <w:shd w:val="clear" w:color="auto" w:fill="auto"/>
            <w:vAlign w:val="center"/>
          </w:tcPr>
          <w:p w14:paraId="0A9F08A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李红星</w:t>
            </w:r>
          </w:p>
        </w:tc>
        <w:tc>
          <w:tcPr>
            <w:tcW w:w="547" w:type="pct"/>
            <w:shd w:val="clear" w:color="auto" w:fill="auto"/>
            <w:vAlign w:val="center"/>
          </w:tcPr>
          <w:p w14:paraId="2B23BB4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无</w:t>
            </w:r>
          </w:p>
        </w:tc>
        <w:tc>
          <w:tcPr>
            <w:tcW w:w="579" w:type="pct"/>
            <w:shd w:val="clear" w:color="auto" w:fill="auto"/>
            <w:vAlign w:val="center"/>
          </w:tcPr>
          <w:p w14:paraId="4B2467A9">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中国</w:t>
            </w:r>
          </w:p>
        </w:tc>
        <w:tc>
          <w:tcPr>
            <w:tcW w:w="1368" w:type="pct"/>
            <w:shd w:val="clear" w:color="auto" w:fill="auto"/>
            <w:vAlign w:val="center"/>
          </w:tcPr>
          <w:p w14:paraId="3E12B37C">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342101</w:t>
            </w:r>
            <w:r>
              <w:rPr>
                <w:rFonts w:hint="eastAsia" w:cs="Times New Roman"/>
                <w:i w:val="0"/>
                <w:iCs w:val="0"/>
                <w:color w:val="333333"/>
                <w:kern w:val="0"/>
                <w:sz w:val="21"/>
                <w:szCs w:val="21"/>
                <w:u w:val="none"/>
                <w:lang w:val="en-US" w:eastAsia="zh-CN" w:bidi="ar"/>
              </w:rPr>
              <w:t>1974</w:t>
            </w:r>
            <w:r>
              <w:rPr>
                <w:rFonts w:hint="default" w:ascii="Times New Roman" w:hAnsi="Times New Roman" w:eastAsia="宋体" w:cs="Times New Roman"/>
                <w:i w:val="0"/>
                <w:iCs w:val="0"/>
                <w:color w:val="333333"/>
                <w:kern w:val="0"/>
                <w:sz w:val="21"/>
                <w:szCs w:val="21"/>
                <w:u w:val="none"/>
                <w:lang w:val="en-US" w:eastAsia="zh-CN" w:bidi="ar"/>
              </w:rPr>
              <w:t>********</w:t>
            </w:r>
          </w:p>
        </w:tc>
        <w:tc>
          <w:tcPr>
            <w:tcW w:w="824" w:type="pct"/>
            <w:shd w:val="clear" w:color="auto" w:fill="auto"/>
            <w:vAlign w:val="center"/>
          </w:tcPr>
          <w:p w14:paraId="490953A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lang w:val="en-US"/>
              </w:rPr>
            </w:pPr>
            <w:r>
              <w:rPr>
                <w:rFonts w:hint="default" w:ascii="Times New Roman" w:hAnsi="Times New Roman" w:eastAsia="宋体" w:cs="Times New Roman"/>
                <w:i w:val="0"/>
                <w:iCs w:val="0"/>
                <w:color w:val="333333"/>
                <w:kern w:val="0"/>
                <w:sz w:val="21"/>
                <w:szCs w:val="21"/>
                <w:u w:val="none"/>
                <w:lang w:val="en-US" w:eastAsia="zh-CN" w:bidi="ar"/>
              </w:rPr>
              <w:t>上海</w:t>
            </w:r>
            <w:r>
              <w:rPr>
                <w:rFonts w:hint="eastAsia" w:cs="Times New Roman"/>
                <w:i w:val="0"/>
                <w:iCs w:val="0"/>
                <w:color w:val="333333"/>
                <w:kern w:val="0"/>
                <w:sz w:val="21"/>
                <w:szCs w:val="21"/>
                <w:u w:val="none"/>
                <w:lang w:val="en-US" w:eastAsia="zh-CN" w:bidi="ar"/>
              </w:rPr>
              <w:t>市</w:t>
            </w:r>
          </w:p>
        </w:tc>
        <w:tc>
          <w:tcPr>
            <w:tcW w:w="1081" w:type="pct"/>
            <w:shd w:val="clear" w:color="auto" w:fill="auto"/>
            <w:vAlign w:val="center"/>
          </w:tcPr>
          <w:p w14:paraId="3141D007">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否</w:t>
            </w:r>
          </w:p>
        </w:tc>
      </w:tr>
    </w:tbl>
    <w:p w14:paraId="63BA8B74">
      <w:pPr>
        <w:pStyle w:val="20"/>
        <w:bidi w:val="0"/>
        <w:jc w:val="both"/>
      </w:pPr>
      <w:r>
        <w:rPr>
          <w:rFonts w:hint="eastAsia"/>
          <w:lang w:val="en-US" w:eastAsia="zh-CN"/>
        </w:rPr>
        <w:t>李红星先生简历如下：</w:t>
      </w:r>
    </w:p>
    <w:p w14:paraId="05357A24">
      <w:pPr>
        <w:pStyle w:val="20"/>
        <w:bidi w:val="0"/>
        <w:jc w:val="both"/>
        <w:rPr>
          <w:rFonts w:hint="eastAsia"/>
          <w:lang w:val="en-US" w:eastAsia="zh-CN"/>
        </w:rPr>
      </w:pPr>
      <w:r>
        <w:rPr>
          <w:rFonts w:hint="eastAsia"/>
          <w:lang w:val="en-US" w:eastAsia="zh-CN"/>
        </w:rPr>
        <w:t>李红星先生，法学学士学位，注册会计师。曾任平安证券有限责任公司投资银行一部执行总经理、中国银河证券股份有限公司投资银行总部董事总经理等职务。现任四川汇源光通信股份有限公司董事长、北京鼎耘资产管理有限公司董事兼总经理、北京鼎耘科技发展有限公司董事兼总经理、湖北芯映光电有限公司董事长等职务。</w:t>
      </w:r>
    </w:p>
    <w:p w14:paraId="19968664">
      <w:pPr>
        <w:pStyle w:val="20"/>
        <w:bidi w:val="0"/>
        <w:jc w:val="both"/>
        <w:rPr>
          <w:rFonts w:hint="default"/>
          <w:lang w:val="en-US" w:eastAsia="zh-CN"/>
        </w:rPr>
      </w:pPr>
      <w:r>
        <w:rPr>
          <w:rFonts w:hint="eastAsia"/>
          <w:lang w:val="en-US" w:eastAsia="zh-CN"/>
        </w:rPr>
        <w:t>截至本报告书签署日，李红星在其他公司的主要任职情况如下：</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26"/>
        <w:gridCol w:w="4108"/>
        <w:gridCol w:w="3028"/>
      </w:tblGrid>
      <w:tr w14:paraId="3EB287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blHeader/>
          <w:jc w:val="center"/>
        </w:trPr>
        <w:tc>
          <w:tcPr>
            <w:tcW w:w="733" w:type="pct"/>
            <w:tcBorders>
              <w:tl2br w:val="nil"/>
              <w:tr2bl w:val="nil"/>
            </w:tcBorders>
            <w:vAlign w:val="center"/>
          </w:tcPr>
          <w:p w14:paraId="0A55C871">
            <w:pPr>
              <w:pStyle w:val="24"/>
              <w:bidi w:val="0"/>
              <w:jc w:val="center"/>
              <w:rPr>
                <w:b/>
                <w:bCs/>
              </w:rPr>
            </w:pPr>
            <w:r>
              <w:rPr>
                <w:b/>
                <w:bCs/>
              </w:rPr>
              <w:t>董监高姓名</w:t>
            </w:r>
          </w:p>
        </w:tc>
        <w:tc>
          <w:tcPr>
            <w:tcW w:w="2456" w:type="pct"/>
            <w:tcBorders>
              <w:tl2br w:val="nil"/>
              <w:tr2bl w:val="nil"/>
            </w:tcBorders>
            <w:vAlign w:val="center"/>
          </w:tcPr>
          <w:p w14:paraId="3EDA8A4F">
            <w:pPr>
              <w:pStyle w:val="24"/>
              <w:bidi w:val="0"/>
              <w:jc w:val="center"/>
              <w:rPr>
                <w:b/>
                <w:bCs/>
              </w:rPr>
            </w:pPr>
            <w:r>
              <w:rPr>
                <w:b/>
                <w:bCs/>
              </w:rPr>
              <w:t>其他单位名称</w:t>
            </w:r>
          </w:p>
        </w:tc>
        <w:tc>
          <w:tcPr>
            <w:tcW w:w="1810" w:type="pct"/>
            <w:tcBorders>
              <w:tl2br w:val="nil"/>
              <w:tr2bl w:val="nil"/>
            </w:tcBorders>
            <w:vAlign w:val="center"/>
          </w:tcPr>
          <w:p w14:paraId="46630969">
            <w:pPr>
              <w:pStyle w:val="24"/>
              <w:bidi w:val="0"/>
              <w:jc w:val="center"/>
              <w:rPr>
                <w:b/>
                <w:bCs/>
              </w:rPr>
            </w:pPr>
            <w:r>
              <w:rPr>
                <w:b/>
                <w:bCs/>
              </w:rPr>
              <w:t>在其他单位担任的职务</w:t>
            </w:r>
          </w:p>
        </w:tc>
      </w:tr>
      <w:tr w14:paraId="23A0F26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restart"/>
            <w:tcBorders>
              <w:tl2br w:val="nil"/>
              <w:tr2bl w:val="nil"/>
            </w:tcBorders>
            <w:vAlign w:val="center"/>
          </w:tcPr>
          <w:p w14:paraId="6F214E2C">
            <w:pPr>
              <w:pStyle w:val="24"/>
              <w:bidi w:val="0"/>
            </w:pPr>
            <w:r>
              <w:rPr>
                <w:rFonts w:hint="eastAsia"/>
              </w:rPr>
              <w:t>李红星</w:t>
            </w:r>
          </w:p>
        </w:tc>
        <w:tc>
          <w:tcPr>
            <w:tcW w:w="2456" w:type="pct"/>
            <w:tcBorders>
              <w:tl2br w:val="nil"/>
              <w:tr2bl w:val="nil"/>
            </w:tcBorders>
            <w:vAlign w:val="center"/>
          </w:tcPr>
          <w:p w14:paraId="20B634C0">
            <w:pPr>
              <w:pStyle w:val="24"/>
              <w:bidi w:val="0"/>
              <w:rPr>
                <w:rFonts w:hint="eastAsia"/>
              </w:rPr>
            </w:pPr>
            <w:r>
              <w:rPr>
                <w:rFonts w:hint="eastAsia"/>
              </w:rPr>
              <w:t>四川汇源光通信股份有限公司</w:t>
            </w:r>
          </w:p>
        </w:tc>
        <w:tc>
          <w:tcPr>
            <w:tcW w:w="1810" w:type="pct"/>
            <w:tcBorders>
              <w:tl2br w:val="nil"/>
              <w:tr2bl w:val="nil"/>
            </w:tcBorders>
            <w:vAlign w:val="center"/>
          </w:tcPr>
          <w:p w14:paraId="47B1CFA3">
            <w:pPr>
              <w:pStyle w:val="24"/>
              <w:bidi w:val="0"/>
              <w:rPr>
                <w:rFonts w:hint="eastAsia"/>
              </w:rPr>
            </w:pPr>
            <w:r>
              <w:rPr>
                <w:rFonts w:hint="eastAsia"/>
              </w:rPr>
              <w:t>董事长</w:t>
            </w:r>
          </w:p>
        </w:tc>
      </w:tr>
      <w:tr w14:paraId="5E6980B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continue"/>
            <w:tcBorders>
              <w:tl2br w:val="nil"/>
              <w:tr2bl w:val="nil"/>
            </w:tcBorders>
            <w:vAlign w:val="center"/>
          </w:tcPr>
          <w:p w14:paraId="5028CDF6">
            <w:pPr>
              <w:pStyle w:val="24"/>
              <w:bidi w:val="0"/>
            </w:pPr>
          </w:p>
        </w:tc>
        <w:tc>
          <w:tcPr>
            <w:tcW w:w="2456" w:type="pct"/>
            <w:tcBorders>
              <w:tl2br w:val="nil"/>
              <w:tr2bl w:val="nil"/>
            </w:tcBorders>
            <w:shd w:val="clear" w:color="auto" w:fill="auto"/>
            <w:vAlign w:val="center"/>
          </w:tcPr>
          <w:p w14:paraId="341F818C">
            <w:pPr>
              <w:pStyle w:val="24"/>
              <w:bidi w:val="0"/>
              <w:rPr>
                <w:rFonts w:hint="eastAsia" w:ascii="Times New Roman" w:hAnsi="Times New Roman" w:eastAsia="宋体" w:cs="Times New Roman"/>
                <w:kern w:val="2"/>
                <w:sz w:val="21"/>
                <w:szCs w:val="24"/>
                <w:lang w:val="en-US" w:eastAsia="zh-CN" w:bidi="ar-SA"/>
              </w:rPr>
            </w:pPr>
            <w:r>
              <w:rPr>
                <w:rFonts w:hint="eastAsia"/>
              </w:rPr>
              <w:t>北京鼎耘资产管理有限公司</w:t>
            </w:r>
          </w:p>
        </w:tc>
        <w:tc>
          <w:tcPr>
            <w:tcW w:w="1810" w:type="pct"/>
            <w:tcBorders>
              <w:tl2br w:val="nil"/>
              <w:tr2bl w:val="nil"/>
            </w:tcBorders>
            <w:shd w:val="clear" w:color="auto" w:fill="auto"/>
            <w:vAlign w:val="center"/>
          </w:tcPr>
          <w:p w14:paraId="2358C5CC">
            <w:pPr>
              <w:pStyle w:val="24"/>
              <w:bidi w:val="0"/>
              <w:rPr>
                <w:rFonts w:hint="eastAsia" w:ascii="Times New Roman" w:hAnsi="Times New Roman" w:eastAsia="宋体" w:cs="Times New Roman"/>
                <w:kern w:val="2"/>
                <w:sz w:val="21"/>
                <w:szCs w:val="24"/>
                <w:lang w:val="en-US" w:eastAsia="zh-CN" w:bidi="ar-SA"/>
              </w:rPr>
            </w:pPr>
            <w:r>
              <w:rPr>
                <w:rFonts w:hint="eastAsia"/>
              </w:rPr>
              <w:t>执行董事</w:t>
            </w:r>
            <w:r>
              <w:rPr>
                <w:rFonts w:hint="eastAsia"/>
                <w:lang w:eastAsia="zh-CN"/>
              </w:rPr>
              <w:t>、</w:t>
            </w:r>
            <w:r>
              <w:rPr>
                <w:rFonts w:hint="eastAsia"/>
              </w:rPr>
              <w:t>经理</w:t>
            </w:r>
          </w:p>
        </w:tc>
      </w:tr>
      <w:tr w14:paraId="7B7B036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continue"/>
            <w:tcBorders>
              <w:tl2br w:val="nil"/>
              <w:tr2bl w:val="nil"/>
            </w:tcBorders>
            <w:vAlign w:val="center"/>
          </w:tcPr>
          <w:p w14:paraId="148E9616">
            <w:pPr>
              <w:pStyle w:val="24"/>
              <w:bidi w:val="0"/>
            </w:pPr>
          </w:p>
        </w:tc>
        <w:tc>
          <w:tcPr>
            <w:tcW w:w="2456" w:type="pct"/>
            <w:tcBorders>
              <w:tl2br w:val="nil"/>
              <w:tr2bl w:val="nil"/>
            </w:tcBorders>
            <w:vAlign w:val="center"/>
          </w:tcPr>
          <w:p w14:paraId="25F34041">
            <w:pPr>
              <w:pStyle w:val="24"/>
              <w:bidi w:val="0"/>
            </w:pPr>
            <w:r>
              <w:rPr>
                <w:rFonts w:hint="eastAsia"/>
              </w:rPr>
              <w:t>北京鼎耘科技发展有限公司</w:t>
            </w:r>
          </w:p>
        </w:tc>
        <w:tc>
          <w:tcPr>
            <w:tcW w:w="1810" w:type="pct"/>
            <w:tcBorders>
              <w:tl2br w:val="nil"/>
              <w:tr2bl w:val="nil"/>
            </w:tcBorders>
            <w:vAlign w:val="center"/>
          </w:tcPr>
          <w:p w14:paraId="7E396AFD">
            <w:pPr>
              <w:pStyle w:val="24"/>
              <w:bidi w:val="0"/>
            </w:pPr>
            <w:r>
              <w:t>执行董事</w:t>
            </w:r>
            <w:r>
              <w:rPr>
                <w:rFonts w:hint="eastAsia"/>
                <w:lang w:eastAsia="zh-CN"/>
              </w:rPr>
              <w:t>、</w:t>
            </w:r>
            <w:r>
              <w:t>经理</w:t>
            </w:r>
          </w:p>
        </w:tc>
      </w:tr>
      <w:tr w14:paraId="219E500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continue"/>
            <w:tcBorders>
              <w:tl2br w:val="nil"/>
              <w:tr2bl w:val="nil"/>
            </w:tcBorders>
            <w:vAlign w:val="center"/>
          </w:tcPr>
          <w:p w14:paraId="71346CB3">
            <w:pPr>
              <w:pStyle w:val="24"/>
              <w:bidi w:val="0"/>
              <w:rPr>
                <w:rFonts w:hint="eastAsia"/>
              </w:rPr>
            </w:pPr>
          </w:p>
        </w:tc>
        <w:tc>
          <w:tcPr>
            <w:tcW w:w="2456" w:type="pct"/>
            <w:tcBorders>
              <w:tl2br w:val="nil"/>
              <w:tr2bl w:val="nil"/>
            </w:tcBorders>
            <w:vAlign w:val="center"/>
          </w:tcPr>
          <w:p w14:paraId="631C8227">
            <w:pPr>
              <w:pStyle w:val="24"/>
              <w:bidi w:val="0"/>
              <w:rPr>
                <w:rFonts w:hint="eastAsia"/>
              </w:rPr>
            </w:pPr>
            <w:r>
              <w:rPr>
                <w:rFonts w:hint="eastAsia"/>
              </w:rPr>
              <w:fldChar w:fldCharType="begin"/>
            </w:r>
            <w:r>
              <w:rPr>
                <w:rFonts w:hint="eastAsia"/>
              </w:rPr>
              <w:instrText xml:space="preserve"> HYPERLINK "https://www.qcc.com/firm/451ba26fb685b7c2c18f74627c03a835.html" \t "https://www.qcc.com/pl/_blank" </w:instrText>
            </w:r>
            <w:r>
              <w:rPr>
                <w:rFonts w:hint="eastAsia"/>
              </w:rPr>
              <w:fldChar w:fldCharType="separate"/>
            </w:r>
            <w:r>
              <w:rPr>
                <w:rFonts w:hint="eastAsia"/>
              </w:rPr>
              <w:t>合肥鼎耘工业智能科技有限公司</w:t>
            </w:r>
            <w:r>
              <w:rPr>
                <w:rFonts w:hint="eastAsia"/>
              </w:rPr>
              <w:fldChar w:fldCharType="end"/>
            </w:r>
          </w:p>
        </w:tc>
        <w:tc>
          <w:tcPr>
            <w:tcW w:w="1810" w:type="pct"/>
            <w:tcBorders>
              <w:tl2br w:val="nil"/>
              <w:tr2bl w:val="nil"/>
            </w:tcBorders>
            <w:vAlign w:val="center"/>
          </w:tcPr>
          <w:p w14:paraId="5ED0780A">
            <w:pPr>
              <w:pStyle w:val="24"/>
              <w:bidi w:val="0"/>
              <w:rPr>
                <w:rFonts w:hint="eastAsia"/>
              </w:rPr>
            </w:pPr>
            <w:r>
              <w:rPr>
                <w:rFonts w:hint="eastAsia"/>
              </w:rPr>
              <w:t>董事</w:t>
            </w:r>
            <w:r>
              <w:rPr>
                <w:rFonts w:hint="eastAsia"/>
                <w:lang w:eastAsia="zh-CN"/>
              </w:rPr>
              <w:t>、</w:t>
            </w:r>
            <w:r>
              <w:rPr>
                <w:rFonts w:hint="eastAsia"/>
              </w:rPr>
              <w:t>经理</w:t>
            </w:r>
          </w:p>
        </w:tc>
      </w:tr>
      <w:tr w14:paraId="5E947FD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continue"/>
            <w:tcBorders>
              <w:tl2br w:val="nil"/>
              <w:tr2bl w:val="nil"/>
            </w:tcBorders>
            <w:vAlign w:val="center"/>
          </w:tcPr>
          <w:p w14:paraId="28B0C8BC">
            <w:pPr>
              <w:pStyle w:val="24"/>
              <w:bidi w:val="0"/>
              <w:rPr>
                <w:rFonts w:hint="eastAsia"/>
              </w:rPr>
            </w:pPr>
          </w:p>
        </w:tc>
        <w:tc>
          <w:tcPr>
            <w:tcW w:w="2456" w:type="pct"/>
            <w:tcBorders>
              <w:tl2br w:val="nil"/>
              <w:tr2bl w:val="nil"/>
            </w:tcBorders>
            <w:shd w:val="clear" w:color="auto" w:fill="auto"/>
            <w:vAlign w:val="center"/>
          </w:tcPr>
          <w:p w14:paraId="11B6DDB9">
            <w:pPr>
              <w:pStyle w:val="24"/>
              <w:bidi w:val="0"/>
              <w:rPr>
                <w:rFonts w:hint="eastAsia"/>
              </w:rPr>
            </w:pPr>
            <w:r>
              <w:rPr>
                <w:rFonts w:hint="eastAsia"/>
              </w:rPr>
              <w:t>湖北芯映光电有限公司</w:t>
            </w:r>
          </w:p>
        </w:tc>
        <w:tc>
          <w:tcPr>
            <w:tcW w:w="1810" w:type="pct"/>
            <w:tcBorders>
              <w:tl2br w:val="nil"/>
              <w:tr2bl w:val="nil"/>
            </w:tcBorders>
            <w:shd w:val="clear" w:color="auto" w:fill="auto"/>
            <w:vAlign w:val="center"/>
          </w:tcPr>
          <w:p w14:paraId="1C72154C">
            <w:pPr>
              <w:pStyle w:val="24"/>
              <w:bidi w:val="0"/>
              <w:rPr>
                <w:rFonts w:hint="eastAsia"/>
              </w:rPr>
            </w:pPr>
            <w:r>
              <w:rPr>
                <w:rFonts w:hint="eastAsia"/>
              </w:rPr>
              <w:t>董事长</w:t>
            </w:r>
          </w:p>
        </w:tc>
      </w:tr>
    </w:tbl>
    <w:p w14:paraId="5F3A9957">
      <w:pPr>
        <w:pStyle w:val="21"/>
        <w:bidi w:val="0"/>
        <w:rPr>
          <w:rFonts w:hint="default"/>
          <w:lang w:val="en-US"/>
        </w:rPr>
      </w:pPr>
      <w:r>
        <w:rPr>
          <w:rFonts w:hint="eastAsia"/>
          <w:lang w:val="en-US" w:eastAsia="zh-CN"/>
        </w:rPr>
        <w:t>（三）对收购人及其控股股东、实际控制人控制的核心企业和主营业务情况的核查</w:t>
      </w:r>
    </w:p>
    <w:p w14:paraId="252DEA38">
      <w:pPr>
        <w:pStyle w:val="21"/>
        <w:ind w:firstLine="482" w:firstLineChars="200"/>
      </w:pPr>
      <w:r>
        <w:rPr>
          <w:rFonts w:hint="eastAsia"/>
          <w:lang w:val="en-US" w:eastAsia="zh-CN"/>
        </w:rPr>
        <w:t>1、收购人</w:t>
      </w:r>
      <w:r>
        <w:rPr>
          <w:rFonts w:hint="eastAsia"/>
        </w:rPr>
        <w:t>所控制的核心企业及其主营业务的情况</w:t>
      </w:r>
    </w:p>
    <w:p w14:paraId="4F4EB14C">
      <w:pPr>
        <w:pStyle w:val="20"/>
        <w:spacing w:before="156" w:after="156"/>
        <w:ind w:firstLine="480"/>
        <w:jc w:val="both"/>
        <w:rPr>
          <w:rFonts w:hint="eastAsia"/>
        </w:rPr>
      </w:pPr>
      <w:r>
        <w:rPr>
          <w:rFonts w:hint="eastAsia"/>
        </w:rPr>
        <w:t>截至本报告书签署日，</w:t>
      </w:r>
      <w:r>
        <w:rPr>
          <w:rFonts w:hint="eastAsia"/>
          <w:lang w:val="en-US" w:eastAsia="zh-CN"/>
        </w:rPr>
        <w:t>鼎耘产业不存在对外控制企业的情况。</w:t>
      </w:r>
    </w:p>
    <w:p w14:paraId="34990576">
      <w:pPr>
        <w:pStyle w:val="21"/>
        <w:ind w:firstLine="482" w:firstLineChars="200"/>
      </w:pPr>
      <w:r>
        <w:rPr>
          <w:rFonts w:hint="eastAsia"/>
          <w:lang w:val="en-US" w:eastAsia="zh-CN"/>
        </w:rPr>
        <w:t>2、收购人的执行事务合伙人</w:t>
      </w:r>
      <w:r>
        <w:rPr>
          <w:rFonts w:hint="eastAsia"/>
        </w:rPr>
        <w:t>、实际控制人所控制的核心资产和核心业务的情况</w:t>
      </w:r>
    </w:p>
    <w:p w14:paraId="08CFFF65">
      <w:pPr>
        <w:pStyle w:val="20"/>
        <w:spacing w:before="156" w:after="156"/>
        <w:ind w:firstLine="480"/>
        <w:jc w:val="both"/>
        <w:rPr>
          <w:rFonts w:hint="eastAsia"/>
          <w:lang w:val="en-US" w:eastAsia="zh-CN"/>
        </w:rPr>
      </w:pPr>
      <w:r>
        <w:rPr>
          <w:rFonts w:hint="eastAsia"/>
          <w:lang w:val="en-US" w:eastAsia="zh-CN"/>
        </w:rPr>
        <w:t>截至本报告书签署日，除鼎耘产业外，收购人的执行事务合伙人不存在对外控制企业的情况。</w:t>
      </w:r>
    </w:p>
    <w:p w14:paraId="4356B708">
      <w:pPr>
        <w:pStyle w:val="20"/>
        <w:spacing w:before="156" w:after="156"/>
        <w:ind w:firstLine="480"/>
        <w:jc w:val="both"/>
        <w:rPr>
          <w:rFonts w:hint="eastAsia"/>
          <w:highlight w:val="none"/>
          <w:lang w:val="en-US" w:eastAsia="zh-CN"/>
        </w:rPr>
      </w:pPr>
      <w:r>
        <w:rPr>
          <w:rFonts w:hint="eastAsia"/>
          <w:highlight w:val="none"/>
          <w:lang w:val="en-US" w:eastAsia="zh-CN"/>
        </w:rPr>
        <w:t>截至本报告书签署日，除鼎耘产业、鼎耘工业外，</w:t>
      </w:r>
      <w:r>
        <w:rPr>
          <w:rFonts w:hint="eastAsia"/>
          <w:lang w:val="en-US" w:eastAsia="zh-CN"/>
        </w:rPr>
        <w:t>收购人</w:t>
      </w:r>
      <w:r>
        <w:rPr>
          <w:rFonts w:hint="eastAsia"/>
          <w:highlight w:val="none"/>
          <w:lang w:val="en-US" w:eastAsia="zh-CN"/>
        </w:rPr>
        <w:t>的实际控制人李红星控制的其他核心企业基本情况如下：</w:t>
      </w:r>
    </w:p>
    <w:tbl>
      <w:tblPr>
        <w:tblStyle w:val="13"/>
        <w:tblW w:w="4944" w:type="pct"/>
        <w:tblInd w:w="92" w:type="dxa"/>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2"/>
        <w:gridCol w:w="3086"/>
        <w:gridCol w:w="1595"/>
        <w:gridCol w:w="1971"/>
        <w:gridCol w:w="1284"/>
      </w:tblGrid>
      <w:tr w14:paraId="78528658">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053AF9BA">
            <w:pPr>
              <w:pStyle w:val="24"/>
              <w:jc w:val="center"/>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序号</w:t>
            </w:r>
          </w:p>
        </w:tc>
        <w:tc>
          <w:tcPr>
            <w:tcW w:w="1830" w:type="pct"/>
            <w:tcBorders>
              <w:tl2br w:val="nil"/>
              <w:tr2bl w:val="nil"/>
            </w:tcBorders>
            <w:shd w:val="clear" w:color="auto" w:fill="auto"/>
            <w:vAlign w:val="center"/>
          </w:tcPr>
          <w:p w14:paraId="3FE4F7C7">
            <w:pPr>
              <w:pStyle w:val="24"/>
              <w:jc w:val="center"/>
              <w:rPr>
                <w:rFonts w:hint="default" w:ascii="Times New Roman" w:hAnsi="Times New Roman" w:eastAsia="宋体" w:cs="Times New Roman"/>
                <w:b/>
                <w:bCs/>
                <w:color w:val="auto"/>
                <w:sz w:val="21"/>
                <w:szCs w:val="21"/>
                <w:highlight w:val="none"/>
              </w:rPr>
            </w:pPr>
            <w:r>
              <w:rPr>
                <w:rFonts w:hint="default" w:ascii="Times New Roman" w:hAnsi="Times New Roman" w:eastAsia="宋体" w:cs="Times New Roman"/>
                <w:b/>
                <w:bCs/>
                <w:color w:val="auto"/>
                <w:sz w:val="21"/>
                <w:szCs w:val="21"/>
                <w:highlight w:val="none"/>
                <w:lang w:val="en-US" w:eastAsia="zh-CN"/>
              </w:rPr>
              <w:t>企业名称</w:t>
            </w:r>
          </w:p>
        </w:tc>
        <w:tc>
          <w:tcPr>
            <w:tcW w:w="946" w:type="pct"/>
            <w:tcBorders>
              <w:tl2br w:val="nil"/>
              <w:tr2bl w:val="nil"/>
            </w:tcBorders>
            <w:shd w:val="clear" w:color="auto" w:fill="auto"/>
            <w:vAlign w:val="center"/>
          </w:tcPr>
          <w:p w14:paraId="209F0849">
            <w:pPr>
              <w:pStyle w:val="24"/>
              <w:jc w:val="center"/>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注册资本/</w:t>
            </w:r>
          </w:p>
          <w:p w14:paraId="6F22E5F1">
            <w:pPr>
              <w:pStyle w:val="24"/>
              <w:jc w:val="center"/>
              <w:rPr>
                <w:rFonts w:hint="default" w:ascii="Times New Roman" w:hAnsi="Times New Roman" w:eastAsia="宋体" w:cs="Times New Roman"/>
                <w:b/>
                <w:bCs/>
                <w:color w:val="auto"/>
                <w:sz w:val="21"/>
                <w:szCs w:val="21"/>
                <w:highlight w:val="none"/>
              </w:rPr>
            </w:pPr>
            <w:r>
              <w:rPr>
                <w:rFonts w:hint="default" w:ascii="Times New Roman" w:hAnsi="Times New Roman" w:eastAsia="宋体" w:cs="Times New Roman"/>
                <w:b/>
                <w:bCs/>
                <w:color w:val="auto"/>
                <w:sz w:val="21"/>
                <w:szCs w:val="21"/>
                <w:highlight w:val="none"/>
                <w:lang w:val="en-US" w:eastAsia="zh-CN"/>
              </w:rPr>
              <w:t>出资额（万元）</w:t>
            </w:r>
          </w:p>
        </w:tc>
        <w:tc>
          <w:tcPr>
            <w:tcW w:w="1169" w:type="pct"/>
            <w:tcBorders>
              <w:tl2br w:val="nil"/>
              <w:tr2bl w:val="nil"/>
            </w:tcBorders>
            <w:shd w:val="clear" w:color="auto" w:fill="auto"/>
            <w:vAlign w:val="center"/>
          </w:tcPr>
          <w:p w14:paraId="3CAC046F">
            <w:pPr>
              <w:pStyle w:val="24"/>
              <w:jc w:val="center"/>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持股比例/</w:t>
            </w:r>
          </w:p>
          <w:p w14:paraId="7FA204D4">
            <w:pPr>
              <w:pStyle w:val="24"/>
              <w:jc w:val="center"/>
              <w:rPr>
                <w:rFonts w:hint="default" w:ascii="Times New Roman" w:hAnsi="Times New Roman" w:eastAsia="宋体" w:cs="Times New Roman"/>
                <w:b/>
                <w:bCs/>
                <w:color w:val="auto"/>
                <w:sz w:val="21"/>
                <w:szCs w:val="21"/>
                <w:highlight w:val="none"/>
                <w:lang w:val="en-US"/>
              </w:rPr>
            </w:pPr>
            <w:r>
              <w:rPr>
                <w:rFonts w:hint="default" w:ascii="Times New Roman" w:hAnsi="Times New Roman" w:eastAsia="宋体" w:cs="Times New Roman"/>
                <w:b/>
                <w:bCs/>
                <w:color w:val="auto"/>
                <w:sz w:val="21"/>
                <w:szCs w:val="21"/>
                <w:highlight w:val="none"/>
                <w:lang w:val="en-US" w:eastAsia="zh-CN"/>
              </w:rPr>
              <w:t>控制方式</w:t>
            </w:r>
          </w:p>
        </w:tc>
        <w:tc>
          <w:tcPr>
            <w:tcW w:w="761" w:type="pct"/>
            <w:tcBorders>
              <w:tl2br w:val="nil"/>
              <w:tr2bl w:val="nil"/>
            </w:tcBorders>
            <w:shd w:val="clear" w:color="auto" w:fill="auto"/>
            <w:vAlign w:val="center"/>
          </w:tcPr>
          <w:p w14:paraId="10DFCCD5">
            <w:pPr>
              <w:pStyle w:val="24"/>
              <w:jc w:val="center"/>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主营业务</w:t>
            </w:r>
          </w:p>
        </w:tc>
      </w:tr>
      <w:tr w14:paraId="4A15AB64">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63123720">
            <w:pPr>
              <w:pStyle w:val="24"/>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p>
        </w:tc>
        <w:tc>
          <w:tcPr>
            <w:tcW w:w="1830" w:type="pct"/>
            <w:tcBorders>
              <w:tl2br w:val="nil"/>
              <w:tr2bl w:val="nil"/>
            </w:tcBorders>
            <w:shd w:val="clear" w:color="auto" w:fill="auto"/>
            <w:vAlign w:val="center"/>
          </w:tcPr>
          <w:p w14:paraId="71E5E635">
            <w:pPr>
              <w:pStyle w:val="24"/>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fldChar w:fldCharType="begin"/>
            </w:r>
            <w:r>
              <w:rPr>
                <w:rFonts w:hint="default" w:ascii="Times New Roman" w:hAnsi="Times New Roman" w:eastAsia="宋体" w:cs="Times New Roman"/>
                <w:color w:val="auto"/>
                <w:sz w:val="21"/>
                <w:szCs w:val="21"/>
                <w:highlight w:val="none"/>
                <w:lang w:val="en-US" w:eastAsia="zh-CN"/>
              </w:rPr>
              <w:instrText xml:space="preserve"> HYPERLINK "https://www.qcc.com/firm/5b155cdc78309cd6d3e261db4577992e.html" \t "https://www.qcc.com/pl/_blank" </w:instrText>
            </w:r>
            <w:r>
              <w:rPr>
                <w:rFonts w:hint="default" w:ascii="Times New Roman" w:hAnsi="Times New Roman" w:eastAsia="宋体" w:cs="Times New Roman"/>
                <w:color w:val="auto"/>
                <w:sz w:val="21"/>
                <w:szCs w:val="21"/>
                <w:highlight w:val="none"/>
                <w:lang w:val="en-US" w:eastAsia="zh-CN"/>
              </w:rPr>
              <w:fldChar w:fldCharType="separate"/>
            </w:r>
            <w:r>
              <w:rPr>
                <w:rFonts w:hint="default" w:ascii="Times New Roman" w:hAnsi="Times New Roman" w:eastAsia="宋体" w:cs="Times New Roman"/>
                <w:color w:val="auto"/>
                <w:sz w:val="21"/>
                <w:szCs w:val="21"/>
                <w:highlight w:val="none"/>
                <w:lang w:val="en-US" w:eastAsia="zh-CN"/>
              </w:rPr>
              <w:t>鼎耘投资发展（海南）有限公司</w:t>
            </w:r>
            <w:r>
              <w:rPr>
                <w:rFonts w:hint="default" w:ascii="Times New Roman" w:hAnsi="Times New Roman" w:eastAsia="宋体" w:cs="Times New Roman"/>
                <w:color w:val="auto"/>
                <w:sz w:val="21"/>
                <w:szCs w:val="21"/>
                <w:highlight w:val="none"/>
                <w:lang w:val="en-US" w:eastAsia="zh-CN"/>
              </w:rPr>
              <w:fldChar w:fldCharType="end"/>
            </w:r>
          </w:p>
        </w:tc>
        <w:tc>
          <w:tcPr>
            <w:tcW w:w="946" w:type="pct"/>
            <w:tcBorders>
              <w:tl2br w:val="nil"/>
              <w:tr2bl w:val="nil"/>
            </w:tcBorders>
            <w:shd w:val="clear" w:color="auto" w:fill="auto"/>
            <w:vAlign w:val="center"/>
          </w:tcPr>
          <w:p w14:paraId="7F4BFB99">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10,000.00</w:t>
            </w:r>
          </w:p>
        </w:tc>
        <w:tc>
          <w:tcPr>
            <w:tcW w:w="1169" w:type="pct"/>
            <w:tcBorders>
              <w:tl2br w:val="nil"/>
              <w:tr2bl w:val="nil"/>
            </w:tcBorders>
            <w:shd w:val="clear" w:color="auto" w:fill="auto"/>
            <w:vAlign w:val="center"/>
          </w:tcPr>
          <w:p w14:paraId="467FD6E7">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76769D54">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4123EEA5">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161" w:hRule="atLeast"/>
        </w:trPr>
        <w:tc>
          <w:tcPr>
            <w:tcW w:w="291" w:type="pct"/>
            <w:tcBorders>
              <w:tl2br w:val="nil"/>
              <w:tr2bl w:val="nil"/>
            </w:tcBorders>
            <w:shd w:val="clear" w:color="auto" w:fill="auto"/>
            <w:vAlign w:val="center"/>
          </w:tcPr>
          <w:p w14:paraId="498AC8E9">
            <w:pPr>
              <w:pStyle w:val="24"/>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2</w:t>
            </w:r>
          </w:p>
        </w:tc>
        <w:tc>
          <w:tcPr>
            <w:tcW w:w="1830" w:type="pct"/>
            <w:tcBorders>
              <w:tl2br w:val="nil"/>
              <w:tr2bl w:val="nil"/>
            </w:tcBorders>
            <w:shd w:val="clear" w:color="auto" w:fill="auto"/>
            <w:vAlign w:val="center"/>
          </w:tcPr>
          <w:p w14:paraId="79AC0109">
            <w:pPr>
              <w:pStyle w:val="24"/>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"https://www.qcc.com/firm/c01af3d4ae8fddf81625a0d8247ee045.html"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海南鼎耘投资合伙企业（有限合伙）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670C6452">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5</w:t>
            </w:r>
            <w:r>
              <w:rPr>
                <w:rFonts w:hint="default"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5119F8C4">
            <w:pPr>
              <w:pStyle w:val="24"/>
              <w:jc w:val="righ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32F47E10">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2376F2C8">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67D11C36">
            <w:pPr>
              <w:pStyle w:val="24"/>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w:t>
            </w:r>
          </w:p>
        </w:tc>
        <w:tc>
          <w:tcPr>
            <w:tcW w:w="1830" w:type="pct"/>
            <w:tcBorders>
              <w:tl2br w:val="nil"/>
              <w:tr2bl w:val="nil"/>
            </w:tcBorders>
            <w:shd w:val="clear" w:color="auto" w:fill="auto"/>
            <w:vAlign w:val="center"/>
          </w:tcPr>
          <w:p w14:paraId="426318BF">
            <w:pPr>
              <w:pStyle w:val="24"/>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fldChar w:fldCharType="begin"/>
            </w:r>
            <w:r>
              <w:rPr>
                <w:rFonts w:hint="default" w:ascii="Times New Roman" w:hAnsi="Times New Roman" w:eastAsia="宋体" w:cs="Times New Roman"/>
                <w:color w:val="auto"/>
                <w:sz w:val="21"/>
                <w:szCs w:val="21"/>
                <w:highlight w:val="none"/>
                <w:lang w:val="en-US" w:eastAsia="zh-CN"/>
              </w:rPr>
              <w:instrText xml:space="preserve"> HYPERLINK "https://www.qcc.com/firm/31c882b165303a240a6ec862cbffeb19.html" \t "https://www.qcc.com/pl/_blank" </w:instrText>
            </w:r>
            <w:r>
              <w:rPr>
                <w:rFonts w:hint="default" w:ascii="Times New Roman" w:hAnsi="Times New Roman" w:eastAsia="宋体" w:cs="Times New Roman"/>
                <w:color w:val="auto"/>
                <w:sz w:val="21"/>
                <w:szCs w:val="21"/>
                <w:highlight w:val="none"/>
                <w:lang w:val="en-US" w:eastAsia="zh-CN"/>
              </w:rPr>
              <w:fldChar w:fldCharType="separate"/>
            </w:r>
            <w:r>
              <w:rPr>
                <w:rFonts w:hint="default" w:ascii="Times New Roman" w:hAnsi="Times New Roman" w:eastAsia="宋体" w:cs="Times New Roman"/>
                <w:color w:val="auto"/>
                <w:sz w:val="21"/>
                <w:szCs w:val="21"/>
                <w:highlight w:val="none"/>
                <w:lang w:val="en-US" w:eastAsia="zh-CN"/>
              </w:rPr>
              <w:t>北京鼎耘资产管理有限公司</w:t>
            </w:r>
            <w:r>
              <w:rPr>
                <w:rFonts w:hint="default" w:ascii="Times New Roman" w:hAnsi="Times New Roman" w:eastAsia="宋体" w:cs="Times New Roman"/>
                <w:color w:val="auto"/>
                <w:sz w:val="21"/>
                <w:szCs w:val="21"/>
                <w:highlight w:val="none"/>
                <w:lang w:val="en-US" w:eastAsia="zh-CN"/>
              </w:rPr>
              <w:fldChar w:fldCharType="end"/>
            </w:r>
          </w:p>
        </w:tc>
        <w:tc>
          <w:tcPr>
            <w:tcW w:w="946" w:type="pct"/>
            <w:tcBorders>
              <w:tl2br w:val="nil"/>
              <w:tr2bl w:val="nil"/>
            </w:tcBorders>
            <w:shd w:val="clear" w:color="auto" w:fill="auto"/>
            <w:vAlign w:val="center"/>
          </w:tcPr>
          <w:p w14:paraId="4CD46046">
            <w:pPr>
              <w:pStyle w:val="24"/>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2,</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7B180F1B">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36598B30">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6F6B9BFF">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73C840E5">
            <w:pPr>
              <w:pStyle w:val="24"/>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4</w:t>
            </w:r>
          </w:p>
        </w:tc>
        <w:tc>
          <w:tcPr>
            <w:tcW w:w="1830" w:type="pct"/>
            <w:tcBorders>
              <w:tl2br w:val="nil"/>
              <w:tr2bl w:val="nil"/>
            </w:tcBorders>
            <w:shd w:val="clear" w:color="auto" w:fill="auto"/>
            <w:vAlign w:val="center"/>
          </w:tcPr>
          <w:p w14:paraId="627E285C">
            <w:pPr>
              <w:pStyle w:val="24"/>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北京鼎耘投资管理有限公司</w:t>
            </w:r>
          </w:p>
        </w:tc>
        <w:tc>
          <w:tcPr>
            <w:tcW w:w="946" w:type="pct"/>
            <w:tcBorders>
              <w:tl2br w:val="nil"/>
              <w:tr2bl w:val="nil"/>
            </w:tcBorders>
            <w:shd w:val="clear" w:color="auto" w:fill="auto"/>
            <w:vAlign w:val="center"/>
          </w:tcPr>
          <w:p w14:paraId="0EA317B1">
            <w:pPr>
              <w:pStyle w:val="24"/>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1,</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53741D09">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5516D1B4">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5FB07014">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6029A2DD">
            <w:pPr>
              <w:pStyle w:val="24"/>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5</w:t>
            </w:r>
          </w:p>
        </w:tc>
        <w:tc>
          <w:tcPr>
            <w:tcW w:w="1830" w:type="pct"/>
            <w:tcBorders>
              <w:tl2br w:val="nil"/>
              <w:tr2bl w:val="nil"/>
            </w:tcBorders>
            <w:shd w:val="clear" w:color="auto" w:fill="auto"/>
            <w:vAlign w:val="center"/>
          </w:tcPr>
          <w:p w14:paraId="216E7DB5">
            <w:pPr>
              <w:pStyle w:val="24"/>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"https://www.qcc.com/firm/2ed9b81fee6a8799add72f8ef2e156cb.html"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厦门鼎耘投资有限公司</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5A96F63D">
            <w:pPr>
              <w:pStyle w:val="24"/>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1,</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4D10ECE3">
            <w:pPr>
              <w:pStyle w:val="24"/>
              <w:jc w:val="righ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771FA707">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2BDBDDBA">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0E5380FC">
            <w:pPr>
              <w:pStyle w:val="24"/>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6</w:t>
            </w:r>
          </w:p>
        </w:tc>
        <w:tc>
          <w:tcPr>
            <w:tcW w:w="1830" w:type="pct"/>
            <w:tcBorders>
              <w:tl2br w:val="nil"/>
              <w:tr2bl w:val="nil"/>
            </w:tcBorders>
            <w:shd w:val="clear" w:color="auto" w:fill="auto"/>
            <w:vAlign w:val="center"/>
          </w:tcPr>
          <w:p w14:paraId="1DDB94BE">
            <w:pPr>
              <w:pStyle w:val="24"/>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"https://www.qcc.com/firm/86025b4ddb0c97669c12c218902e55c0.html"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宁波鸿晓投资管理有限公司</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36847CB7">
            <w:pPr>
              <w:pStyle w:val="24"/>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1,</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761C0824">
            <w:pPr>
              <w:pStyle w:val="24"/>
              <w:jc w:val="righ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14E1ACCC">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57AD63C8">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2DDE0230">
            <w:pPr>
              <w:pStyle w:val="24"/>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7</w:t>
            </w:r>
          </w:p>
        </w:tc>
        <w:tc>
          <w:tcPr>
            <w:tcW w:w="1830" w:type="pct"/>
            <w:tcBorders>
              <w:tl2br w:val="nil"/>
              <w:tr2bl w:val="nil"/>
            </w:tcBorders>
            <w:shd w:val="clear" w:color="auto" w:fill="auto"/>
            <w:vAlign w:val="center"/>
          </w:tcPr>
          <w:p w14:paraId="78205A23">
            <w:pPr>
              <w:pStyle w:val="24"/>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湖北芯映光电有限公司</w:t>
            </w:r>
          </w:p>
        </w:tc>
        <w:tc>
          <w:tcPr>
            <w:tcW w:w="946" w:type="pct"/>
            <w:tcBorders>
              <w:tl2br w:val="nil"/>
              <w:tr2bl w:val="nil"/>
            </w:tcBorders>
            <w:shd w:val="clear" w:color="auto" w:fill="auto"/>
            <w:vAlign w:val="center"/>
          </w:tcPr>
          <w:p w14:paraId="00DD3E9A">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34</w:t>
            </w:r>
            <w:r>
              <w:rPr>
                <w:rFonts w:hint="eastAsia"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eastAsia="zh-CN"/>
              </w:rPr>
              <w:t>000</w:t>
            </w:r>
            <w:r>
              <w:rPr>
                <w:rFonts w:hint="eastAsia"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679F4DB1">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66.18%</w:t>
            </w:r>
          </w:p>
        </w:tc>
        <w:tc>
          <w:tcPr>
            <w:tcW w:w="761" w:type="pct"/>
            <w:tcBorders>
              <w:tl2br w:val="nil"/>
              <w:tr2bl w:val="nil"/>
            </w:tcBorders>
            <w:shd w:val="clear" w:color="auto" w:fill="auto"/>
            <w:vAlign w:val="center"/>
          </w:tcPr>
          <w:p w14:paraId="56C7E7EB">
            <w:pPr>
              <w:pStyle w:val="24"/>
              <w:jc w:val="lef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光电子器件制造</w:t>
            </w:r>
          </w:p>
        </w:tc>
      </w:tr>
      <w:tr w14:paraId="05616FC7">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71AC20DF">
            <w:pPr>
              <w:pStyle w:val="24"/>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8</w:t>
            </w:r>
          </w:p>
        </w:tc>
        <w:tc>
          <w:tcPr>
            <w:tcW w:w="1830" w:type="pct"/>
            <w:tcBorders>
              <w:tl2br w:val="nil"/>
              <w:tr2bl w:val="nil"/>
            </w:tcBorders>
            <w:shd w:val="clear" w:color="auto" w:fill="auto"/>
            <w:vAlign w:val="center"/>
          </w:tcPr>
          <w:p w14:paraId="18381674">
            <w:pPr>
              <w:pStyle w:val="24"/>
              <w:rPr>
                <w:rFonts w:hint="default" w:ascii="Times New Roman" w:hAnsi="Times New Roman" w:eastAsia="宋体" w:cs="Times New Roman"/>
                <w:color w:val="auto"/>
                <w:sz w:val="21"/>
                <w:szCs w:val="21"/>
                <w:highlight w:val="none"/>
              </w:rPr>
            </w:pPr>
            <w:r>
              <w:rPr>
                <w:highlight w:val="none"/>
              </w:rPr>
              <w:t>武汉芯享光电科技有限公司</w:t>
            </w:r>
          </w:p>
        </w:tc>
        <w:tc>
          <w:tcPr>
            <w:tcW w:w="946" w:type="pct"/>
            <w:tcBorders>
              <w:tl2br w:val="nil"/>
              <w:tr2bl w:val="nil"/>
            </w:tcBorders>
            <w:shd w:val="clear" w:color="auto" w:fill="auto"/>
            <w:vAlign w:val="center"/>
          </w:tcPr>
          <w:p w14:paraId="3F72A013">
            <w:pPr>
              <w:pStyle w:val="24"/>
              <w:jc w:val="right"/>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100.00</w:t>
            </w:r>
          </w:p>
        </w:tc>
        <w:tc>
          <w:tcPr>
            <w:tcW w:w="1169" w:type="pct"/>
            <w:tcBorders>
              <w:tl2br w:val="nil"/>
              <w:tr2bl w:val="nil"/>
            </w:tcBorders>
            <w:shd w:val="clear" w:color="auto" w:fill="auto"/>
            <w:vAlign w:val="center"/>
          </w:tcPr>
          <w:p w14:paraId="4BC2EC3B">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66.18%</w:t>
            </w:r>
          </w:p>
        </w:tc>
        <w:tc>
          <w:tcPr>
            <w:tcW w:w="761" w:type="pct"/>
            <w:tcBorders>
              <w:tl2br w:val="nil"/>
              <w:tr2bl w:val="nil"/>
            </w:tcBorders>
            <w:shd w:val="clear" w:color="auto" w:fill="auto"/>
            <w:vAlign w:val="center"/>
          </w:tcPr>
          <w:p w14:paraId="209D0334">
            <w:pPr>
              <w:pStyle w:val="24"/>
              <w:jc w:val="lef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光电子器件制造</w:t>
            </w:r>
          </w:p>
        </w:tc>
      </w:tr>
      <w:tr w14:paraId="41362A82">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1E7D5D04">
            <w:pPr>
              <w:pStyle w:val="24"/>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9</w:t>
            </w:r>
          </w:p>
        </w:tc>
        <w:tc>
          <w:tcPr>
            <w:tcW w:w="1830" w:type="pct"/>
            <w:tcBorders>
              <w:tl2br w:val="nil"/>
              <w:tr2bl w:val="nil"/>
            </w:tcBorders>
            <w:shd w:val="clear" w:color="auto" w:fill="auto"/>
            <w:vAlign w:val="center"/>
          </w:tcPr>
          <w:p w14:paraId="1F33B70F">
            <w:pPr>
              <w:pStyle w:val="24"/>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"https://www.qcc.com/firm/28e7f0754ac9f6ceed586800dc26bba0.html"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厦门鼎炎股权投资基金合伙企业（有限合伙）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50BEA54A">
            <w:pPr>
              <w:pStyle w:val="24"/>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rPr>
              <w:t>5</w:t>
            </w:r>
            <w:r>
              <w:rPr>
                <w:rFonts w:hint="default"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78AD953F">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54</w:t>
            </w:r>
            <w:r>
              <w:rPr>
                <w:rFonts w:hint="default" w:ascii="Times New Roman" w:hAnsi="Times New Roman" w:eastAsia="宋体" w:cs="Times New Roman"/>
                <w:color w:val="auto"/>
                <w:sz w:val="21"/>
                <w:szCs w:val="21"/>
                <w:highlight w:val="none"/>
              </w:rPr>
              <w:t>%</w:t>
            </w: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04E5D05E">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w:t>
            </w:r>
          </w:p>
        </w:tc>
      </w:tr>
      <w:tr w14:paraId="6915E673">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5AA22E7E">
            <w:pPr>
              <w:pStyle w:val="24"/>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10</w:t>
            </w:r>
          </w:p>
        </w:tc>
        <w:tc>
          <w:tcPr>
            <w:tcW w:w="1830" w:type="pct"/>
            <w:tcBorders>
              <w:tl2br w:val="nil"/>
              <w:tr2bl w:val="nil"/>
            </w:tcBorders>
            <w:shd w:val="clear" w:color="auto" w:fill="auto"/>
            <w:vAlign w:val="center"/>
          </w:tcPr>
          <w:p w14:paraId="1C8C1A0F">
            <w:pPr>
              <w:pStyle w:val="24"/>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"https://www.qcc.com/firm/f59895347cd91a6938deb5c8d7ed8f22.html"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潍坊国信鼎安股权投资合伙企业（有限合伙）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392FFB56">
            <w:pPr>
              <w:pStyle w:val="24"/>
              <w:jc w:val="righ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300.00</w:t>
            </w:r>
          </w:p>
        </w:tc>
        <w:tc>
          <w:tcPr>
            <w:tcW w:w="1169" w:type="pct"/>
            <w:tcBorders>
              <w:tl2br w:val="nil"/>
              <w:tr2bl w:val="nil"/>
            </w:tcBorders>
            <w:shd w:val="clear" w:color="auto" w:fill="auto"/>
            <w:vAlign w:val="center"/>
          </w:tcPr>
          <w:p w14:paraId="02ACA3A8">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7309CD9A">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442D9535">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29AAE368">
            <w:pPr>
              <w:pStyle w:val="24"/>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11</w:t>
            </w:r>
          </w:p>
        </w:tc>
        <w:tc>
          <w:tcPr>
            <w:tcW w:w="1830" w:type="pct"/>
            <w:tcBorders>
              <w:tl2br w:val="nil"/>
              <w:tr2bl w:val="nil"/>
            </w:tcBorders>
            <w:shd w:val="clear" w:color="auto" w:fill="auto"/>
            <w:vAlign w:val="center"/>
          </w:tcPr>
          <w:p w14:paraId="22D1548E">
            <w:pPr>
              <w:pStyle w:val="24"/>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潍坊国信网安股权投资合伙企业（有限合伙）</w:t>
            </w:r>
          </w:p>
        </w:tc>
        <w:tc>
          <w:tcPr>
            <w:tcW w:w="946" w:type="pct"/>
            <w:tcBorders>
              <w:tl2br w:val="nil"/>
              <w:tr2bl w:val="nil"/>
            </w:tcBorders>
            <w:shd w:val="clear" w:color="auto" w:fill="auto"/>
            <w:vAlign w:val="center"/>
          </w:tcPr>
          <w:p w14:paraId="09F87B96">
            <w:pPr>
              <w:pStyle w:val="24"/>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3</w:t>
            </w:r>
            <w:r>
              <w:rPr>
                <w:rFonts w:hint="default"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kern w:val="2"/>
                <w:sz w:val="21"/>
                <w:szCs w:val="21"/>
                <w:highlight w:val="none"/>
                <w:lang w:val="en-US" w:eastAsia="zh-CN" w:bidi="ar-SA"/>
              </w:rPr>
              <w:t>600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76A21FA6">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0AA3298E">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w:t>
            </w:r>
          </w:p>
        </w:tc>
      </w:tr>
      <w:tr w14:paraId="37E7C90D">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3AD146D3">
            <w:pPr>
              <w:pStyle w:val="24"/>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2</w:t>
            </w:r>
          </w:p>
        </w:tc>
        <w:tc>
          <w:tcPr>
            <w:tcW w:w="1830" w:type="pct"/>
            <w:tcBorders>
              <w:tl2br w:val="nil"/>
              <w:tr2bl w:val="nil"/>
            </w:tcBorders>
            <w:shd w:val="clear" w:color="auto" w:fill="auto"/>
            <w:vAlign w:val="center"/>
          </w:tcPr>
          <w:p w14:paraId="02494362">
            <w:pPr>
              <w:pStyle w:val="24"/>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"https://www.qcc.com/firm/c1af536b8caaec334fea8b0ead94ccb3.html"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厦门鼎灿投资合伙企业（有限合伙）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306736D2">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3,310.00</w:t>
            </w:r>
          </w:p>
        </w:tc>
        <w:tc>
          <w:tcPr>
            <w:tcW w:w="1169" w:type="pct"/>
            <w:tcBorders>
              <w:tl2br w:val="nil"/>
              <w:tr2bl w:val="nil"/>
            </w:tcBorders>
            <w:shd w:val="clear" w:color="auto" w:fill="auto"/>
            <w:vAlign w:val="center"/>
          </w:tcPr>
          <w:p w14:paraId="2CFA312B">
            <w:pPr>
              <w:pStyle w:val="24"/>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472A2BD1">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35AE4989">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618E4B71">
            <w:pPr>
              <w:pStyle w:val="24"/>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3</w:t>
            </w:r>
          </w:p>
        </w:tc>
        <w:tc>
          <w:tcPr>
            <w:tcW w:w="1830" w:type="pct"/>
            <w:tcBorders>
              <w:tl2br w:val="nil"/>
              <w:tr2bl w:val="nil"/>
            </w:tcBorders>
            <w:shd w:val="clear" w:color="auto" w:fill="auto"/>
            <w:vAlign w:val="center"/>
          </w:tcPr>
          <w:p w14:paraId="5C28FC6C">
            <w:pPr>
              <w:pStyle w:val="24"/>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"https://www.qcc.com/firm/da01ada4e7e09add2570605a9f9d1a82.html"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厦门鼎岑投资合伙企业（有限合伙）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79696FB5">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1,000.00</w:t>
            </w:r>
          </w:p>
        </w:tc>
        <w:tc>
          <w:tcPr>
            <w:tcW w:w="1169" w:type="pct"/>
            <w:tcBorders>
              <w:tl2br w:val="nil"/>
              <w:tr2bl w:val="nil"/>
            </w:tcBorders>
            <w:shd w:val="clear" w:color="auto" w:fill="auto"/>
            <w:vAlign w:val="center"/>
          </w:tcPr>
          <w:p w14:paraId="6FF5AEAD">
            <w:pPr>
              <w:pStyle w:val="24"/>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3C70EDAA">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1A62F488">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1AB23133">
            <w:pPr>
              <w:pStyle w:val="24"/>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4</w:t>
            </w:r>
          </w:p>
        </w:tc>
        <w:tc>
          <w:tcPr>
            <w:tcW w:w="1830" w:type="pct"/>
            <w:tcBorders>
              <w:tl2br w:val="nil"/>
              <w:tr2bl w:val="nil"/>
            </w:tcBorders>
            <w:shd w:val="clear" w:color="auto" w:fill="auto"/>
            <w:vAlign w:val="center"/>
          </w:tcPr>
          <w:p w14:paraId="225E440C">
            <w:pPr>
              <w:pStyle w:val="24"/>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"https://www.qcc.com/firm/89e658329dfda0584e57b1756afd6d52.html"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厦门鼎樽投资合伙企业（有限合伙）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31C18969">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1,000.00</w:t>
            </w:r>
          </w:p>
        </w:tc>
        <w:tc>
          <w:tcPr>
            <w:tcW w:w="1169" w:type="pct"/>
            <w:tcBorders>
              <w:tl2br w:val="nil"/>
              <w:tr2bl w:val="nil"/>
            </w:tcBorders>
            <w:shd w:val="clear" w:color="auto" w:fill="auto"/>
            <w:vAlign w:val="center"/>
          </w:tcPr>
          <w:p w14:paraId="6EA2EAAC">
            <w:pPr>
              <w:pStyle w:val="24"/>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5B555F6A">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105573DD">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6ECE0428">
            <w:pPr>
              <w:pStyle w:val="24"/>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5</w:t>
            </w:r>
          </w:p>
        </w:tc>
        <w:tc>
          <w:tcPr>
            <w:tcW w:w="1830" w:type="pct"/>
            <w:tcBorders>
              <w:tl2br w:val="nil"/>
              <w:tr2bl w:val="nil"/>
            </w:tcBorders>
            <w:shd w:val="clear" w:color="auto" w:fill="auto"/>
            <w:vAlign w:val="center"/>
          </w:tcPr>
          <w:p w14:paraId="1683AB0C">
            <w:pPr>
              <w:pStyle w:val="24"/>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"https://www.qcc.com/firm/c909418780bf15e6e638af549819d210.html"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宁波鸿景股权投资合伙企业（有限合伙）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42DBF2F5">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9,110.00</w:t>
            </w:r>
          </w:p>
        </w:tc>
        <w:tc>
          <w:tcPr>
            <w:tcW w:w="1169" w:type="pct"/>
            <w:tcBorders>
              <w:tl2br w:val="nil"/>
              <w:tr2bl w:val="nil"/>
            </w:tcBorders>
            <w:shd w:val="clear" w:color="auto" w:fill="auto"/>
            <w:vAlign w:val="center"/>
          </w:tcPr>
          <w:p w14:paraId="10BAC45E">
            <w:pPr>
              <w:pStyle w:val="24"/>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225687B5">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w:t>
            </w:r>
          </w:p>
        </w:tc>
      </w:tr>
      <w:tr w14:paraId="5798EC8F">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4C30A109">
            <w:pPr>
              <w:pStyle w:val="24"/>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6</w:t>
            </w:r>
          </w:p>
        </w:tc>
        <w:tc>
          <w:tcPr>
            <w:tcW w:w="1830" w:type="pct"/>
            <w:tcBorders>
              <w:tl2br w:val="nil"/>
              <w:tr2bl w:val="nil"/>
            </w:tcBorders>
            <w:shd w:val="clear" w:color="auto" w:fill="auto"/>
            <w:vAlign w:val="center"/>
          </w:tcPr>
          <w:p w14:paraId="4DE1B8A8">
            <w:pPr>
              <w:pStyle w:val="24"/>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"https://www.qcc.com/firm/d144577077ae18275db35178ba6610e4.html"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厦门鼎硕商务合伙企业（有限合伙）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41A1F2EE">
            <w:pPr>
              <w:pStyle w:val="24"/>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15,501.00</w:t>
            </w:r>
          </w:p>
        </w:tc>
        <w:tc>
          <w:tcPr>
            <w:tcW w:w="1169" w:type="pct"/>
            <w:tcBorders>
              <w:tl2br w:val="nil"/>
              <w:tr2bl w:val="nil"/>
            </w:tcBorders>
            <w:shd w:val="clear" w:color="auto" w:fill="auto"/>
            <w:vAlign w:val="center"/>
          </w:tcPr>
          <w:p w14:paraId="7433757C">
            <w:pPr>
              <w:pStyle w:val="24"/>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559EB427">
            <w:pPr>
              <w:pStyle w:val="24"/>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w:t>
            </w:r>
          </w:p>
        </w:tc>
      </w:tr>
    </w:tbl>
    <w:p w14:paraId="248EFE66">
      <w:pPr>
        <w:pStyle w:val="21"/>
        <w:bidi w:val="0"/>
        <w:rPr>
          <w:rFonts w:hint="eastAsia"/>
        </w:rPr>
      </w:pPr>
      <w:r>
        <w:rPr>
          <w:rFonts w:hint="eastAsia"/>
          <w:lang w:val="en-US" w:eastAsia="zh-CN"/>
        </w:rPr>
        <w:t>（四）对收购人从事的主要业务及最近三年简要财务状况的核查</w:t>
      </w:r>
    </w:p>
    <w:p w14:paraId="51BDB9CF">
      <w:pPr>
        <w:pStyle w:val="20"/>
        <w:spacing w:before="156" w:after="156"/>
        <w:ind w:firstLine="480"/>
        <w:jc w:val="both"/>
        <w:rPr>
          <w:rFonts w:hint="default" w:ascii="Times New Roman" w:hAnsi="Times New Roman" w:cs="Times New Roman"/>
          <w:lang w:val="en-US" w:eastAsia="zh-CN"/>
        </w:rPr>
      </w:pPr>
      <w:bookmarkStart w:id="27" w:name="_Toc25047"/>
      <w:r>
        <w:rPr>
          <w:rFonts w:hint="default" w:ascii="Times New Roman" w:hAnsi="Times New Roman" w:cs="Times New Roman"/>
          <w:color w:val="000000"/>
          <w:kern w:val="0"/>
          <w:sz w:val="24"/>
          <w:szCs w:val="24"/>
          <w:lang w:val="en-US" w:eastAsia="zh-CN" w:bidi="ar"/>
        </w:rPr>
        <w:t>鼎耘产业成立于2025年8月27日，系为本次收购设立的主体，截至目前尚未实际开展经营活动</w:t>
      </w:r>
      <w:r>
        <w:rPr>
          <w:rFonts w:hint="eastAsia" w:cs="Times New Roman"/>
          <w:color w:val="000000"/>
          <w:kern w:val="0"/>
          <w:sz w:val="24"/>
          <w:szCs w:val="24"/>
          <w:lang w:val="en-US" w:eastAsia="zh-CN" w:bidi="ar"/>
        </w:rPr>
        <w:t>，</w:t>
      </w:r>
      <w:r>
        <w:rPr>
          <w:rFonts w:hint="default" w:ascii="Times New Roman" w:hAnsi="Times New Roman" w:cs="Times New Roman"/>
          <w:lang w:val="en-US" w:eastAsia="zh-CN"/>
        </w:rPr>
        <w:t>尚无最近三年的主要财务数据。</w:t>
      </w:r>
    </w:p>
    <w:p w14:paraId="0C630D57">
      <w:pPr>
        <w:pStyle w:val="20"/>
        <w:spacing w:before="156" w:after="156"/>
        <w:ind w:firstLine="480"/>
        <w:jc w:val="both"/>
        <w:rPr>
          <w:rFonts w:hint="default" w:ascii="Times New Roman" w:hAnsi="Times New Roman" w:cs="Times New Roman"/>
          <w:lang w:val="en-US" w:eastAsia="zh-CN"/>
        </w:rPr>
      </w:pPr>
      <w:r>
        <w:rPr>
          <w:rFonts w:hint="eastAsia" w:cs="Times New Roman"/>
          <w:lang w:val="en-US" w:eastAsia="zh-CN"/>
        </w:rPr>
        <w:t>鼎耘产业的执行事务合伙人</w:t>
      </w:r>
      <w:r>
        <w:rPr>
          <w:rFonts w:hint="default" w:ascii="Times New Roman" w:hAnsi="Times New Roman" w:cs="Times New Roman"/>
          <w:lang w:val="en-US" w:eastAsia="zh-CN"/>
        </w:rPr>
        <w:t>鼎耘</w:t>
      </w:r>
      <w:r>
        <w:rPr>
          <w:rFonts w:hint="eastAsia" w:cs="Times New Roman"/>
          <w:lang w:val="en-US" w:eastAsia="zh-CN"/>
        </w:rPr>
        <w:t>工业</w:t>
      </w:r>
      <w:r>
        <w:rPr>
          <w:rFonts w:hint="default" w:ascii="Times New Roman" w:hAnsi="Times New Roman" w:cs="Times New Roman"/>
          <w:lang w:val="en-US" w:eastAsia="zh-CN"/>
        </w:rPr>
        <w:t>于2025年</w:t>
      </w:r>
      <w:r>
        <w:rPr>
          <w:rFonts w:hint="eastAsia"/>
          <w:lang w:val="en-US" w:eastAsia="zh-CN"/>
        </w:rPr>
        <w:t>6月11日</w:t>
      </w:r>
      <w:r>
        <w:rPr>
          <w:rFonts w:hint="default" w:ascii="Times New Roman" w:hAnsi="Times New Roman" w:cs="Times New Roman"/>
          <w:lang w:val="en-US" w:eastAsia="zh-CN"/>
        </w:rPr>
        <w:t>成立，其尚未实际开展经营活动，尚无最近三年的主要财务数据。</w:t>
      </w:r>
    </w:p>
    <w:p w14:paraId="421E6093">
      <w:pPr>
        <w:pStyle w:val="21"/>
        <w:bidi w:val="0"/>
        <w:rPr>
          <w:rFonts w:hint="eastAsia"/>
          <w:lang w:val="en-US" w:eastAsia="zh-CN"/>
        </w:rPr>
      </w:pPr>
      <w:r>
        <w:rPr>
          <w:rFonts w:hint="eastAsia"/>
          <w:lang w:val="en-US" w:eastAsia="zh-CN"/>
        </w:rPr>
        <w:t>（五）对收购人最近五年合法、合规经营情况的核查</w:t>
      </w:r>
    </w:p>
    <w:p w14:paraId="2B0F304E">
      <w:pPr>
        <w:pStyle w:val="20"/>
        <w:spacing w:before="156" w:after="156"/>
        <w:ind w:firstLine="480"/>
        <w:jc w:val="both"/>
      </w:pPr>
      <w:r>
        <w:rPr>
          <w:rFonts w:hint="eastAsia"/>
        </w:rPr>
        <w:t>截至本报告书签署日，</w:t>
      </w:r>
      <w:r>
        <w:rPr>
          <w:rFonts w:hint="eastAsia"/>
          <w:lang w:val="en-US" w:eastAsia="zh-CN"/>
        </w:rPr>
        <w:t>收购人</w:t>
      </w:r>
      <w:r>
        <w:rPr>
          <w:rFonts w:hint="eastAsia"/>
        </w:rPr>
        <w:t>最近五年未受过行政处罚（与证券市场明显无关的除外）、刑事处罚，</w:t>
      </w:r>
      <w:r>
        <w:rPr>
          <w:rFonts w:hint="eastAsia"/>
          <w:lang w:val="en-US" w:eastAsia="zh-CN"/>
        </w:rPr>
        <w:t>也</w:t>
      </w:r>
      <w:r>
        <w:rPr>
          <w:rFonts w:hint="eastAsia"/>
        </w:rPr>
        <w:t>不涉及与经济纠纷有关的重大民事诉讼或者仲裁</w:t>
      </w:r>
      <w:r>
        <w:rPr>
          <w:rStyle w:val="18"/>
          <w:rFonts w:hint="eastAsia"/>
        </w:rPr>
        <w:footnoteReference w:id="0"/>
      </w:r>
      <w:r>
        <w:rPr>
          <w:rFonts w:hint="eastAsia"/>
        </w:rPr>
        <w:t>。</w:t>
      </w:r>
    </w:p>
    <w:p w14:paraId="26FFA797">
      <w:pPr>
        <w:pStyle w:val="21"/>
        <w:bidi w:val="0"/>
        <w:rPr>
          <w:rFonts w:hint="default"/>
          <w:lang w:val="en-US" w:eastAsia="zh-CN"/>
        </w:rPr>
      </w:pPr>
      <w:r>
        <w:rPr>
          <w:rFonts w:hint="eastAsia"/>
          <w:lang w:val="en-US" w:eastAsia="zh-CN"/>
        </w:rPr>
        <w:t>（六）对</w:t>
      </w:r>
      <w:bookmarkEnd w:id="27"/>
      <w:r>
        <w:rPr>
          <w:rFonts w:hint="eastAsia"/>
          <w:lang w:val="en-US" w:eastAsia="zh-CN"/>
        </w:rPr>
        <w:t>收购人的董事、监事、高级管理人员的基本情况的核查</w:t>
      </w:r>
    </w:p>
    <w:p w14:paraId="0DCA5ACD">
      <w:pPr>
        <w:pStyle w:val="20"/>
        <w:spacing w:before="156" w:after="156"/>
        <w:ind w:firstLine="480"/>
        <w:rPr>
          <w:rFonts w:hint="eastAsia" w:eastAsia="宋体"/>
          <w:lang w:eastAsia="zh-CN"/>
        </w:rPr>
      </w:pPr>
      <w:r>
        <w:rPr>
          <w:rFonts w:hint="eastAsia"/>
        </w:rPr>
        <w:t>截至本报告书签署日，</w:t>
      </w:r>
      <w:r>
        <w:rPr>
          <w:rFonts w:hint="eastAsia"/>
          <w:lang w:val="en-US" w:eastAsia="zh-CN"/>
        </w:rPr>
        <w:t>收购人</w:t>
      </w:r>
      <w:r>
        <w:rPr>
          <w:rFonts w:hint="eastAsia"/>
        </w:rPr>
        <w:t>主要负责人的基本情况如下：</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27"/>
        <w:gridCol w:w="914"/>
        <w:gridCol w:w="675"/>
        <w:gridCol w:w="2452"/>
        <w:gridCol w:w="1760"/>
        <w:gridCol w:w="1894"/>
      </w:tblGrid>
      <w:tr w14:paraId="7F11F43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blHeader/>
          <w:jc w:val="center"/>
        </w:trPr>
        <w:tc>
          <w:tcPr>
            <w:tcW w:w="485" w:type="pct"/>
            <w:shd w:val="clear" w:color="auto" w:fill="auto"/>
            <w:vAlign w:val="center"/>
          </w:tcPr>
          <w:p w14:paraId="2DDBB79D">
            <w:pPr>
              <w:pStyle w:val="24"/>
              <w:jc w:val="center"/>
              <w:rPr>
                <w:rFonts w:hint="default"/>
                <w:b/>
                <w:bCs/>
                <w:sz w:val="21"/>
                <w:szCs w:val="21"/>
                <w:lang w:val="en-US" w:eastAsia="zh-CN"/>
              </w:rPr>
            </w:pPr>
            <w:r>
              <w:rPr>
                <w:rFonts w:hint="default"/>
                <w:b/>
                <w:bCs/>
                <w:sz w:val="21"/>
                <w:szCs w:val="21"/>
                <w:lang w:val="en-US" w:eastAsia="zh-CN"/>
              </w:rPr>
              <w:t>姓名</w:t>
            </w:r>
          </w:p>
        </w:tc>
        <w:tc>
          <w:tcPr>
            <w:tcW w:w="536" w:type="pct"/>
            <w:shd w:val="clear" w:color="auto" w:fill="auto"/>
            <w:vAlign w:val="center"/>
          </w:tcPr>
          <w:p w14:paraId="4493871A">
            <w:pPr>
              <w:pStyle w:val="24"/>
              <w:jc w:val="center"/>
              <w:rPr>
                <w:rFonts w:hint="default"/>
                <w:b/>
                <w:bCs/>
                <w:sz w:val="21"/>
                <w:szCs w:val="21"/>
                <w:lang w:val="en-US" w:eastAsia="zh-CN"/>
              </w:rPr>
            </w:pPr>
            <w:r>
              <w:rPr>
                <w:rFonts w:hint="default"/>
                <w:b/>
                <w:bCs/>
                <w:sz w:val="21"/>
                <w:szCs w:val="21"/>
                <w:lang w:val="en-US" w:eastAsia="zh-CN"/>
              </w:rPr>
              <w:t>曾用名</w:t>
            </w:r>
          </w:p>
        </w:tc>
        <w:tc>
          <w:tcPr>
            <w:tcW w:w="396" w:type="pct"/>
            <w:shd w:val="clear" w:color="auto" w:fill="auto"/>
            <w:vAlign w:val="center"/>
          </w:tcPr>
          <w:p w14:paraId="64DF7949">
            <w:pPr>
              <w:pStyle w:val="24"/>
              <w:jc w:val="center"/>
              <w:rPr>
                <w:rFonts w:hint="default"/>
                <w:b/>
                <w:bCs/>
                <w:sz w:val="21"/>
                <w:szCs w:val="21"/>
                <w:lang w:val="en-US" w:eastAsia="zh-CN"/>
              </w:rPr>
            </w:pPr>
            <w:r>
              <w:rPr>
                <w:rFonts w:hint="default"/>
                <w:b/>
                <w:bCs/>
                <w:sz w:val="21"/>
                <w:szCs w:val="21"/>
                <w:lang w:val="en-US" w:eastAsia="zh-CN"/>
              </w:rPr>
              <w:t>国籍</w:t>
            </w:r>
          </w:p>
        </w:tc>
        <w:tc>
          <w:tcPr>
            <w:tcW w:w="1438" w:type="pct"/>
            <w:shd w:val="clear" w:color="auto" w:fill="auto"/>
            <w:vAlign w:val="center"/>
          </w:tcPr>
          <w:p w14:paraId="11FF556F">
            <w:pPr>
              <w:pStyle w:val="24"/>
              <w:jc w:val="center"/>
              <w:rPr>
                <w:rFonts w:hint="default"/>
                <w:b/>
                <w:bCs/>
                <w:sz w:val="21"/>
                <w:szCs w:val="21"/>
                <w:lang w:val="en-US" w:eastAsia="zh-CN"/>
              </w:rPr>
            </w:pPr>
            <w:r>
              <w:rPr>
                <w:rFonts w:hint="default"/>
                <w:b/>
                <w:bCs/>
                <w:sz w:val="21"/>
                <w:szCs w:val="21"/>
                <w:lang w:val="en-US" w:eastAsia="zh-CN"/>
              </w:rPr>
              <w:t>身份证件号码</w:t>
            </w:r>
          </w:p>
        </w:tc>
        <w:tc>
          <w:tcPr>
            <w:tcW w:w="1032" w:type="pct"/>
            <w:shd w:val="clear" w:color="auto" w:fill="auto"/>
            <w:vAlign w:val="center"/>
          </w:tcPr>
          <w:p w14:paraId="41F85EEB">
            <w:pPr>
              <w:pStyle w:val="24"/>
              <w:jc w:val="center"/>
              <w:rPr>
                <w:rFonts w:hint="default"/>
                <w:b/>
                <w:bCs/>
                <w:sz w:val="21"/>
                <w:szCs w:val="21"/>
                <w:lang w:val="en-US" w:eastAsia="zh-CN"/>
              </w:rPr>
            </w:pPr>
            <w:r>
              <w:rPr>
                <w:rFonts w:hint="eastAsia"/>
                <w:b/>
                <w:bCs/>
                <w:sz w:val="21"/>
                <w:szCs w:val="21"/>
                <w:lang w:val="en-US" w:eastAsia="zh-CN"/>
              </w:rPr>
              <w:t>住所地</w:t>
            </w:r>
          </w:p>
        </w:tc>
        <w:tc>
          <w:tcPr>
            <w:tcW w:w="1111" w:type="pct"/>
            <w:shd w:val="clear" w:color="auto" w:fill="auto"/>
            <w:vAlign w:val="center"/>
          </w:tcPr>
          <w:p w14:paraId="7FA0C995">
            <w:pPr>
              <w:pStyle w:val="24"/>
              <w:jc w:val="center"/>
              <w:rPr>
                <w:rFonts w:hint="default"/>
                <w:b/>
                <w:bCs/>
                <w:sz w:val="21"/>
                <w:szCs w:val="21"/>
                <w:lang w:val="en-US" w:eastAsia="zh-CN"/>
              </w:rPr>
            </w:pPr>
            <w:r>
              <w:rPr>
                <w:rFonts w:hint="default"/>
                <w:b/>
                <w:bCs/>
                <w:sz w:val="21"/>
                <w:szCs w:val="21"/>
                <w:lang w:val="en-US" w:eastAsia="zh-CN"/>
              </w:rPr>
              <w:t>是否取得其他国家或地区居留权</w:t>
            </w:r>
          </w:p>
        </w:tc>
      </w:tr>
      <w:tr w14:paraId="33B1654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jc w:val="center"/>
        </w:trPr>
        <w:tc>
          <w:tcPr>
            <w:tcW w:w="485" w:type="pct"/>
            <w:shd w:val="clear" w:color="auto" w:fill="auto"/>
            <w:vAlign w:val="center"/>
          </w:tcPr>
          <w:p w14:paraId="08DA17EF">
            <w:pPr>
              <w:pStyle w:val="24"/>
              <w:jc w:val="center"/>
              <w:rPr>
                <w:rFonts w:hint="default"/>
                <w:sz w:val="21"/>
                <w:szCs w:val="21"/>
                <w:lang w:val="en-US" w:eastAsia="zh-CN"/>
              </w:rPr>
            </w:pPr>
            <w:r>
              <w:rPr>
                <w:rFonts w:hint="eastAsia"/>
                <w:sz w:val="21"/>
                <w:szCs w:val="21"/>
                <w:lang w:val="en-US" w:eastAsia="zh-CN"/>
              </w:rPr>
              <w:t>李辉</w:t>
            </w:r>
          </w:p>
        </w:tc>
        <w:tc>
          <w:tcPr>
            <w:tcW w:w="536" w:type="pct"/>
            <w:shd w:val="clear" w:color="auto" w:fill="auto"/>
            <w:vAlign w:val="center"/>
          </w:tcPr>
          <w:p w14:paraId="568B8E5C">
            <w:pPr>
              <w:pStyle w:val="24"/>
              <w:jc w:val="center"/>
              <w:rPr>
                <w:rFonts w:hint="default"/>
                <w:sz w:val="21"/>
                <w:szCs w:val="21"/>
                <w:lang w:val="en-US" w:eastAsia="zh-CN"/>
              </w:rPr>
            </w:pPr>
            <w:r>
              <w:rPr>
                <w:rFonts w:hint="default"/>
                <w:sz w:val="21"/>
                <w:szCs w:val="21"/>
                <w:lang w:val="en-US" w:eastAsia="zh-CN"/>
              </w:rPr>
              <w:t>无</w:t>
            </w:r>
          </w:p>
        </w:tc>
        <w:tc>
          <w:tcPr>
            <w:tcW w:w="396" w:type="pct"/>
            <w:shd w:val="clear" w:color="auto" w:fill="auto"/>
            <w:vAlign w:val="center"/>
          </w:tcPr>
          <w:p w14:paraId="0FA94976">
            <w:pPr>
              <w:pStyle w:val="24"/>
              <w:jc w:val="center"/>
              <w:rPr>
                <w:rFonts w:hint="default"/>
                <w:sz w:val="21"/>
                <w:szCs w:val="21"/>
                <w:lang w:val="en-US" w:eastAsia="zh-CN"/>
              </w:rPr>
            </w:pPr>
            <w:r>
              <w:rPr>
                <w:rFonts w:hint="default"/>
                <w:sz w:val="21"/>
                <w:szCs w:val="21"/>
                <w:lang w:val="en-US" w:eastAsia="zh-CN"/>
              </w:rPr>
              <w:t>中国</w:t>
            </w:r>
          </w:p>
        </w:tc>
        <w:tc>
          <w:tcPr>
            <w:tcW w:w="1438" w:type="pct"/>
            <w:shd w:val="clear" w:color="auto" w:fill="auto"/>
            <w:vAlign w:val="center"/>
          </w:tcPr>
          <w:p w14:paraId="753F4801">
            <w:pPr>
              <w:pStyle w:val="24"/>
              <w:jc w:val="center"/>
              <w:rPr>
                <w:rFonts w:hint="default"/>
                <w:sz w:val="21"/>
                <w:szCs w:val="21"/>
                <w:lang w:val="en-US" w:eastAsia="zh-CN"/>
              </w:rPr>
            </w:pPr>
            <w:r>
              <w:rPr>
                <w:rFonts w:hint="default"/>
                <w:sz w:val="21"/>
                <w:szCs w:val="21"/>
                <w:lang w:val="en-US" w:eastAsia="zh-CN"/>
              </w:rPr>
              <w:t>3412041988</w:t>
            </w:r>
            <w:r>
              <w:rPr>
                <w:rFonts w:hint="default" w:ascii="Times New Roman" w:hAnsi="Times New Roman" w:eastAsia="宋体" w:cs="Times New Roman"/>
                <w:i w:val="0"/>
                <w:iCs w:val="0"/>
                <w:color w:val="333333"/>
                <w:kern w:val="0"/>
                <w:sz w:val="21"/>
                <w:szCs w:val="21"/>
                <w:u w:val="none"/>
                <w:lang w:val="en-US" w:eastAsia="zh-CN" w:bidi="ar"/>
              </w:rPr>
              <w:t>********</w:t>
            </w:r>
          </w:p>
        </w:tc>
        <w:tc>
          <w:tcPr>
            <w:tcW w:w="1032" w:type="pct"/>
            <w:shd w:val="clear" w:color="auto" w:fill="auto"/>
            <w:vAlign w:val="center"/>
          </w:tcPr>
          <w:p w14:paraId="5F501624">
            <w:pPr>
              <w:pStyle w:val="24"/>
              <w:jc w:val="center"/>
              <w:rPr>
                <w:rFonts w:hint="default"/>
                <w:sz w:val="21"/>
                <w:szCs w:val="21"/>
                <w:lang w:val="en-US" w:eastAsia="zh-CN"/>
              </w:rPr>
            </w:pPr>
            <w:r>
              <w:rPr>
                <w:rFonts w:hint="eastAsia"/>
                <w:sz w:val="21"/>
                <w:szCs w:val="21"/>
                <w:lang w:val="en-US" w:eastAsia="zh-CN"/>
              </w:rPr>
              <w:t>安徽省</w:t>
            </w:r>
          </w:p>
        </w:tc>
        <w:tc>
          <w:tcPr>
            <w:tcW w:w="1111" w:type="pct"/>
            <w:shd w:val="clear" w:color="auto" w:fill="auto"/>
            <w:vAlign w:val="center"/>
          </w:tcPr>
          <w:p w14:paraId="57DCA9EB">
            <w:pPr>
              <w:pStyle w:val="24"/>
              <w:jc w:val="center"/>
              <w:rPr>
                <w:rFonts w:hint="default"/>
                <w:sz w:val="21"/>
                <w:szCs w:val="21"/>
                <w:lang w:val="en-US" w:eastAsia="zh-CN"/>
              </w:rPr>
            </w:pPr>
            <w:r>
              <w:rPr>
                <w:rFonts w:hint="default"/>
                <w:sz w:val="21"/>
                <w:szCs w:val="21"/>
                <w:lang w:val="en-US" w:eastAsia="zh-CN"/>
              </w:rPr>
              <w:t>否</w:t>
            </w:r>
          </w:p>
        </w:tc>
      </w:tr>
    </w:tbl>
    <w:p w14:paraId="269A0EE9">
      <w:pPr>
        <w:pStyle w:val="20"/>
        <w:spacing w:before="156" w:after="156"/>
        <w:ind w:firstLine="480"/>
        <w:jc w:val="both"/>
        <w:rPr>
          <w:rFonts w:hint="eastAsia" w:eastAsia="宋体"/>
          <w:lang w:eastAsia="zh-CN"/>
        </w:rPr>
      </w:pPr>
      <w:r>
        <w:rPr>
          <w:rFonts w:hint="eastAsia"/>
        </w:rPr>
        <w:t>截至本报告书签署日，</w:t>
      </w:r>
      <w:r>
        <w:rPr>
          <w:rFonts w:hint="eastAsia"/>
          <w:lang w:val="en-US" w:eastAsia="zh-CN"/>
        </w:rPr>
        <w:t>最近五年</w:t>
      </w:r>
      <w:r>
        <w:rPr>
          <w:rFonts w:hint="eastAsia"/>
        </w:rPr>
        <w:t>，</w:t>
      </w:r>
      <w:r>
        <w:rPr>
          <w:rFonts w:hint="eastAsia"/>
          <w:lang w:val="en-US" w:eastAsia="zh-CN"/>
        </w:rPr>
        <w:t>收购</w:t>
      </w:r>
      <w:r>
        <w:rPr>
          <w:rFonts w:hint="eastAsia"/>
        </w:rPr>
        <w:t>人主要负责人未受过行政处罚（与证券市场明显无关的除外）、刑事处罚，</w:t>
      </w:r>
      <w:r>
        <w:rPr>
          <w:rFonts w:hint="eastAsia"/>
          <w:lang w:val="en-US" w:eastAsia="zh-CN"/>
        </w:rPr>
        <w:t>也</w:t>
      </w:r>
      <w:r>
        <w:rPr>
          <w:rFonts w:hint="eastAsia"/>
        </w:rPr>
        <w:t>不涉及与经济纠纷有关的重大民事诉讼或者仲裁</w:t>
      </w:r>
      <w:r>
        <w:rPr>
          <w:rFonts w:hint="eastAsia"/>
          <w:lang w:eastAsia="zh-CN"/>
        </w:rPr>
        <w:t>。</w:t>
      </w:r>
    </w:p>
    <w:p w14:paraId="072497E8">
      <w:pPr>
        <w:pStyle w:val="21"/>
        <w:bidi w:val="0"/>
        <w:rPr>
          <w:rFonts w:hint="default"/>
          <w:lang w:val="en-US" w:eastAsia="zh-CN"/>
        </w:rPr>
      </w:pPr>
      <w:r>
        <w:rPr>
          <w:rFonts w:hint="eastAsia"/>
          <w:lang w:val="en-US" w:eastAsia="zh-CN"/>
        </w:rPr>
        <w:t>（七）对收购人及控股股东、实际控制人在境内、境外其他上市公司中拥有权益的股份达到或超过该公司已发行股份5%情况的核查</w:t>
      </w:r>
    </w:p>
    <w:p w14:paraId="760CA460">
      <w:pPr>
        <w:pStyle w:val="20"/>
        <w:spacing w:before="156" w:after="156"/>
        <w:ind w:left="0" w:leftChars="0" w:firstLine="480" w:firstLineChars="200"/>
        <w:jc w:val="both"/>
        <w:rPr>
          <w:rFonts w:hint="eastAsia"/>
          <w:lang w:eastAsia="zh-CN"/>
        </w:rPr>
      </w:pPr>
      <w:r>
        <w:rPr>
          <w:rFonts w:hint="eastAsia"/>
        </w:rPr>
        <w:t>截至本报告书签署日，</w:t>
      </w:r>
      <w:r>
        <w:rPr>
          <w:rFonts w:hint="eastAsia"/>
          <w:lang w:val="en-US" w:eastAsia="zh-CN"/>
        </w:rPr>
        <w:t>收购</w:t>
      </w:r>
      <w:r>
        <w:rPr>
          <w:rFonts w:hint="eastAsia"/>
        </w:rPr>
        <w:t>人</w:t>
      </w:r>
      <w:r>
        <w:rPr>
          <w:rFonts w:hint="eastAsia"/>
          <w:lang w:val="en-US" w:eastAsia="zh-CN"/>
        </w:rPr>
        <w:t>及其执行事务合伙人、实际控制人不存在</w:t>
      </w:r>
      <w:r>
        <w:rPr>
          <w:rFonts w:hint="eastAsia"/>
        </w:rPr>
        <w:t>直接及通过子公司间接持有境内、境外其他上市公司5%以上股份的情况</w:t>
      </w:r>
      <w:r>
        <w:rPr>
          <w:rFonts w:hint="eastAsia"/>
          <w:lang w:eastAsia="zh-CN"/>
        </w:rPr>
        <w:t>。</w:t>
      </w:r>
    </w:p>
    <w:p w14:paraId="4BD25CF2">
      <w:pPr>
        <w:pStyle w:val="21"/>
        <w:bidi w:val="0"/>
        <w:rPr>
          <w:rFonts w:hint="default"/>
          <w:lang w:val="en-US" w:eastAsia="zh-CN"/>
        </w:rPr>
      </w:pPr>
      <w:r>
        <w:rPr>
          <w:rFonts w:hint="eastAsia"/>
          <w:lang w:val="en-US" w:eastAsia="zh-CN"/>
        </w:rPr>
        <w:t>（八）对收购人最近两年控股股东、实际控制人变更情况的核查</w:t>
      </w:r>
    </w:p>
    <w:p w14:paraId="4C1D090B">
      <w:pPr>
        <w:pStyle w:val="20"/>
        <w:spacing w:before="156" w:after="156"/>
        <w:ind w:firstLine="480"/>
        <w:jc w:val="both"/>
        <w:rPr>
          <w:rFonts w:hint="eastAsia"/>
          <w:lang w:eastAsia="zh-CN"/>
        </w:rPr>
      </w:pPr>
      <w:r>
        <w:rPr>
          <w:rFonts w:hint="eastAsia"/>
          <w:lang w:val="en-US" w:eastAsia="zh-CN"/>
        </w:rPr>
        <w:t>经核查，</w:t>
      </w:r>
      <w:r>
        <w:rPr>
          <w:rFonts w:hint="default" w:ascii="Times New Roman" w:hAnsi="Times New Roman" w:cs="Times New Roman"/>
          <w:lang w:val="en-US" w:eastAsia="zh-CN"/>
        </w:rPr>
        <w:t>鼎耘产业于2025年8月27日成立，</w:t>
      </w:r>
      <w:r>
        <w:rPr>
          <w:rFonts w:hint="eastAsia" w:ascii="Times New Roman" w:hAnsi="Times New Roman" w:cs="Times New Roman"/>
          <w:lang w:val="en-US" w:eastAsia="zh-CN"/>
        </w:rPr>
        <w:t>自成立至今，执行事务合伙人为鼎耘工业，实际控制人为李红星，未发生变更</w:t>
      </w:r>
      <w:r>
        <w:rPr>
          <w:rFonts w:hint="eastAsia"/>
          <w:lang w:eastAsia="zh-CN"/>
        </w:rPr>
        <w:t>。</w:t>
      </w:r>
    </w:p>
    <w:p w14:paraId="3D1B1EBE">
      <w:pPr>
        <w:pStyle w:val="21"/>
        <w:bidi w:val="0"/>
        <w:rPr>
          <w:rFonts w:hint="eastAsia"/>
          <w:lang w:val="en-US" w:eastAsia="zh-CN"/>
        </w:rPr>
      </w:pPr>
      <w:r>
        <w:rPr>
          <w:rFonts w:hint="eastAsia"/>
          <w:lang w:val="en-US" w:eastAsia="zh-CN"/>
        </w:rPr>
        <w:t xml:space="preserve">（九）对收购人是否具备规范运作上市公司管理能力及辅导情况的核查 </w:t>
      </w:r>
    </w:p>
    <w:p w14:paraId="413FD4AF">
      <w:pPr>
        <w:pStyle w:val="20"/>
        <w:spacing w:before="156" w:after="156"/>
        <w:ind w:firstLine="480"/>
        <w:jc w:val="both"/>
        <w:rPr>
          <w:rFonts w:hint="eastAsia"/>
          <w:lang w:val="en-US" w:eastAsia="zh-CN"/>
        </w:rPr>
      </w:pPr>
      <w:r>
        <w:rPr>
          <w:rFonts w:hint="eastAsia"/>
          <w:lang w:val="en-US" w:eastAsia="zh-CN"/>
        </w:rPr>
        <w:t>经核查，收购人及其主要负责人已接受财务顾问证券市场规范化运作辅导，已经熟悉有关法律、行政法规和中国证监会的规定，充分了解应承担的义务和责任，具备公司治理经验及能力，具备证券市场应有的法律意识及诚信意识，具备规范运作上市公司的管理能力。</w:t>
      </w:r>
    </w:p>
    <w:p w14:paraId="2ADFB092">
      <w:pPr>
        <w:pStyle w:val="25"/>
        <w:spacing w:before="234" w:after="234"/>
      </w:pPr>
      <w:bookmarkStart w:id="28" w:name="_Toc8583"/>
      <w:r>
        <w:rPr>
          <w:rFonts w:hint="eastAsia"/>
          <w:lang w:val="en-US" w:eastAsia="zh-CN"/>
        </w:rPr>
        <w:t>三</w:t>
      </w:r>
      <w:r>
        <w:rPr>
          <w:rFonts w:hint="eastAsia"/>
        </w:rPr>
        <w:t>、对</w:t>
      </w:r>
      <w:r>
        <w:rPr>
          <w:rFonts w:hint="eastAsia"/>
          <w:lang w:val="en-US" w:eastAsia="zh-CN"/>
        </w:rPr>
        <w:t>一致行动人</w:t>
      </w:r>
      <w:r>
        <w:rPr>
          <w:rFonts w:hint="eastAsia"/>
        </w:rPr>
        <w:t>基本情况的核查</w:t>
      </w:r>
      <w:bookmarkEnd w:id="28"/>
    </w:p>
    <w:p w14:paraId="590B6EB3">
      <w:pPr>
        <w:pStyle w:val="21"/>
        <w:spacing w:before="156" w:after="156"/>
      </w:pPr>
      <w:r>
        <w:rPr>
          <w:rFonts w:hint="eastAsia"/>
        </w:rPr>
        <w:t>（一）对</w:t>
      </w:r>
      <w:r>
        <w:rPr>
          <w:rFonts w:hint="eastAsia"/>
          <w:lang w:val="en-US" w:eastAsia="zh-CN"/>
        </w:rPr>
        <w:t>收购</w:t>
      </w:r>
      <w:r>
        <w:rPr>
          <w:rFonts w:hint="eastAsia"/>
        </w:rPr>
        <w:t>人主体资格的核查</w:t>
      </w:r>
    </w:p>
    <w:p w14:paraId="66A50055">
      <w:pPr>
        <w:pStyle w:val="20"/>
        <w:jc w:val="both"/>
      </w:pPr>
      <w:r>
        <w:rPr>
          <w:rFonts w:hint="eastAsia"/>
          <w:lang w:val="en-US" w:eastAsia="zh-CN"/>
        </w:rPr>
        <w:t>截至本报告书签署日，鼎耘科技的基本信息如下：</w:t>
      </w:r>
    </w:p>
    <w:tbl>
      <w:tblPr>
        <w:tblStyle w:val="13"/>
        <w:tblW w:w="5046"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804"/>
        <w:gridCol w:w="6639"/>
      </w:tblGrid>
      <w:tr w14:paraId="0ECC165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36F0720">
            <w:pPr>
              <w:pStyle w:val="24"/>
              <w:rPr>
                <w:b/>
                <w:bCs/>
              </w:rPr>
            </w:pPr>
            <w:r>
              <w:rPr>
                <w:rFonts w:hint="eastAsia"/>
                <w:b/>
                <w:bCs/>
                <w:lang w:val="en-US" w:eastAsia="zh-CN"/>
              </w:rPr>
              <w:t>公司</w:t>
            </w:r>
            <w:r>
              <w:rPr>
                <w:b/>
                <w:bCs/>
              </w:rPr>
              <w:t>名称</w:t>
            </w:r>
          </w:p>
        </w:tc>
        <w:tc>
          <w:tcPr>
            <w:tcW w:w="3931" w:type="pct"/>
            <w:shd w:val="clear" w:color="auto" w:fill="auto"/>
            <w:vAlign w:val="center"/>
          </w:tcPr>
          <w:p w14:paraId="0367096D">
            <w:pPr>
              <w:pStyle w:val="24"/>
            </w:pPr>
            <w:r>
              <w:rPr>
                <w:rFonts w:hint="eastAsia"/>
              </w:rPr>
              <w:t>北京鼎耘科技发展有限公司</w:t>
            </w:r>
          </w:p>
        </w:tc>
      </w:tr>
      <w:tr w14:paraId="41ED007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BD3660D">
            <w:pPr>
              <w:pStyle w:val="24"/>
              <w:rPr>
                <w:rFonts w:hint="default" w:eastAsia="宋体"/>
                <w:b/>
                <w:bCs/>
                <w:lang w:val="en-US" w:eastAsia="zh-CN"/>
              </w:rPr>
            </w:pPr>
            <w:r>
              <w:rPr>
                <w:rFonts w:hint="eastAsia"/>
                <w:b/>
                <w:bCs/>
                <w:lang w:val="en-US" w:eastAsia="zh-CN"/>
              </w:rPr>
              <w:t>法定代表人</w:t>
            </w:r>
          </w:p>
        </w:tc>
        <w:tc>
          <w:tcPr>
            <w:tcW w:w="3931" w:type="pct"/>
            <w:shd w:val="clear" w:color="auto" w:fill="auto"/>
            <w:vAlign w:val="center"/>
          </w:tcPr>
          <w:p w14:paraId="00F30D82">
            <w:pPr>
              <w:pStyle w:val="24"/>
              <w:rPr>
                <w:rFonts w:hint="eastAsia"/>
                <w:lang w:eastAsia="zh-CN"/>
              </w:rPr>
            </w:pPr>
            <w:r>
              <w:rPr>
                <w:rFonts w:hint="eastAsia"/>
                <w:lang w:eastAsia="zh-CN"/>
              </w:rPr>
              <w:t>李红星</w:t>
            </w:r>
          </w:p>
        </w:tc>
      </w:tr>
      <w:tr w14:paraId="5AB55B0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C4CB692">
            <w:pPr>
              <w:pStyle w:val="24"/>
              <w:rPr>
                <w:rFonts w:hint="eastAsia" w:eastAsia="宋体"/>
                <w:b/>
                <w:bCs/>
                <w:lang w:val="en-US" w:eastAsia="zh-CN"/>
              </w:rPr>
            </w:pPr>
            <w:r>
              <w:rPr>
                <w:rFonts w:hint="eastAsia"/>
                <w:b/>
                <w:bCs/>
                <w:lang w:val="en-US" w:eastAsia="zh-CN"/>
              </w:rPr>
              <w:t>认缴出资额</w:t>
            </w:r>
          </w:p>
        </w:tc>
        <w:tc>
          <w:tcPr>
            <w:tcW w:w="3931" w:type="pct"/>
            <w:shd w:val="clear" w:color="auto" w:fill="auto"/>
            <w:vAlign w:val="center"/>
          </w:tcPr>
          <w:p w14:paraId="5A7D1690">
            <w:pPr>
              <w:pStyle w:val="24"/>
              <w:rPr>
                <w:rFonts w:hint="default"/>
                <w:vertAlign w:val="superscript"/>
                <w:lang w:val="en-US" w:eastAsia="zh-CN"/>
              </w:rPr>
            </w:pPr>
            <w:r>
              <w:rPr>
                <w:rFonts w:hint="default"/>
                <w:lang w:val="en-US" w:eastAsia="zh-CN"/>
              </w:rPr>
              <w:t>70</w:t>
            </w:r>
            <w:r>
              <w:rPr>
                <w:rFonts w:hint="eastAsia"/>
                <w:lang w:val="en-US" w:eastAsia="zh-CN"/>
              </w:rPr>
              <w:t>,</w:t>
            </w:r>
            <w:r>
              <w:rPr>
                <w:rFonts w:hint="default"/>
                <w:lang w:val="en-US" w:eastAsia="zh-CN"/>
              </w:rPr>
              <w:t>000.00</w:t>
            </w:r>
            <w:r>
              <w:rPr>
                <w:rFonts w:hint="eastAsia"/>
                <w:lang w:val="en-US" w:eastAsia="zh-CN"/>
              </w:rPr>
              <w:t>万元</w:t>
            </w:r>
          </w:p>
        </w:tc>
      </w:tr>
      <w:tr w14:paraId="5A472AB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BCB3223">
            <w:pPr>
              <w:pStyle w:val="24"/>
              <w:rPr>
                <w:b/>
                <w:bCs/>
              </w:rPr>
            </w:pPr>
            <w:r>
              <w:rPr>
                <w:b/>
                <w:bCs/>
              </w:rPr>
              <w:t>统一社会信用代码</w:t>
            </w:r>
          </w:p>
        </w:tc>
        <w:tc>
          <w:tcPr>
            <w:tcW w:w="3931" w:type="pct"/>
            <w:shd w:val="clear" w:color="auto" w:fill="auto"/>
            <w:vAlign w:val="center"/>
          </w:tcPr>
          <w:p w14:paraId="2FCCD5C9">
            <w:pPr>
              <w:pStyle w:val="24"/>
              <w:rPr>
                <w:rFonts w:hint="eastAsia"/>
                <w:lang w:val="en-US" w:eastAsia="zh-CN"/>
              </w:rPr>
            </w:pPr>
            <w:r>
              <w:rPr>
                <w:rFonts w:hint="eastAsia"/>
                <w:lang w:val="en-US" w:eastAsia="zh-CN"/>
              </w:rPr>
              <w:t>91110105MA01A52F11</w:t>
            </w:r>
          </w:p>
        </w:tc>
      </w:tr>
      <w:tr w14:paraId="2BC2608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397" w:hRule="atLeast"/>
          <w:jc w:val="center"/>
        </w:trPr>
        <w:tc>
          <w:tcPr>
            <w:tcW w:w="1068" w:type="pct"/>
            <w:shd w:val="clear" w:color="auto" w:fill="auto"/>
            <w:vAlign w:val="center"/>
          </w:tcPr>
          <w:p w14:paraId="7C90A0E3">
            <w:pPr>
              <w:pStyle w:val="24"/>
              <w:rPr>
                <w:b/>
                <w:bCs/>
              </w:rPr>
            </w:pPr>
            <w:r>
              <w:rPr>
                <w:rFonts w:hint="eastAsia"/>
                <w:b/>
                <w:bCs/>
                <w:lang w:val="en-US" w:eastAsia="zh-CN"/>
              </w:rPr>
              <w:t>公司</w:t>
            </w:r>
            <w:r>
              <w:rPr>
                <w:b/>
                <w:bCs/>
              </w:rPr>
              <w:t>类型</w:t>
            </w:r>
          </w:p>
        </w:tc>
        <w:tc>
          <w:tcPr>
            <w:tcW w:w="3931" w:type="pct"/>
            <w:shd w:val="clear" w:color="auto" w:fill="auto"/>
            <w:vAlign w:val="center"/>
          </w:tcPr>
          <w:p w14:paraId="6B3B72AC">
            <w:pPr>
              <w:pStyle w:val="24"/>
              <w:rPr>
                <w:rFonts w:hint="eastAsia"/>
                <w:lang w:eastAsia="zh-CN"/>
              </w:rPr>
            </w:pPr>
            <w:r>
              <w:rPr>
                <w:rFonts w:hint="eastAsia"/>
                <w:lang w:eastAsia="zh-CN"/>
              </w:rPr>
              <w:t>其他有限责任公司</w:t>
            </w:r>
          </w:p>
        </w:tc>
      </w:tr>
      <w:tr w14:paraId="736B88D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DC57A3A">
            <w:pPr>
              <w:pStyle w:val="24"/>
              <w:rPr>
                <w:b/>
                <w:bCs/>
              </w:rPr>
            </w:pPr>
            <w:r>
              <w:rPr>
                <w:b/>
                <w:bCs/>
              </w:rPr>
              <w:t>经营范围</w:t>
            </w:r>
          </w:p>
        </w:tc>
        <w:tc>
          <w:tcPr>
            <w:tcW w:w="3931" w:type="pct"/>
            <w:shd w:val="clear" w:color="auto" w:fill="auto"/>
            <w:vAlign w:val="center"/>
          </w:tcPr>
          <w:p w14:paraId="0686C224">
            <w:pPr>
              <w:pStyle w:val="24"/>
              <w:rPr>
                <w:rFonts w:hint="eastAsia"/>
                <w:lang w:eastAsia="zh-CN"/>
              </w:rPr>
            </w:pPr>
            <w:r>
              <w:rPr>
                <w:rFonts w:hint="eastAsia"/>
                <w:lang w:eastAsia="zh-CN"/>
              </w:rPr>
              <w:t>技术推广服务；销售计算机、软件及辅助设备、通讯设备；计算机维修；软件开发；经济信息咨询；企业管理咨询。（市场主体依法自主选择经营项目，开展经营活动；依法须经批准的项目，经相关部门批准后依批准的内容开展经营活动；不得从事国家和本市产业政策禁止和限制类项目的经营活动。）</w:t>
            </w:r>
          </w:p>
        </w:tc>
      </w:tr>
      <w:tr w14:paraId="291AD7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DBADAC8">
            <w:pPr>
              <w:pStyle w:val="24"/>
              <w:rPr>
                <w:b/>
                <w:bCs/>
              </w:rPr>
            </w:pPr>
            <w:r>
              <w:rPr>
                <w:rFonts w:hint="eastAsia"/>
                <w:b/>
                <w:bCs/>
              </w:rPr>
              <w:t>成立日期</w:t>
            </w:r>
          </w:p>
        </w:tc>
        <w:tc>
          <w:tcPr>
            <w:tcW w:w="3931" w:type="pct"/>
            <w:shd w:val="clear" w:color="auto" w:fill="auto"/>
            <w:vAlign w:val="center"/>
          </w:tcPr>
          <w:p w14:paraId="26F80827">
            <w:pPr>
              <w:pStyle w:val="24"/>
              <w:rPr>
                <w:rFonts w:hint="default"/>
                <w:lang w:val="en-US" w:eastAsia="zh-CN"/>
              </w:rPr>
            </w:pPr>
            <w:r>
              <w:rPr>
                <w:rFonts w:hint="default"/>
                <w:lang w:val="en-US" w:eastAsia="zh-CN"/>
              </w:rPr>
              <w:t>2018</w:t>
            </w:r>
            <w:r>
              <w:rPr>
                <w:rFonts w:hint="eastAsia"/>
                <w:lang w:val="en-US" w:eastAsia="zh-CN"/>
              </w:rPr>
              <w:t>年</w:t>
            </w:r>
            <w:r>
              <w:rPr>
                <w:rFonts w:hint="default"/>
                <w:lang w:val="en-US" w:eastAsia="zh-CN"/>
              </w:rPr>
              <w:t>1</w:t>
            </w:r>
            <w:r>
              <w:rPr>
                <w:rFonts w:hint="eastAsia"/>
                <w:lang w:val="en-US" w:eastAsia="zh-CN"/>
              </w:rPr>
              <w:t>月</w:t>
            </w:r>
            <w:r>
              <w:rPr>
                <w:rFonts w:hint="default"/>
                <w:lang w:val="en-US" w:eastAsia="zh-CN"/>
              </w:rPr>
              <w:t>29</w:t>
            </w:r>
            <w:r>
              <w:rPr>
                <w:rFonts w:hint="eastAsia"/>
                <w:lang w:val="en-US" w:eastAsia="zh-CN"/>
              </w:rPr>
              <w:t>日</w:t>
            </w:r>
          </w:p>
        </w:tc>
      </w:tr>
      <w:tr w14:paraId="1FF6823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7339A51">
            <w:pPr>
              <w:pStyle w:val="24"/>
              <w:rPr>
                <w:b/>
                <w:bCs/>
              </w:rPr>
            </w:pPr>
            <w:r>
              <w:rPr>
                <w:rFonts w:hint="eastAsia"/>
                <w:b/>
                <w:bCs/>
              </w:rPr>
              <w:t>经营</w:t>
            </w:r>
            <w:r>
              <w:rPr>
                <w:b/>
                <w:bCs/>
              </w:rPr>
              <w:t>期限</w:t>
            </w:r>
          </w:p>
        </w:tc>
        <w:tc>
          <w:tcPr>
            <w:tcW w:w="3931" w:type="pct"/>
            <w:shd w:val="clear" w:color="auto" w:fill="auto"/>
            <w:vAlign w:val="center"/>
          </w:tcPr>
          <w:p w14:paraId="6F336794">
            <w:pPr>
              <w:pStyle w:val="24"/>
              <w:rPr>
                <w:rFonts w:hint="default"/>
                <w:lang w:val="en-US" w:eastAsia="zh-CN"/>
              </w:rPr>
            </w:pPr>
            <w:r>
              <w:rPr>
                <w:rFonts w:hint="default"/>
                <w:lang w:val="en-US" w:eastAsia="zh-CN"/>
              </w:rPr>
              <w:t>2018</w:t>
            </w:r>
            <w:r>
              <w:rPr>
                <w:rFonts w:hint="eastAsia"/>
                <w:lang w:val="en-US" w:eastAsia="zh-CN"/>
              </w:rPr>
              <w:t>年</w:t>
            </w:r>
            <w:r>
              <w:rPr>
                <w:rFonts w:hint="default"/>
                <w:lang w:val="en-US" w:eastAsia="zh-CN"/>
              </w:rPr>
              <w:t>1</w:t>
            </w:r>
            <w:r>
              <w:rPr>
                <w:rFonts w:hint="eastAsia"/>
                <w:lang w:val="en-US" w:eastAsia="zh-CN"/>
              </w:rPr>
              <w:t>月</w:t>
            </w:r>
            <w:r>
              <w:rPr>
                <w:rFonts w:hint="default"/>
                <w:lang w:val="en-US" w:eastAsia="zh-CN"/>
              </w:rPr>
              <w:t>29</w:t>
            </w:r>
            <w:r>
              <w:rPr>
                <w:rFonts w:hint="eastAsia"/>
                <w:lang w:val="en-US" w:eastAsia="zh-CN"/>
              </w:rPr>
              <w:t>日</w:t>
            </w:r>
            <w:r>
              <w:rPr>
                <w:rFonts w:hint="eastAsia"/>
                <w:lang w:eastAsia="zh-CN"/>
              </w:rPr>
              <w:t>至2048</w:t>
            </w:r>
            <w:r>
              <w:rPr>
                <w:rFonts w:hint="eastAsia"/>
                <w:lang w:val="en-US" w:eastAsia="zh-CN"/>
              </w:rPr>
              <w:t>年</w:t>
            </w:r>
            <w:r>
              <w:rPr>
                <w:rFonts w:hint="eastAsia"/>
                <w:lang w:eastAsia="zh-CN"/>
              </w:rPr>
              <w:t>1</w:t>
            </w:r>
            <w:r>
              <w:rPr>
                <w:rFonts w:hint="eastAsia"/>
                <w:lang w:val="en-US" w:eastAsia="zh-CN"/>
              </w:rPr>
              <w:t>月</w:t>
            </w:r>
            <w:r>
              <w:rPr>
                <w:rFonts w:hint="eastAsia"/>
                <w:lang w:eastAsia="zh-CN"/>
              </w:rPr>
              <w:t>28</w:t>
            </w:r>
            <w:r>
              <w:rPr>
                <w:rFonts w:hint="eastAsia"/>
                <w:lang w:val="en-US" w:eastAsia="zh-CN"/>
              </w:rPr>
              <w:t>日</w:t>
            </w:r>
          </w:p>
        </w:tc>
      </w:tr>
      <w:tr w14:paraId="0001AC7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FD61540">
            <w:pPr>
              <w:pStyle w:val="24"/>
              <w:rPr>
                <w:b/>
                <w:bCs/>
              </w:rPr>
            </w:pPr>
            <w:r>
              <w:rPr>
                <w:rFonts w:hint="eastAsia"/>
                <w:b/>
                <w:bCs/>
              </w:rPr>
              <w:t>注册地址</w:t>
            </w:r>
          </w:p>
        </w:tc>
        <w:tc>
          <w:tcPr>
            <w:tcW w:w="3931" w:type="pct"/>
            <w:shd w:val="clear" w:color="auto" w:fill="auto"/>
            <w:vAlign w:val="center"/>
          </w:tcPr>
          <w:p w14:paraId="512614CF">
            <w:pPr>
              <w:pStyle w:val="24"/>
              <w:rPr>
                <w:rFonts w:hint="eastAsia"/>
                <w:lang w:eastAsia="zh-CN"/>
              </w:rPr>
            </w:pPr>
            <w:r>
              <w:rPr>
                <w:rFonts w:hint="eastAsia"/>
                <w:lang w:eastAsia="zh-CN"/>
              </w:rPr>
              <w:t>北京市东城区灯市口大街33号3层308B-011</w:t>
            </w:r>
          </w:p>
        </w:tc>
      </w:tr>
      <w:tr w14:paraId="3EF3ED6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2FE08D68">
            <w:pPr>
              <w:pStyle w:val="24"/>
              <w:rPr>
                <w:b/>
                <w:bCs/>
              </w:rPr>
            </w:pPr>
            <w:r>
              <w:rPr>
                <w:rFonts w:hint="eastAsia"/>
                <w:b/>
                <w:bCs/>
              </w:rPr>
              <w:t>通讯地址</w:t>
            </w:r>
          </w:p>
        </w:tc>
        <w:tc>
          <w:tcPr>
            <w:tcW w:w="3931" w:type="pct"/>
            <w:shd w:val="clear" w:color="auto" w:fill="auto"/>
            <w:vAlign w:val="center"/>
          </w:tcPr>
          <w:p w14:paraId="427FA5A6">
            <w:pPr>
              <w:pStyle w:val="24"/>
              <w:rPr>
                <w:rFonts w:hint="eastAsia"/>
                <w:lang w:eastAsia="zh-CN"/>
              </w:rPr>
            </w:pPr>
            <w:r>
              <w:rPr>
                <w:rFonts w:hint="eastAsia"/>
                <w:lang w:eastAsia="zh-CN"/>
              </w:rPr>
              <w:t>北京市东城区灯市口大街33号3层308B-011</w:t>
            </w:r>
          </w:p>
        </w:tc>
      </w:tr>
    </w:tbl>
    <w:p w14:paraId="3DB2D052">
      <w:pPr>
        <w:pStyle w:val="20"/>
        <w:spacing w:before="156" w:after="156"/>
        <w:ind w:firstLine="480"/>
        <w:jc w:val="both"/>
      </w:pPr>
      <w:r>
        <w:rPr>
          <w:rFonts w:hint="eastAsia"/>
        </w:rPr>
        <w:t>截至</w:t>
      </w:r>
      <w:r>
        <w:rPr>
          <w:rFonts w:hint="eastAsia"/>
          <w:lang w:val="en-US" w:eastAsia="zh-CN"/>
        </w:rPr>
        <w:t>本报告书</w:t>
      </w:r>
      <w:r>
        <w:rPr>
          <w:rFonts w:hint="eastAsia"/>
        </w:rPr>
        <w:t>签署日，</w:t>
      </w:r>
      <w:r>
        <w:rPr>
          <w:rFonts w:hint="eastAsia"/>
          <w:lang w:val="en-US" w:eastAsia="zh-CN"/>
        </w:rPr>
        <w:t>一致行动人已出具《关于主体资格的说明》，确认公司</w:t>
      </w:r>
      <w:r>
        <w:rPr>
          <w:rFonts w:hint="eastAsia"/>
        </w:rPr>
        <w:t>不存在《收购办法》第六条规定的不得收购上市公司的情况，并且已经按照《收购办法》第五十条的要求提供相关文件。</w:t>
      </w:r>
    </w:p>
    <w:p w14:paraId="5D45D40F">
      <w:pPr>
        <w:pStyle w:val="20"/>
        <w:spacing w:before="156" w:after="156"/>
        <w:ind w:firstLine="480"/>
        <w:jc w:val="both"/>
        <w:rPr>
          <w:rFonts w:hint="eastAsia"/>
        </w:rPr>
      </w:pPr>
      <w:r>
        <w:rPr>
          <w:rFonts w:hint="eastAsia"/>
        </w:rPr>
        <w:t>经核查，本财务顾问认为：截至</w:t>
      </w:r>
      <w:r>
        <w:rPr>
          <w:rFonts w:hint="eastAsia"/>
          <w:lang w:val="en-US" w:eastAsia="zh-CN"/>
        </w:rPr>
        <w:t>本报告书</w:t>
      </w:r>
      <w:r>
        <w:rPr>
          <w:rFonts w:hint="eastAsia"/>
        </w:rPr>
        <w:t>签署日，</w:t>
      </w:r>
      <w:r>
        <w:rPr>
          <w:rFonts w:hint="eastAsia"/>
          <w:lang w:val="en-US" w:eastAsia="zh-CN"/>
        </w:rPr>
        <w:t>一致行动人</w:t>
      </w:r>
      <w:r>
        <w:rPr>
          <w:rFonts w:hint="eastAsia"/>
        </w:rPr>
        <w:t>系在中华人民共和国境内依法设立并合法存续的主体，不存在《收购办法》第六条规定情形及法律法规禁止收购上市公司的情形，</w:t>
      </w:r>
      <w:r>
        <w:rPr>
          <w:rFonts w:hint="eastAsia"/>
          <w:lang w:val="en-US" w:eastAsia="zh-CN"/>
        </w:rPr>
        <w:t>能够提供《收购办法》第五十条规定的文件，具备本次收购的主体资格</w:t>
      </w:r>
      <w:r>
        <w:rPr>
          <w:rFonts w:hint="eastAsia"/>
        </w:rPr>
        <w:t>。</w:t>
      </w:r>
    </w:p>
    <w:p w14:paraId="25A56123">
      <w:pPr>
        <w:pStyle w:val="21"/>
        <w:bidi w:val="0"/>
        <w:rPr>
          <w:rFonts w:hint="default"/>
          <w:lang w:val="en-US" w:eastAsia="zh-CN"/>
        </w:rPr>
      </w:pPr>
      <w:r>
        <w:rPr>
          <w:rFonts w:hint="eastAsia"/>
          <w:lang w:val="en-US" w:eastAsia="zh-CN"/>
        </w:rPr>
        <w:t>（二）对一致行动人的股权及控制关系的核查</w:t>
      </w:r>
    </w:p>
    <w:p w14:paraId="677C14C2">
      <w:pPr>
        <w:pStyle w:val="21"/>
        <w:bidi w:val="0"/>
        <w:ind w:firstLine="482" w:firstLineChars="200"/>
        <w:rPr>
          <w:rFonts w:hint="default"/>
          <w:lang w:val="en-US" w:eastAsia="zh-CN"/>
        </w:rPr>
      </w:pPr>
      <w:r>
        <w:rPr>
          <w:rFonts w:hint="eastAsia"/>
          <w:lang w:val="en-US" w:eastAsia="zh-CN"/>
        </w:rPr>
        <w:t>1、一致行动人的股权结构关系</w:t>
      </w:r>
    </w:p>
    <w:p w14:paraId="377BADE1">
      <w:pPr>
        <w:pStyle w:val="20"/>
        <w:spacing w:before="156" w:after="156"/>
        <w:ind w:firstLine="480"/>
        <w:jc w:val="both"/>
        <w:rPr>
          <w:rFonts w:hint="default"/>
          <w:lang w:val="en-US" w:eastAsia="zh-CN"/>
        </w:rPr>
      </w:pPr>
      <w:r>
        <w:rPr>
          <w:rFonts w:hint="eastAsia"/>
          <w:lang w:val="en-US" w:eastAsia="zh-CN"/>
        </w:rPr>
        <w:t>截至本报告书签署日，鼎耘科技的出资情况及股权比例如下：</w:t>
      </w:r>
    </w:p>
    <w:tbl>
      <w:tblPr>
        <w:tblStyle w:val="13"/>
        <w:tblW w:w="0" w:type="auto"/>
        <w:tblInd w:w="0" w:type="dxa"/>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2"/>
        <w:gridCol w:w="3562"/>
        <w:gridCol w:w="2500"/>
        <w:gridCol w:w="1426"/>
      </w:tblGrid>
      <w:tr w14:paraId="35058915">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1032" w:type="dxa"/>
            <w:tcBorders>
              <w:tl2br w:val="nil"/>
              <w:tr2bl w:val="nil"/>
            </w:tcBorders>
            <w:shd w:val="clear" w:color="auto" w:fill="auto"/>
            <w:vAlign w:val="center"/>
          </w:tcPr>
          <w:p w14:paraId="6FECB1AF">
            <w:pPr>
              <w:pStyle w:val="24"/>
              <w:bidi w:val="0"/>
              <w:jc w:val="center"/>
              <w:rPr>
                <w:b/>
                <w:bCs/>
              </w:rPr>
            </w:pPr>
            <w:r>
              <w:rPr>
                <w:rFonts w:hint="eastAsia"/>
                <w:b/>
                <w:bCs/>
              </w:rPr>
              <w:t>序号</w:t>
            </w:r>
          </w:p>
        </w:tc>
        <w:tc>
          <w:tcPr>
            <w:tcW w:w="3562" w:type="dxa"/>
            <w:tcBorders>
              <w:tl2br w:val="nil"/>
              <w:tr2bl w:val="nil"/>
            </w:tcBorders>
            <w:shd w:val="clear" w:color="auto" w:fill="auto"/>
            <w:vAlign w:val="center"/>
          </w:tcPr>
          <w:p w14:paraId="68459681">
            <w:pPr>
              <w:pStyle w:val="24"/>
              <w:bidi w:val="0"/>
              <w:jc w:val="center"/>
              <w:rPr>
                <w:b/>
                <w:bCs/>
              </w:rPr>
            </w:pPr>
            <w:r>
              <w:rPr>
                <w:rFonts w:hint="eastAsia"/>
                <w:b/>
                <w:bCs/>
              </w:rPr>
              <w:t>股东姓名</w:t>
            </w:r>
          </w:p>
        </w:tc>
        <w:tc>
          <w:tcPr>
            <w:tcW w:w="2500" w:type="dxa"/>
            <w:tcBorders>
              <w:tl2br w:val="nil"/>
              <w:tr2bl w:val="nil"/>
            </w:tcBorders>
            <w:shd w:val="clear" w:color="auto" w:fill="auto"/>
            <w:vAlign w:val="center"/>
          </w:tcPr>
          <w:p w14:paraId="5EE35B28">
            <w:pPr>
              <w:pStyle w:val="24"/>
              <w:bidi w:val="0"/>
              <w:jc w:val="center"/>
              <w:rPr>
                <w:rFonts w:hint="eastAsia"/>
                <w:b/>
                <w:bCs/>
              </w:rPr>
            </w:pPr>
            <w:r>
              <w:rPr>
                <w:rFonts w:hint="eastAsia"/>
                <w:b/>
                <w:bCs/>
                <w:lang w:val="en-US" w:eastAsia="zh-CN"/>
              </w:rPr>
              <w:t>认缴注册资本（万元）</w:t>
            </w:r>
          </w:p>
        </w:tc>
        <w:tc>
          <w:tcPr>
            <w:tcW w:w="1426" w:type="dxa"/>
            <w:tcBorders>
              <w:tl2br w:val="nil"/>
              <w:tr2bl w:val="nil"/>
            </w:tcBorders>
            <w:shd w:val="clear" w:color="auto" w:fill="auto"/>
            <w:vAlign w:val="center"/>
          </w:tcPr>
          <w:p w14:paraId="54A17312">
            <w:pPr>
              <w:pStyle w:val="24"/>
              <w:bidi w:val="0"/>
              <w:jc w:val="center"/>
              <w:rPr>
                <w:b/>
                <w:bCs/>
              </w:rPr>
            </w:pPr>
            <w:r>
              <w:rPr>
                <w:rFonts w:hint="eastAsia"/>
                <w:b/>
                <w:bCs/>
              </w:rPr>
              <w:t>持股比例</w:t>
            </w:r>
          </w:p>
        </w:tc>
      </w:tr>
      <w:tr w14:paraId="7BF6B1EC">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00A3008C">
            <w:pPr>
              <w:pStyle w:val="24"/>
              <w:bidi w:val="0"/>
              <w:jc w:val="center"/>
              <w:rPr>
                <w:rFonts w:hint="eastAsia" w:ascii="Times New Roman" w:hAnsi="Times New Roman" w:eastAsia="宋体" w:cs="Times New Roman"/>
                <w:kern w:val="2"/>
                <w:sz w:val="21"/>
                <w:szCs w:val="24"/>
                <w:lang w:val="en-US" w:eastAsia="zh-CN" w:bidi="ar-SA"/>
              </w:rPr>
            </w:pPr>
            <w:r>
              <w:rPr>
                <w:rFonts w:hint="eastAsia"/>
                <w:lang w:val="en-US" w:eastAsia="zh-CN"/>
              </w:rPr>
              <w:t>1</w:t>
            </w:r>
          </w:p>
        </w:tc>
        <w:tc>
          <w:tcPr>
            <w:tcW w:w="3562" w:type="dxa"/>
            <w:tcBorders>
              <w:tl2br w:val="nil"/>
              <w:tr2bl w:val="nil"/>
            </w:tcBorders>
            <w:shd w:val="clear" w:color="auto" w:fill="auto"/>
            <w:vAlign w:val="center"/>
          </w:tcPr>
          <w:p w14:paraId="35380093">
            <w:pPr>
              <w:pStyle w:val="24"/>
              <w:bidi w:val="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HYPERLINK "https://www.qcc.com/firm/30073d52cd64267467b21dab86349a27.html" \t "https://www.qcc.com/firm/_blank"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家家悦控股集团股份有限公司</w:t>
            </w:r>
            <w:r>
              <w:rPr>
                <w:rFonts w:hint="eastAsia" w:ascii="Times New Roman" w:hAnsi="Times New Roman" w:eastAsia="宋体" w:cs="Times New Roman"/>
                <w:kern w:val="2"/>
                <w:sz w:val="21"/>
                <w:szCs w:val="24"/>
                <w:lang w:val="en-US" w:eastAsia="zh-CN" w:bidi="ar-SA"/>
              </w:rPr>
              <w:fldChar w:fldCharType="end"/>
            </w:r>
          </w:p>
        </w:tc>
        <w:tc>
          <w:tcPr>
            <w:tcW w:w="2500" w:type="dxa"/>
            <w:tcBorders>
              <w:tl2br w:val="nil"/>
              <w:tr2bl w:val="nil"/>
            </w:tcBorders>
            <w:shd w:val="clear" w:color="auto" w:fill="auto"/>
            <w:vAlign w:val="center"/>
          </w:tcPr>
          <w:p w14:paraId="324960A3">
            <w:pPr>
              <w:pStyle w:val="24"/>
              <w:bidi w:val="0"/>
              <w:jc w:val="righ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57</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000</w:t>
            </w:r>
          </w:p>
        </w:tc>
        <w:tc>
          <w:tcPr>
            <w:tcW w:w="1426" w:type="dxa"/>
            <w:tcBorders>
              <w:tl2br w:val="nil"/>
              <w:tr2bl w:val="nil"/>
            </w:tcBorders>
            <w:shd w:val="clear" w:color="auto" w:fill="auto"/>
            <w:vAlign w:val="center"/>
          </w:tcPr>
          <w:p w14:paraId="785A4AD8">
            <w:pPr>
              <w:pStyle w:val="24"/>
              <w:bidi w:val="0"/>
              <w:jc w:val="right"/>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81.43%</w:t>
            </w:r>
          </w:p>
        </w:tc>
      </w:tr>
      <w:tr w14:paraId="28A5FA2C">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15B194FC">
            <w:pPr>
              <w:pStyle w:val="24"/>
              <w:bidi w:val="0"/>
              <w:jc w:val="center"/>
              <w:rPr>
                <w:rFonts w:hint="eastAsia" w:ascii="Times New Roman" w:hAnsi="Times New Roman" w:eastAsia="宋体" w:cs="Times New Roman"/>
                <w:kern w:val="2"/>
                <w:sz w:val="21"/>
                <w:szCs w:val="24"/>
                <w:lang w:val="en-US" w:eastAsia="zh-CN" w:bidi="ar-SA"/>
              </w:rPr>
            </w:pPr>
            <w:r>
              <w:rPr>
                <w:rFonts w:hint="eastAsia"/>
                <w:lang w:val="en-US" w:eastAsia="zh-CN"/>
              </w:rPr>
              <w:t>2</w:t>
            </w:r>
          </w:p>
        </w:tc>
        <w:tc>
          <w:tcPr>
            <w:tcW w:w="3562" w:type="dxa"/>
            <w:tcBorders>
              <w:tl2br w:val="nil"/>
              <w:tr2bl w:val="nil"/>
            </w:tcBorders>
            <w:shd w:val="clear" w:color="auto" w:fill="auto"/>
            <w:vAlign w:val="center"/>
          </w:tcPr>
          <w:p w14:paraId="35C0EA1E">
            <w:pPr>
              <w:pStyle w:val="24"/>
              <w:bidi w:val="0"/>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嘉华东方控股（集团）有限公司</w:t>
            </w:r>
          </w:p>
        </w:tc>
        <w:tc>
          <w:tcPr>
            <w:tcW w:w="2500" w:type="dxa"/>
            <w:tcBorders>
              <w:tl2br w:val="nil"/>
              <w:tr2bl w:val="nil"/>
            </w:tcBorders>
            <w:shd w:val="clear" w:color="auto" w:fill="auto"/>
            <w:vAlign w:val="center"/>
          </w:tcPr>
          <w:p w14:paraId="18F3319C">
            <w:pPr>
              <w:pStyle w:val="24"/>
              <w:bidi w:val="0"/>
              <w:jc w:val="right"/>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10</w:t>
            </w:r>
            <w:r>
              <w:rPr>
                <w:rFonts w:hint="eastAsia"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000</w:t>
            </w:r>
          </w:p>
        </w:tc>
        <w:tc>
          <w:tcPr>
            <w:tcW w:w="1426" w:type="dxa"/>
            <w:tcBorders>
              <w:tl2br w:val="nil"/>
              <w:tr2bl w:val="nil"/>
            </w:tcBorders>
            <w:shd w:val="clear" w:color="auto" w:fill="auto"/>
            <w:vAlign w:val="center"/>
          </w:tcPr>
          <w:p w14:paraId="1264EE1D">
            <w:pPr>
              <w:pStyle w:val="24"/>
              <w:bidi w:val="0"/>
              <w:jc w:val="right"/>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14.29%</w:t>
            </w:r>
          </w:p>
        </w:tc>
      </w:tr>
      <w:tr w14:paraId="579A9859">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33EB6561">
            <w:pPr>
              <w:pStyle w:val="24"/>
              <w:bidi w:val="0"/>
              <w:jc w:val="center"/>
              <w:rPr>
                <w:rFonts w:hint="default"/>
                <w:lang w:val="en-US" w:eastAsia="zh-CN"/>
              </w:rPr>
            </w:pPr>
            <w:r>
              <w:rPr>
                <w:rFonts w:hint="eastAsia"/>
                <w:lang w:val="en-US" w:eastAsia="zh-CN"/>
              </w:rPr>
              <w:t>3</w:t>
            </w:r>
          </w:p>
        </w:tc>
        <w:tc>
          <w:tcPr>
            <w:tcW w:w="3562" w:type="dxa"/>
            <w:tcBorders>
              <w:tl2br w:val="nil"/>
              <w:tr2bl w:val="nil"/>
            </w:tcBorders>
            <w:shd w:val="clear" w:color="auto" w:fill="auto"/>
            <w:vAlign w:val="center"/>
          </w:tcPr>
          <w:p w14:paraId="7A364852">
            <w:pPr>
              <w:pStyle w:val="24"/>
              <w:bidi w:val="0"/>
              <w:rPr>
                <w:rFonts w:hint="default" w:cs="Times New Roman"/>
                <w:kern w:val="2"/>
                <w:sz w:val="21"/>
                <w:szCs w:val="24"/>
                <w:lang w:val="en-US" w:eastAsia="zh-CN" w:bidi="ar-SA"/>
              </w:rPr>
            </w:pPr>
            <w:r>
              <w:rPr>
                <w:rFonts w:hint="eastAsia" w:cs="Times New Roman"/>
                <w:kern w:val="2"/>
                <w:sz w:val="21"/>
                <w:szCs w:val="24"/>
                <w:lang w:val="en-US" w:eastAsia="zh-CN" w:bidi="ar-SA"/>
              </w:rPr>
              <w:t>李红星</w:t>
            </w:r>
          </w:p>
        </w:tc>
        <w:tc>
          <w:tcPr>
            <w:tcW w:w="2500" w:type="dxa"/>
            <w:tcBorders>
              <w:tl2br w:val="nil"/>
              <w:tr2bl w:val="nil"/>
            </w:tcBorders>
            <w:shd w:val="clear" w:color="auto" w:fill="auto"/>
            <w:vAlign w:val="center"/>
          </w:tcPr>
          <w:p w14:paraId="2BBA84B7">
            <w:pPr>
              <w:pStyle w:val="24"/>
              <w:bidi w:val="0"/>
              <w:jc w:val="right"/>
              <w:rPr>
                <w:rFonts w:hint="eastAsia" w:cs="Times New Roman"/>
                <w:kern w:val="2"/>
                <w:sz w:val="21"/>
                <w:szCs w:val="24"/>
                <w:lang w:val="en-US" w:eastAsia="zh-CN" w:bidi="ar-SA"/>
              </w:rPr>
            </w:pPr>
            <w:r>
              <w:rPr>
                <w:rFonts w:hint="eastAsia" w:cs="Times New Roman"/>
                <w:kern w:val="2"/>
                <w:sz w:val="21"/>
                <w:szCs w:val="24"/>
                <w:lang w:val="en-US" w:eastAsia="zh-CN" w:bidi="ar-SA"/>
              </w:rPr>
              <w:t>3,000</w:t>
            </w:r>
          </w:p>
        </w:tc>
        <w:tc>
          <w:tcPr>
            <w:tcW w:w="1426" w:type="dxa"/>
            <w:tcBorders>
              <w:tl2br w:val="nil"/>
              <w:tr2bl w:val="nil"/>
            </w:tcBorders>
            <w:shd w:val="clear" w:color="auto" w:fill="auto"/>
            <w:vAlign w:val="center"/>
          </w:tcPr>
          <w:p w14:paraId="59EDDD07">
            <w:pPr>
              <w:pStyle w:val="24"/>
              <w:bidi w:val="0"/>
              <w:jc w:val="right"/>
              <w:rPr>
                <w:rFonts w:hint="eastAsia" w:cs="Times New Roman"/>
                <w:kern w:val="2"/>
                <w:sz w:val="21"/>
                <w:szCs w:val="24"/>
                <w:lang w:val="en-US" w:eastAsia="zh-CN" w:bidi="ar-SA"/>
              </w:rPr>
            </w:pPr>
            <w:r>
              <w:rPr>
                <w:rFonts w:hint="default"/>
                <w:lang w:val="en-US" w:eastAsia="zh-CN"/>
              </w:rPr>
              <w:t>4.2</w:t>
            </w:r>
            <w:r>
              <w:rPr>
                <w:rFonts w:hint="eastAsia"/>
                <w:lang w:val="en-US" w:eastAsia="zh-CN"/>
              </w:rPr>
              <w:t>9</w:t>
            </w:r>
            <w:r>
              <w:rPr>
                <w:rFonts w:hint="default"/>
                <w:lang w:val="en-US" w:eastAsia="zh-CN"/>
              </w:rPr>
              <w:t>%</w:t>
            </w:r>
          </w:p>
        </w:tc>
      </w:tr>
      <w:tr w14:paraId="13290CA4">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4594" w:type="dxa"/>
            <w:gridSpan w:val="2"/>
            <w:tcBorders>
              <w:tl2br w:val="nil"/>
              <w:tr2bl w:val="nil"/>
            </w:tcBorders>
            <w:shd w:val="clear" w:color="auto" w:fill="auto"/>
            <w:vAlign w:val="center"/>
          </w:tcPr>
          <w:p w14:paraId="08820B05">
            <w:pPr>
              <w:pStyle w:val="24"/>
              <w:bidi w:val="0"/>
              <w:jc w:val="center"/>
              <w:rPr>
                <w:b/>
                <w:bCs/>
              </w:rPr>
            </w:pPr>
            <w:r>
              <w:rPr>
                <w:rFonts w:hint="eastAsia"/>
                <w:b/>
                <w:bCs/>
              </w:rPr>
              <w:t>合计</w:t>
            </w:r>
          </w:p>
        </w:tc>
        <w:tc>
          <w:tcPr>
            <w:tcW w:w="2500" w:type="dxa"/>
            <w:tcBorders>
              <w:tl2br w:val="nil"/>
              <w:tr2bl w:val="nil"/>
            </w:tcBorders>
            <w:shd w:val="clear" w:color="auto" w:fill="auto"/>
            <w:vAlign w:val="center"/>
          </w:tcPr>
          <w:p w14:paraId="3C166DB8">
            <w:pPr>
              <w:pStyle w:val="24"/>
              <w:bidi w:val="0"/>
              <w:jc w:val="right"/>
              <w:rPr>
                <w:rFonts w:hint="default" w:eastAsia="宋体"/>
                <w:b/>
                <w:bCs/>
                <w:lang w:val="en-US" w:eastAsia="zh-CN"/>
              </w:rPr>
            </w:pPr>
            <w:r>
              <w:rPr>
                <w:rFonts w:hint="default" w:eastAsia="宋体"/>
                <w:b/>
                <w:bCs/>
                <w:lang w:val="en-US" w:eastAsia="zh-CN"/>
              </w:rPr>
              <w:t>70</w:t>
            </w:r>
            <w:r>
              <w:rPr>
                <w:rFonts w:hint="eastAsia"/>
                <w:b/>
                <w:bCs/>
                <w:lang w:val="en-US" w:eastAsia="zh-CN"/>
              </w:rPr>
              <w:t>,</w:t>
            </w:r>
            <w:r>
              <w:rPr>
                <w:rFonts w:hint="default" w:eastAsia="宋体"/>
                <w:b/>
                <w:bCs/>
                <w:lang w:val="en-US" w:eastAsia="zh-CN"/>
              </w:rPr>
              <w:t>000</w:t>
            </w:r>
            <w:r>
              <w:rPr>
                <w:rFonts w:hint="eastAsia"/>
                <w:b/>
                <w:bCs/>
                <w:lang w:val="en-US" w:eastAsia="zh-CN"/>
              </w:rPr>
              <w:t>.00</w:t>
            </w:r>
          </w:p>
        </w:tc>
        <w:tc>
          <w:tcPr>
            <w:tcW w:w="1426" w:type="dxa"/>
            <w:tcBorders>
              <w:tl2br w:val="nil"/>
              <w:tr2bl w:val="nil"/>
            </w:tcBorders>
            <w:shd w:val="clear" w:color="auto" w:fill="auto"/>
            <w:vAlign w:val="center"/>
          </w:tcPr>
          <w:p w14:paraId="7CA265DE">
            <w:pPr>
              <w:pStyle w:val="24"/>
              <w:bidi w:val="0"/>
              <w:jc w:val="right"/>
              <w:rPr>
                <w:rFonts w:hint="default" w:eastAsia="宋体"/>
                <w:b/>
                <w:bCs/>
                <w:lang w:val="en-US" w:eastAsia="zh-CN"/>
              </w:rPr>
            </w:pPr>
            <w:r>
              <w:rPr>
                <w:rFonts w:hint="eastAsia"/>
                <w:b/>
                <w:bCs/>
                <w:lang w:val="en-US" w:eastAsia="zh-CN"/>
              </w:rPr>
              <w:t>100.00%</w:t>
            </w:r>
          </w:p>
        </w:tc>
      </w:tr>
    </w:tbl>
    <w:p w14:paraId="45A075CC">
      <w:pPr>
        <w:pStyle w:val="20"/>
        <w:spacing w:before="156" w:after="156"/>
        <w:ind w:left="0" w:leftChars="0" w:firstLine="480" w:firstLineChars="200"/>
        <w:jc w:val="both"/>
        <w:rPr>
          <w:rFonts w:hint="eastAsia" w:cs="Times New Roman"/>
          <w:kern w:val="2"/>
          <w:sz w:val="24"/>
          <w:szCs w:val="24"/>
          <w:lang w:val="en-US" w:eastAsia="zh-CN" w:bidi="ar-SA"/>
        </w:rPr>
      </w:pPr>
      <w:r>
        <w:rPr>
          <w:rFonts w:hint="eastAsia"/>
          <w:lang w:val="en-US" w:eastAsia="zh-CN"/>
        </w:rPr>
        <w:t>截至本报告书签署日，家家悦控股</w:t>
      </w:r>
      <w:r>
        <w:rPr>
          <w:rFonts w:hint="eastAsia" w:cs="Times New Roman"/>
          <w:kern w:val="2"/>
          <w:sz w:val="24"/>
          <w:szCs w:val="24"/>
          <w:lang w:val="en-US" w:eastAsia="zh-CN" w:bidi="ar-SA"/>
        </w:rPr>
        <w:t>持有</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鼎耘科技</w:t>
      </w:r>
      <w:r>
        <w:rPr>
          <w:rFonts w:hint="default" w:ascii="Times New Roman" w:hAnsi="Times New Roman" w:eastAsia="宋体" w:cs="Times New Roman"/>
          <w:kern w:val="2"/>
          <w:sz w:val="24"/>
          <w:szCs w:val="24"/>
          <w:lang w:val="en-US" w:eastAsia="zh-CN" w:bidi="ar-SA"/>
        </w:rPr>
        <w:fldChar w:fldCharType="end"/>
      </w:r>
      <w:r>
        <w:rPr>
          <w:rFonts w:hint="default" w:ascii="Times New Roman" w:hAnsi="Times New Roman" w:eastAsia="宋体" w:cs="Times New Roman"/>
          <w:kern w:val="2"/>
          <w:sz w:val="24"/>
          <w:szCs w:val="24"/>
          <w:lang w:val="en-US" w:eastAsia="zh-CN" w:bidi="ar-SA"/>
        </w:rPr>
        <w:t>81.43%</w:t>
      </w:r>
      <w:r>
        <w:rPr>
          <w:rFonts w:hint="eastAsia" w:cs="Times New Roman"/>
          <w:kern w:val="2"/>
          <w:sz w:val="24"/>
          <w:szCs w:val="24"/>
          <w:lang w:val="en-US" w:eastAsia="zh-CN" w:bidi="ar-SA"/>
        </w:rPr>
        <w:t>的股份，为其控股股东；王培桓持有</w:t>
      </w:r>
      <w:r>
        <w:rPr>
          <w:rFonts w:hint="eastAsia"/>
          <w:lang w:val="en-US" w:eastAsia="zh-CN"/>
        </w:rPr>
        <w:t>家家悦控股</w:t>
      </w:r>
      <w:r>
        <w:rPr>
          <w:rFonts w:hint="eastAsia" w:cs="Times New Roman"/>
          <w:kern w:val="2"/>
          <w:sz w:val="24"/>
          <w:szCs w:val="24"/>
          <w:lang w:val="en-US" w:eastAsia="zh-CN" w:bidi="ar-SA"/>
        </w:rPr>
        <w:t>44.56%股权，为其实际控制人。</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北京鼎耘科技发展有限公司</w:t>
      </w:r>
      <w:r>
        <w:rPr>
          <w:rFonts w:hint="default" w:ascii="Times New Roman" w:hAnsi="Times New Roman" w:eastAsia="宋体" w:cs="Times New Roman"/>
          <w:kern w:val="2"/>
          <w:sz w:val="24"/>
          <w:szCs w:val="24"/>
          <w:lang w:val="en-US" w:eastAsia="zh-CN" w:bidi="ar-SA"/>
        </w:rPr>
        <w:fldChar w:fldCharType="end"/>
      </w:r>
      <w:r>
        <w:rPr>
          <w:rFonts w:hint="eastAsia" w:cs="Times New Roman"/>
          <w:kern w:val="2"/>
          <w:sz w:val="24"/>
          <w:szCs w:val="24"/>
          <w:lang w:val="en-US" w:eastAsia="zh-CN" w:bidi="ar-SA"/>
        </w:rPr>
        <w:t>的股权控制关系如下：</w:t>
      </w:r>
    </w:p>
    <w:p w14:paraId="5B236538">
      <w:pPr>
        <w:pStyle w:val="20"/>
        <w:spacing w:before="156" w:after="156"/>
        <w:ind w:left="0" w:leftChars="0" w:firstLine="480" w:firstLineChars="200"/>
        <w:jc w:val="both"/>
        <w:rPr>
          <w:rFonts w:hint="eastAsia" w:cs="Times New Roman"/>
          <w:kern w:val="2"/>
          <w:sz w:val="24"/>
          <w:szCs w:val="24"/>
          <w:lang w:val="en-US" w:eastAsia="zh-CN" w:bidi="ar-SA"/>
        </w:rPr>
      </w:pPr>
      <w:r>
        <w:drawing>
          <wp:inline distT="0" distB="0" distL="114300" distR="114300">
            <wp:extent cx="4702810" cy="1563370"/>
            <wp:effectExtent l="0" t="0" r="635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2"/>
                    <a:stretch>
                      <a:fillRect/>
                    </a:stretch>
                  </pic:blipFill>
                  <pic:spPr>
                    <a:xfrm>
                      <a:off x="0" y="0"/>
                      <a:ext cx="4702810" cy="1563370"/>
                    </a:xfrm>
                    <a:prstGeom prst="rect">
                      <a:avLst/>
                    </a:prstGeom>
                    <a:noFill/>
                    <a:ln>
                      <a:noFill/>
                    </a:ln>
                  </pic:spPr>
                </pic:pic>
              </a:graphicData>
            </a:graphic>
          </wp:inline>
        </w:drawing>
      </w:r>
    </w:p>
    <w:p w14:paraId="0528AE24">
      <w:pPr>
        <w:pStyle w:val="21"/>
        <w:bidi w:val="0"/>
        <w:ind w:firstLine="482" w:firstLineChars="200"/>
        <w:rPr>
          <w:rFonts w:hint="default"/>
          <w:lang w:val="en-US" w:eastAsia="zh-CN"/>
        </w:rPr>
      </w:pPr>
      <w:r>
        <w:rPr>
          <w:rFonts w:hint="eastAsia"/>
          <w:lang w:val="en-US" w:eastAsia="zh-CN"/>
        </w:rPr>
        <w:t>2、对一致行动人的控股股东和实际控制人基本情况的核查</w:t>
      </w:r>
    </w:p>
    <w:p w14:paraId="4A642479">
      <w:pPr>
        <w:pStyle w:val="20"/>
        <w:spacing w:before="156" w:after="156"/>
        <w:ind w:left="0" w:leftChars="0"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（1）一致行动人</w:t>
      </w:r>
      <w:r>
        <w:rPr>
          <w:rFonts w:hint="default" w:ascii="Times New Roman" w:hAnsi="Times New Roman" w:eastAsia="宋体" w:cs="Times New Roman"/>
          <w:kern w:val="2"/>
          <w:sz w:val="24"/>
          <w:szCs w:val="24"/>
          <w:lang w:val="en-US" w:eastAsia="zh-CN" w:bidi="ar-SA"/>
        </w:rPr>
        <w:t>的控股股东</w:t>
      </w:r>
    </w:p>
    <w:p w14:paraId="7CD3E837">
      <w:pPr>
        <w:pStyle w:val="20"/>
        <w:spacing w:before="156" w:after="156"/>
        <w:ind w:left="0" w:leftChars="0" w:firstLine="480" w:firstLine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截至本报告书签署日，</w:t>
      </w:r>
      <w:r>
        <w:rPr>
          <w:rFonts w:hint="eastAsia"/>
          <w:lang w:val="en-US" w:eastAsia="zh-CN"/>
        </w:rPr>
        <w:t>家家悦控股</w:t>
      </w:r>
      <w:r>
        <w:rPr>
          <w:rFonts w:hint="default" w:ascii="Times New Roman" w:hAnsi="Times New Roman" w:eastAsia="宋体" w:cs="Times New Roman"/>
          <w:kern w:val="2"/>
          <w:sz w:val="24"/>
          <w:szCs w:val="24"/>
          <w:lang w:val="en-US" w:eastAsia="zh-CN" w:bidi="ar-SA"/>
        </w:rPr>
        <w:t>持有鼎耘科技81.43%股份，为鼎耘科技的控股股东。其基本情况如下：</w:t>
      </w:r>
    </w:p>
    <w:tbl>
      <w:tblPr>
        <w:tblStyle w:val="13"/>
        <w:tblW w:w="5046"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804"/>
        <w:gridCol w:w="6639"/>
      </w:tblGrid>
      <w:tr w14:paraId="02BDE16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61235D02">
            <w:pPr>
              <w:pStyle w:val="24"/>
              <w:rPr>
                <w:b/>
                <w:bCs/>
              </w:rPr>
            </w:pPr>
            <w:r>
              <w:rPr>
                <w:rFonts w:hint="eastAsia"/>
                <w:b/>
                <w:bCs/>
                <w:lang w:val="en-US" w:eastAsia="zh-CN"/>
              </w:rPr>
              <w:t>公司</w:t>
            </w:r>
            <w:r>
              <w:rPr>
                <w:b/>
                <w:bCs/>
              </w:rPr>
              <w:t>名称</w:t>
            </w:r>
          </w:p>
        </w:tc>
        <w:tc>
          <w:tcPr>
            <w:tcW w:w="3931" w:type="pct"/>
            <w:shd w:val="clear" w:color="auto" w:fill="auto"/>
            <w:vAlign w:val="center"/>
          </w:tcPr>
          <w:p w14:paraId="4E5D9742">
            <w:pPr>
              <w:pStyle w:val="24"/>
            </w:pPr>
            <w:r>
              <w:rPr>
                <w:rFonts w:hint="eastAsia"/>
              </w:rPr>
              <w:t>家家悦控股集团股份有限公司</w:t>
            </w:r>
          </w:p>
        </w:tc>
      </w:tr>
      <w:tr w14:paraId="2D0E3CF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73CAEB3">
            <w:pPr>
              <w:pStyle w:val="24"/>
              <w:rPr>
                <w:rFonts w:hint="default" w:eastAsia="宋体"/>
                <w:b/>
                <w:bCs/>
                <w:lang w:val="en-US" w:eastAsia="zh-CN"/>
              </w:rPr>
            </w:pPr>
            <w:r>
              <w:rPr>
                <w:rFonts w:hint="eastAsia"/>
                <w:b/>
                <w:bCs/>
                <w:lang w:val="en-US" w:eastAsia="zh-CN"/>
              </w:rPr>
              <w:t>法定代表人</w:t>
            </w:r>
          </w:p>
        </w:tc>
        <w:tc>
          <w:tcPr>
            <w:tcW w:w="3931" w:type="pct"/>
            <w:shd w:val="clear" w:color="auto" w:fill="auto"/>
            <w:vAlign w:val="center"/>
          </w:tcPr>
          <w:p w14:paraId="6CFFD9F6">
            <w:pPr>
              <w:pStyle w:val="24"/>
              <w:rPr>
                <w:rFonts w:hint="eastAsia"/>
                <w:lang w:eastAsia="zh-CN"/>
              </w:rPr>
            </w:pPr>
            <w:r>
              <w:rPr>
                <w:rFonts w:hint="eastAsia"/>
                <w:lang w:eastAsia="zh-CN"/>
              </w:rPr>
              <w:t>王培桓</w:t>
            </w:r>
          </w:p>
        </w:tc>
      </w:tr>
      <w:tr w14:paraId="1D7F113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2B93C58">
            <w:pPr>
              <w:pStyle w:val="24"/>
              <w:rPr>
                <w:rFonts w:hint="eastAsia" w:eastAsia="宋体"/>
                <w:b/>
                <w:bCs/>
                <w:lang w:val="en-US" w:eastAsia="zh-CN"/>
              </w:rPr>
            </w:pPr>
            <w:r>
              <w:rPr>
                <w:rFonts w:hint="eastAsia"/>
                <w:b/>
                <w:bCs/>
                <w:lang w:val="en-US" w:eastAsia="zh-CN"/>
              </w:rPr>
              <w:t>注册资本</w:t>
            </w:r>
          </w:p>
        </w:tc>
        <w:tc>
          <w:tcPr>
            <w:tcW w:w="3931" w:type="pct"/>
            <w:shd w:val="clear" w:color="auto" w:fill="auto"/>
            <w:vAlign w:val="center"/>
          </w:tcPr>
          <w:p w14:paraId="5CD67588">
            <w:pPr>
              <w:pStyle w:val="24"/>
              <w:rPr>
                <w:rFonts w:hint="default"/>
                <w:vertAlign w:val="superscript"/>
                <w:lang w:val="en-US" w:eastAsia="zh-CN"/>
              </w:rPr>
            </w:pPr>
            <w:r>
              <w:rPr>
                <w:rFonts w:hint="default"/>
                <w:lang w:val="en-US" w:eastAsia="zh-CN"/>
              </w:rPr>
              <w:t>9</w:t>
            </w:r>
            <w:r>
              <w:rPr>
                <w:rFonts w:hint="eastAsia"/>
                <w:lang w:val="en-US" w:eastAsia="zh-CN"/>
              </w:rPr>
              <w:t>,</w:t>
            </w:r>
            <w:r>
              <w:rPr>
                <w:rFonts w:hint="default"/>
                <w:lang w:val="en-US" w:eastAsia="zh-CN"/>
              </w:rPr>
              <w:t>000.00</w:t>
            </w:r>
            <w:r>
              <w:rPr>
                <w:rFonts w:hint="eastAsia"/>
                <w:lang w:val="en-US" w:eastAsia="zh-CN"/>
              </w:rPr>
              <w:t>万元</w:t>
            </w:r>
          </w:p>
        </w:tc>
      </w:tr>
      <w:tr w14:paraId="2796697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64815C3C">
            <w:pPr>
              <w:pStyle w:val="24"/>
              <w:rPr>
                <w:b/>
                <w:bCs/>
              </w:rPr>
            </w:pPr>
            <w:r>
              <w:rPr>
                <w:b/>
                <w:bCs/>
              </w:rPr>
              <w:t>统一社会信用代码</w:t>
            </w:r>
          </w:p>
        </w:tc>
        <w:tc>
          <w:tcPr>
            <w:tcW w:w="3931" w:type="pct"/>
            <w:shd w:val="clear" w:color="auto" w:fill="auto"/>
            <w:vAlign w:val="center"/>
          </w:tcPr>
          <w:p w14:paraId="6823D98C">
            <w:pPr>
              <w:pStyle w:val="24"/>
              <w:rPr>
                <w:rFonts w:hint="eastAsia"/>
                <w:lang w:val="en-US" w:eastAsia="zh-CN"/>
              </w:rPr>
            </w:pPr>
            <w:r>
              <w:rPr>
                <w:rFonts w:hint="eastAsia"/>
                <w:lang w:val="en-US" w:eastAsia="zh-CN"/>
              </w:rPr>
              <w:t>91371000575487614H</w:t>
            </w:r>
          </w:p>
        </w:tc>
      </w:tr>
      <w:tr w14:paraId="77CB2B3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EA095A2">
            <w:pPr>
              <w:pStyle w:val="24"/>
              <w:rPr>
                <w:b/>
                <w:bCs/>
              </w:rPr>
            </w:pPr>
            <w:r>
              <w:rPr>
                <w:rFonts w:hint="eastAsia"/>
                <w:b/>
                <w:bCs/>
                <w:lang w:val="en-US" w:eastAsia="zh-CN"/>
              </w:rPr>
              <w:t>公司</w:t>
            </w:r>
            <w:r>
              <w:rPr>
                <w:b/>
                <w:bCs/>
              </w:rPr>
              <w:t>类型</w:t>
            </w:r>
          </w:p>
        </w:tc>
        <w:tc>
          <w:tcPr>
            <w:tcW w:w="3931" w:type="pct"/>
            <w:shd w:val="clear" w:color="auto" w:fill="auto"/>
            <w:vAlign w:val="center"/>
          </w:tcPr>
          <w:p w14:paraId="015A8362">
            <w:pPr>
              <w:pStyle w:val="24"/>
              <w:rPr>
                <w:rFonts w:hint="eastAsia"/>
                <w:lang w:eastAsia="zh-CN"/>
              </w:rPr>
            </w:pPr>
            <w:r>
              <w:rPr>
                <w:rFonts w:hint="eastAsia"/>
                <w:lang w:eastAsia="zh-CN"/>
              </w:rPr>
              <w:t>股份有限公司（非上市、自然人投资或控股）</w:t>
            </w:r>
          </w:p>
        </w:tc>
      </w:tr>
      <w:tr w14:paraId="2E2F77F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CDC9349">
            <w:pPr>
              <w:pStyle w:val="24"/>
              <w:rPr>
                <w:b/>
                <w:bCs/>
              </w:rPr>
            </w:pPr>
            <w:r>
              <w:rPr>
                <w:b/>
                <w:bCs/>
              </w:rPr>
              <w:t>经营范围</w:t>
            </w:r>
          </w:p>
        </w:tc>
        <w:tc>
          <w:tcPr>
            <w:tcW w:w="3931" w:type="pct"/>
            <w:shd w:val="clear" w:color="auto" w:fill="auto"/>
            <w:vAlign w:val="center"/>
          </w:tcPr>
          <w:p w14:paraId="676F775A">
            <w:pPr>
              <w:pStyle w:val="24"/>
              <w:rPr>
                <w:rFonts w:hint="eastAsia"/>
                <w:lang w:eastAsia="zh-CN"/>
              </w:rPr>
            </w:pPr>
            <w:r>
              <w:rPr>
                <w:rFonts w:hint="eastAsia"/>
                <w:lang w:eastAsia="zh-CN"/>
              </w:rPr>
              <w:t>以自有资金在国家允许范围内进行实业投资；投资咨询及策划；投资项目管理。（依法禁止的项目除外，依法须经批准的项目，经相关部门批准后方可开展经营活动）</w:t>
            </w:r>
          </w:p>
        </w:tc>
      </w:tr>
      <w:tr w14:paraId="1F64A89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3510F2D5">
            <w:pPr>
              <w:pStyle w:val="24"/>
              <w:rPr>
                <w:b/>
                <w:bCs/>
              </w:rPr>
            </w:pPr>
            <w:r>
              <w:rPr>
                <w:rFonts w:hint="eastAsia"/>
                <w:b/>
                <w:bCs/>
              </w:rPr>
              <w:t>成立日期</w:t>
            </w:r>
          </w:p>
        </w:tc>
        <w:tc>
          <w:tcPr>
            <w:tcW w:w="3931" w:type="pct"/>
            <w:shd w:val="clear" w:color="auto" w:fill="auto"/>
            <w:vAlign w:val="center"/>
          </w:tcPr>
          <w:p w14:paraId="77EC23CF">
            <w:pPr>
              <w:pStyle w:val="24"/>
              <w:rPr>
                <w:rFonts w:hint="default"/>
                <w:lang w:val="en-US" w:eastAsia="zh-CN"/>
              </w:rPr>
            </w:pPr>
            <w:r>
              <w:rPr>
                <w:rFonts w:hint="default"/>
                <w:lang w:val="en-US" w:eastAsia="zh-CN"/>
              </w:rPr>
              <w:t>2011-05-13</w:t>
            </w:r>
          </w:p>
        </w:tc>
      </w:tr>
      <w:tr w14:paraId="44B2473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4C03D5A3">
            <w:pPr>
              <w:pStyle w:val="24"/>
              <w:rPr>
                <w:b/>
                <w:bCs/>
              </w:rPr>
            </w:pPr>
            <w:r>
              <w:rPr>
                <w:rFonts w:hint="eastAsia"/>
                <w:b/>
                <w:bCs/>
              </w:rPr>
              <w:t>经营</w:t>
            </w:r>
            <w:r>
              <w:rPr>
                <w:b/>
                <w:bCs/>
              </w:rPr>
              <w:t>期限</w:t>
            </w:r>
          </w:p>
        </w:tc>
        <w:tc>
          <w:tcPr>
            <w:tcW w:w="3931" w:type="pct"/>
            <w:shd w:val="clear" w:color="auto" w:fill="auto"/>
            <w:vAlign w:val="center"/>
          </w:tcPr>
          <w:p w14:paraId="29B6B189">
            <w:pPr>
              <w:pStyle w:val="24"/>
              <w:rPr>
                <w:rFonts w:hint="eastAsia"/>
                <w:lang w:eastAsia="zh-CN"/>
              </w:rPr>
            </w:pPr>
            <w:r>
              <w:rPr>
                <w:rFonts w:hint="eastAsia"/>
                <w:lang w:eastAsia="zh-CN"/>
              </w:rPr>
              <w:t>2011-05-13至2061-05-13</w:t>
            </w:r>
          </w:p>
        </w:tc>
      </w:tr>
      <w:tr w14:paraId="1F2B8AC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CBB324C">
            <w:pPr>
              <w:pStyle w:val="24"/>
              <w:rPr>
                <w:b/>
                <w:bCs/>
              </w:rPr>
            </w:pPr>
            <w:r>
              <w:rPr>
                <w:rFonts w:hint="eastAsia"/>
                <w:b/>
                <w:bCs/>
              </w:rPr>
              <w:t>注册地址</w:t>
            </w:r>
          </w:p>
        </w:tc>
        <w:tc>
          <w:tcPr>
            <w:tcW w:w="3931" w:type="pct"/>
            <w:shd w:val="clear" w:color="auto" w:fill="auto"/>
            <w:vAlign w:val="center"/>
          </w:tcPr>
          <w:p w14:paraId="3B875E48">
            <w:pPr>
              <w:pStyle w:val="24"/>
              <w:rPr>
                <w:rFonts w:hint="eastAsia"/>
                <w:lang w:eastAsia="zh-CN"/>
              </w:rPr>
            </w:pPr>
            <w:r>
              <w:rPr>
                <w:rFonts w:hint="eastAsia"/>
                <w:lang w:eastAsia="zh-CN"/>
              </w:rPr>
              <w:t>威海经区香港路西、浦东路南</w:t>
            </w:r>
          </w:p>
        </w:tc>
      </w:tr>
      <w:tr w14:paraId="27FD256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43ECAC83">
            <w:pPr>
              <w:pStyle w:val="24"/>
              <w:rPr>
                <w:b/>
                <w:bCs/>
              </w:rPr>
            </w:pPr>
            <w:r>
              <w:rPr>
                <w:rFonts w:hint="eastAsia"/>
                <w:b/>
                <w:bCs/>
              </w:rPr>
              <w:t>通讯地址</w:t>
            </w:r>
          </w:p>
        </w:tc>
        <w:tc>
          <w:tcPr>
            <w:tcW w:w="3931" w:type="pct"/>
            <w:shd w:val="clear" w:color="auto" w:fill="auto"/>
            <w:vAlign w:val="center"/>
          </w:tcPr>
          <w:p w14:paraId="7EE8CA27">
            <w:pPr>
              <w:pStyle w:val="24"/>
              <w:rPr>
                <w:rFonts w:hint="eastAsia"/>
                <w:lang w:eastAsia="zh-CN"/>
              </w:rPr>
            </w:pPr>
            <w:r>
              <w:rPr>
                <w:rFonts w:hint="eastAsia"/>
                <w:lang w:eastAsia="zh-CN"/>
              </w:rPr>
              <w:t>威海经区香港路西、浦东路南</w:t>
            </w:r>
          </w:p>
        </w:tc>
      </w:tr>
    </w:tbl>
    <w:p w14:paraId="3A984255">
      <w:pPr>
        <w:pStyle w:val="20"/>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eastAsia"/>
          <w:lang w:val="en-US" w:eastAsia="zh-CN"/>
        </w:rPr>
        <w:t>一致行动人</w:t>
      </w:r>
      <w:r>
        <w:rPr>
          <w:rFonts w:hint="eastAsia" w:ascii="Times New Roman" w:hAnsi="Times New Roman" w:eastAsia="宋体" w:cs="Times New Roman"/>
          <w:kern w:val="2"/>
          <w:sz w:val="24"/>
          <w:szCs w:val="24"/>
          <w:lang w:val="en-US" w:eastAsia="zh-CN" w:bidi="ar-SA"/>
        </w:rPr>
        <w:t xml:space="preserve">的实际控制人 </w:t>
      </w:r>
    </w:p>
    <w:p w14:paraId="6233AEF4">
      <w:pPr>
        <w:pStyle w:val="20"/>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截至本报告书签署日，王培桓持有家家悦控股44.56%股权，为鼎耘科技</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实际控制人。其基本情况如下：</w:t>
      </w:r>
    </w:p>
    <w:tbl>
      <w:tblPr>
        <w:tblStyle w:val="13"/>
        <w:tblW w:w="4998"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48"/>
        <w:gridCol w:w="965"/>
        <w:gridCol w:w="832"/>
        <w:gridCol w:w="2387"/>
        <w:gridCol w:w="1473"/>
        <w:gridCol w:w="1814"/>
      </w:tblGrid>
      <w:tr w14:paraId="7B1939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blHeader/>
        </w:trPr>
        <w:tc>
          <w:tcPr>
            <w:tcW w:w="615" w:type="pct"/>
            <w:shd w:val="clear" w:color="auto" w:fill="auto"/>
            <w:vAlign w:val="center"/>
          </w:tcPr>
          <w:p w14:paraId="05137E9D">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姓名</w:t>
            </w:r>
          </w:p>
        </w:tc>
        <w:tc>
          <w:tcPr>
            <w:tcW w:w="566" w:type="pct"/>
            <w:shd w:val="clear" w:color="auto" w:fill="auto"/>
            <w:vAlign w:val="center"/>
          </w:tcPr>
          <w:p w14:paraId="1A48FB9C">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kern w:val="0"/>
                <w:sz w:val="21"/>
                <w:szCs w:val="21"/>
                <w:u w:val="none"/>
                <w:lang w:val="en-US" w:eastAsia="zh-CN" w:bidi="ar"/>
              </w:rPr>
            </w:pPr>
            <w:r>
              <w:rPr>
                <w:rFonts w:hint="eastAsia" w:cs="Times New Roman"/>
                <w:b/>
                <w:bCs/>
                <w:i w:val="0"/>
                <w:iCs w:val="0"/>
                <w:color w:val="333333"/>
                <w:kern w:val="0"/>
                <w:sz w:val="21"/>
                <w:szCs w:val="21"/>
                <w:u w:val="none"/>
                <w:lang w:val="en-US" w:eastAsia="zh-CN" w:bidi="ar"/>
              </w:rPr>
              <w:t>曾用名</w:t>
            </w:r>
          </w:p>
        </w:tc>
        <w:tc>
          <w:tcPr>
            <w:tcW w:w="488" w:type="pct"/>
            <w:shd w:val="clear" w:color="auto" w:fill="auto"/>
            <w:vAlign w:val="center"/>
          </w:tcPr>
          <w:p w14:paraId="3AA02CAD">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国籍</w:t>
            </w:r>
          </w:p>
        </w:tc>
        <w:tc>
          <w:tcPr>
            <w:tcW w:w="1400" w:type="pct"/>
            <w:shd w:val="clear" w:color="auto" w:fill="auto"/>
            <w:vAlign w:val="center"/>
          </w:tcPr>
          <w:p w14:paraId="3D54177B">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证件号码</w:t>
            </w:r>
          </w:p>
        </w:tc>
        <w:tc>
          <w:tcPr>
            <w:tcW w:w="864" w:type="pct"/>
            <w:shd w:val="clear" w:color="auto" w:fill="auto"/>
            <w:vAlign w:val="center"/>
          </w:tcPr>
          <w:p w14:paraId="084D411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lang w:val="en-US" w:eastAsia="zh-CN"/>
              </w:rPr>
            </w:pPr>
            <w:r>
              <w:rPr>
                <w:rFonts w:hint="eastAsia" w:cs="Times New Roman"/>
                <w:b/>
                <w:bCs/>
                <w:i w:val="0"/>
                <w:iCs w:val="0"/>
                <w:color w:val="333333"/>
                <w:sz w:val="21"/>
                <w:szCs w:val="21"/>
                <w:u w:val="none"/>
                <w:lang w:val="en-US" w:eastAsia="zh-CN"/>
              </w:rPr>
              <w:t>住所地</w:t>
            </w:r>
          </w:p>
        </w:tc>
        <w:tc>
          <w:tcPr>
            <w:tcW w:w="1064" w:type="pct"/>
            <w:shd w:val="clear" w:color="auto" w:fill="auto"/>
            <w:vAlign w:val="center"/>
          </w:tcPr>
          <w:p w14:paraId="02B2CABA">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是否取得其他国家或地区居留权</w:t>
            </w:r>
          </w:p>
        </w:tc>
      </w:tr>
      <w:tr w14:paraId="43EAC45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5" w:type="pct"/>
            <w:shd w:val="clear" w:color="auto" w:fill="auto"/>
            <w:vAlign w:val="center"/>
          </w:tcPr>
          <w:p w14:paraId="0971DB35">
            <w:pPr>
              <w:pStyle w:val="24"/>
              <w:jc w:val="center"/>
              <w:rPr>
                <w:rFonts w:hint="default" w:ascii="Times New Roman" w:hAnsi="Times New Roman" w:eastAsia="宋体" w:cs="Times New Roman"/>
                <w:i w:val="0"/>
                <w:iCs w:val="0"/>
                <w:color w:val="333333"/>
                <w:sz w:val="21"/>
                <w:szCs w:val="21"/>
                <w:u w:val="none"/>
              </w:rPr>
            </w:pPr>
            <w:r>
              <w:rPr>
                <w:rFonts w:hint="default"/>
                <w:sz w:val="21"/>
                <w:szCs w:val="21"/>
                <w:lang w:val="en-US" w:eastAsia="zh-CN"/>
              </w:rPr>
              <w:t>王培桓</w:t>
            </w:r>
          </w:p>
        </w:tc>
        <w:tc>
          <w:tcPr>
            <w:tcW w:w="566" w:type="pct"/>
            <w:shd w:val="clear" w:color="auto" w:fill="auto"/>
            <w:vAlign w:val="center"/>
          </w:tcPr>
          <w:p w14:paraId="568B606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无</w:t>
            </w:r>
          </w:p>
        </w:tc>
        <w:tc>
          <w:tcPr>
            <w:tcW w:w="488" w:type="pct"/>
            <w:shd w:val="clear" w:color="auto" w:fill="auto"/>
            <w:vAlign w:val="center"/>
          </w:tcPr>
          <w:p w14:paraId="4DCC48D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中国</w:t>
            </w:r>
          </w:p>
        </w:tc>
        <w:tc>
          <w:tcPr>
            <w:tcW w:w="1400" w:type="pct"/>
            <w:shd w:val="clear" w:color="auto" w:fill="auto"/>
            <w:vAlign w:val="center"/>
          </w:tcPr>
          <w:p w14:paraId="41D90D1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center"/>
              <w:rPr>
                <w:rFonts w:hint="default" w:ascii="Times New Roman" w:hAnsi="Times New Roman" w:eastAsia="宋体" w:cs="Times New Roman"/>
                <w:i w:val="0"/>
                <w:iCs w:val="0"/>
                <w:color w:val="333333"/>
                <w:sz w:val="21"/>
                <w:szCs w:val="21"/>
                <w:u w:val="none"/>
              </w:rPr>
            </w:pPr>
            <w:r>
              <w:rPr>
                <w:rFonts w:hint="default"/>
                <w:sz w:val="21"/>
                <w:szCs w:val="21"/>
                <w:lang w:val="en-US" w:eastAsia="zh-CN"/>
              </w:rPr>
              <w:t>3706201955********</w:t>
            </w:r>
          </w:p>
        </w:tc>
        <w:tc>
          <w:tcPr>
            <w:tcW w:w="864" w:type="pct"/>
            <w:shd w:val="clear" w:color="auto" w:fill="auto"/>
            <w:vAlign w:val="center"/>
          </w:tcPr>
          <w:p w14:paraId="448520D7">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lang w:val="en-US"/>
              </w:rPr>
            </w:pPr>
            <w:r>
              <w:rPr>
                <w:rFonts w:hint="eastAsia" w:cs="Times New Roman"/>
                <w:i w:val="0"/>
                <w:iCs w:val="0"/>
                <w:color w:val="333333"/>
                <w:kern w:val="0"/>
                <w:sz w:val="21"/>
                <w:szCs w:val="21"/>
                <w:u w:val="none"/>
                <w:lang w:val="en-US" w:eastAsia="zh-CN" w:bidi="ar"/>
              </w:rPr>
              <w:t>山东省</w:t>
            </w:r>
          </w:p>
        </w:tc>
        <w:tc>
          <w:tcPr>
            <w:tcW w:w="1064" w:type="pct"/>
            <w:shd w:val="clear" w:color="auto" w:fill="auto"/>
            <w:vAlign w:val="center"/>
          </w:tcPr>
          <w:p w14:paraId="3F2C73E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否</w:t>
            </w:r>
          </w:p>
        </w:tc>
      </w:tr>
    </w:tbl>
    <w:p w14:paraId="2CCCD81B">
      <w:pPr>
        <w:pStyle w:val="20"/>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王培桓先生简历如下：</w:t>
      </w:r>
    </w:p>
    <w:p w14:paraId="52B5EEB2">
      <w:pPr>
        <w:pStyle w:val="20"/>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王培桓先生，1955年生，中国国籍，本科学历。现任家家悦集团股份有限公司董事长、总经理。历任威海糖茶酒类公司经理、党支部书记，山东省威海糖酒采购供应站董事长、总经理，山东家家悦集团有限公司董事长、总经理。</w:t>
      </w:r>
    </w:p>
    <w:p w14:paraId="7EAC0405">
      <w:pPr>
        <w:pStyle w:val="21"/>
        <w:bidi w:val="0"/>
        <w:rPr>
          <w:rFonts w:hint="default"/>
          <w:lang w:val="en-US" w:eastAsia="zh-CN"/>
        </w:rPr>
      </w:pPr>
      <w:r>
        <w:rPr>
          <w:rFonts w:hint="eastAsia"/>
          <w:lang w:val="en-US" w:eastAsia="zh-CN"/>
        </w:rPr>
        <w:t>（三）对一致行动人及其控股股东、实际控制人控制的核心企业和主营业务情况的核查</w:t>
      </w:r>
    </w:p>
    <w:p w14:paraId="1F467500">
      <w:pPr>
        <w:pStyle w:val="21"/>
        <w:ind w:firstLine="482" w:firstLineChars="200"/>
      </w:pPr>
      <w:r>
        <w:rPr>
          <w:rFonts w:hint="eastAsia"/>
          <w:lang w:val="en-US" w:eastAsia="zh-CN"/>
        </w:rPr>
        <w:t>1、一致行动人</w:t>
      </w:r>
      <w:r>
        <w:rPr>
          <w:rFonts w:hint="eastAsia"/>
        </w:rPr>
        <w:t>所控制的核心企业及其主营业务的情况</w:t>
      </w:r>
    </w:p>
    <w:p w14:paraId="0676AD1B">
      <w:pPr>
        <w:pStyle w:val="20"/>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截至本报告书签署日，</w:t>
      </w:r>
      <w:r>
        <w:rPr>
          <w:rFonts w:hint="eastAsia" w:cs="Times New Roman"/>
          <w:kern w:val="2"/>
          <w:sz w:val="24"/>
          <w:szCs w:val="24"/>
          <w:lang w:val="en-US" w:eastAsia="zh-CN" w:bidi="ar-SA"/>
        </w:rPr>
        <w:t>鼎耘科技</w:t>
      </w:r>
      <w:r>
        <w:rPr>
          <w:rFonts w:hint="eastAsia" w:ascii="Times New Roman" w:hAnsi="Times New Roman" w:eastAsia="宋体" w:cs="Times New Roman"/>
          <w:kern w:val="2"/>
          <w:sz w:val="24"/>
          <w:szCs w:val="24"/>
          <w:lang w:val="en-US" w:eastAsia="zh-CN" w:bidi="ar-SA"/>
        </w:rPr>
        <w:t>不存在对外控制企业的情况。</w:t>
      </w:r>
    </w:p>
    <w:p w14:paraId="26F5501B">
      <w:pPr>
        <w:pStyle w:val="21"/>
        <w:ind w:firstLine="482" w:firstLineChars="200"/>
      </w:pPr>
      <w:r>
        <w:rPr>
          <w:rFonts w:hint="eastAsia"/>
          <w:lang w:val="en-US" w:eastAsia="zh-CN"/>
        </w:rPr>
        <w:t>2、一致行动人及其控股股东、实际控制人控制的核心企业和主营业务情况</w:t>
      </w:r>
    </w:p>
    <w:p w14:paraId="5C69C77F">
      <w:pPr>
        <w:pStyle w:val="20"/>
        <w:spacing w:before="156" w:after="156"/>
        <w:ind w:left="0" w:leftChars="0" w:firstLine="480" w:firstLine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截至本报告书签署日，</w:t>
      </w:r>
      <w:r>
        <w:rPr>
          <w:rFonts w:hint="eastAsia"/>
          <w:lang w:val="en-US" w:eastAsia="zh-CN"/>
        </w:rPr>
        <w:t>家家悦控股</w:t>
      </w:r>
      <w:r>
        <w:rPr>
          <w:rFonts w:hint="default" w:ascii="Times New Roman" w:hAnsi="Times New Roman" w:eastAsia="宋体" w:cs="Times New Roman"/>
          <w:kern w:val="2"/>
          <w:sz w:val="24"/>
          <w:szCs w:val="24"/>
          <w:lang w:val="en-US" w:eastAsia="zh-CN" w:bidi="ar-SA"/>
        </w:rPr>
        <w:t>的主营业务为实业投资</w:t>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除鼎耘科技外</w:t>
      </w:r>
      <w:r>
        <w:rPr>
          <w:rFonts w:hint="eastAsia" w:cs="Times New Roman"/>
          <w:kern w:val="2"/>
          <w:sz w:val="24"/>
          <w:szCs w:val="24"/>
          <w:lang w:val="en-US" w:eastAsia="zh-CN" w:bidi="ar-SA"/>
        </w:rPr>
        <w:t>，</w:t>
      </w:r>
      <w:r>
        <w:rPr>
          <w:rFonts w:hint="eastAsia"/>
          <w:lang w:val="en-US" w:eastAsia="zh-CN"/>
        </w:rPr>
        <w:t>家家悦控股</w:t>
      </w:r>
      <w:r>
        <w:rPr>
          <w:rFonts w:hint="default" w:ascii="Times New Roman" w:hAnsi="Times New Roman" w:eastAsia="宋体" w:cs="Times New Roman"/>
          <w:kern w:val="2"/>
          <w:sz w:val="24"/>
          <w:szCs w:val="24"/>
          <w:lang w:val="en-US" w:eastAsia="zh-CN" w:bidi="ar-SA"/>
        </w:rPr>
        <w:t>控制的</w:t>
      </w:r>
      <w:r>
        <w:rPr>
          <w:rFonts w:hint="eastAsia" w:cs="Times New Roman"/>
          <w:kern w:val="2"/>
          <w:sz w:val="24"/>
          <w:szCs w:val="24"/>
          <w:lang w:val="en-US" w:eastAsia="zh-CN" w:bidi="ar-SA"/>
        </w:rPr>
        <w:t>其他</w:t>
      </w:r>
      <w:r>
        <w:rPr>
          <w:rFonts w:hint="default" w:ascii="Times New Roman" w:hAnsi="Times New Roman" w:eastAsia="宋体" w:cs="Times New Roman"/>
          <w:kern w:val="2"/>
          <w:sz w:val="24"/>
          <w:szCs w:val="24"/>
          <w:lang w:val="en-US" w:eastAsia="zh-CN" w:bidi="ar-SA"/>
        </w:rPr>
        <w:t>核心企业及主营业务情况如下</w:t>
      </w:r>
      <w:r>
        <w:rPr>
          <w:rFonts w:hint="eastAsia" w:cs="Times New Roman"/>
          <w:kern w:val="2"/>
          <w:sz w:val="24"/>
          <w:szCs w:val="24"/>
          <w:lang w:val="en-US" w:eastAsia="zh-CN" w:bidi="ar-SA"/>
        </w:rPr>
        <w:t>：</w:t>
      </w:r>
    </w:p>
    <w:tbl>
      <w:tblPr>
        <w:tblStyle w:val="13"/>
        <w:tblW w:w="5000"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87"/>
        <w:gridCol w:w="1759"/>
        <w:gridCol w:w="1366"/>
        <w:gridCol w:w="1190"/>
        <w:gridCol w:w="3520"/>
      </w:tblGrid>
      <w:tr w14:paraId="18795034">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blHeader/>
        </w:trPr>
        <w:tc>
          <w:tcPr>
            <w:tcW w:w="403" w:type="pct"/>
            <w:tcBorders>
              <w:bottom w:val="single" w:color="auto" w:sz="4" w:space="0"/>
              <w:right w:val="single" w:color="auto" w:sz="4" w:space="0"/>
            </w:tcBorders>
            <w:shd w:val="clear" w:color="auto" w:fill="auto"/>
            <w:vAlign w:val="center"/>
          </w:tcPr>
          <w:p w14:paraId="13D47118">
            <w:pPr>
              <w:pStyle w:val="24"/>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序号</w:t>
            </w:r>
          </w:p>
        </w:tc>
        <w:tc>
          <w:tcPr>
            <w:tcW w:w="1032" w:type="pct"/>
            <w:tcBorders>
              <w:left w:val="single" w:color="auto" w:sz="4" w:space="0"/>
              <w:bottom w:val="single" w:color="auto" w:sz="4" w:space="0"/>
              <w:right w:val="single" w:color="auto" w:sz="4" w:space="0"/>
            </w:tcBorders>
            <w:shd w:val="clear" w:color="auto" w:fill="auto"/>
            <w:vAlign w:val="center"/>
          </w:tcPr>
          <w:p w14:paraId="7E377CE8">
            <w:pPr>
              <w:pStyle w:val="24"/>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企业名称</w:t>
            </w:r>
          </w:p>
        </w:tc>
        <w:tc>
          <w:tcPr>
            <w:tcW w:w="801" w:type="pct"/>
            <w:tcBorders>
              <w:left w:val="single" w:color="auto" w:sz="4" w:space="0"/>
              <w:bottom w:val="single" w:color="auto" w:sz="4" w:space="0"/>
              <w:right w:val="single" w:color="auto" w:sz="4" w:space="0"/>
            </w:tcBorders>
            <w:shd w:val="clear" w:color="auto" w:fill="auto"/>
            <w:vAlign w:val="center"/>
          </w:tcPr>
          <w:p w14:paraId="22897743">
            <w:pPr>
              <w:pStyle w:val="24"/>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注册资本（万元）</w:t>
            </w:r>
          </w:p>
        </w:tc>
        <w:tc>
          <w:tcPr>
            <w:tcW w:w="698" w:type="pct"/>
            <w:tcBorders>
              <w:left w:val="single" w:color="auto" w:sz="4" w:space="0"/>
              <w:bottom w:val="single" w:color="auto" w:sz="4" w:space="0"/>
              <w:right w:val="single" w:color="auto" w:sz="4" w:space="0"/>
            </w:tcBorders>
            <w:shd w:val="clear" w:color="auto" w:fill="auto"/>
            <w:vAlign w:val="center"/>
          </w:tcPr>
          <w:p w14:paraId="54168602">
            <w:pPr>
              <w:pStyle w:val="24"/>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持股比例</w:t>
            </w:r>
          </w:p>
        </w:tc>
        <w:tc>
          <w:tcPr>
            <w:tcW w:w="2065" w:type="pct"/>
            <w:tcBorders>
              <w:left w:val="single" w:color="auto" w:sz="4" w:space="0"/>
              <w:bottom w:val="single" w:color="auto" w:sz="4" w:space="0"/>
            </w:tcBorders>
            <w:shd w:val="clear" w:color="auto" w:fill="auto"/>
            <w:vAlign w:val="center"/>
          </w:tcPr>
          <w:p w14:paraId="658F32BF">
            <w:pPr>
              <w:pStyle w:val="24"/>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主营业务</w:t>
            </w:r>
          </w:p>
        </w:tc>
      </w:tr>
      <w:tr w14:paraId="4AE757F7">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19EED6BC">
            <w:pPr>
              <w:pStyle w:val="24"/>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1</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4BDEA697">
            <w:pPr>
              <w:pStyle w:val="24"/>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山东鼎云科技创新有限公司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529A6CB4">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6FF3B58B">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5C8D6F71">
            <w:pPr>
              <w:pStyle w:val="24"/>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信息技术咨询服务；技术服务、技术开发、技术咨询、技术交流、技术转让、技术推广</w:t>
            </w:r>
          </w:p>
        </w:tc>
      </w:tr>
      <w:tr w14:paraId="660C7D5D">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0C63E5BA">
            <w:pPr>
              <w:pStyle w:val="24"/>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2</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7EC31F48">
            <w:pPr>
              <w:pStyle w:val="24"/>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威海家家悦房地产开发有限公司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7CEA472C">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3,000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282253A4">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15826FB5">
            <w:pPr>
              <w:pStyle w:val="24"/>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凭资质从事房地产开发与销售，项目管理，建设工程咨询</w:t>
            </w:r>
          </w:p>
        </w:tc>
      </w:tr>
      <w:tr w14:paraId="136B8945">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7FF5E32F">
            <w:pPr>
              <w:pStyle w:val="24"/>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3</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62B89FFD">
            <w:pPr>
              <w:pStyle w:val="24"/>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威海信悦物业服务有限公司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0A399DEB">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68FA83AA">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6B701601">
            <w:pPr>
              <w:pStyle w:val="24"/>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凭资质从事物业管理服务、小区绿化、房屋修缮；家政服务；房屋租赁</w:t>
            </w:r>
          </w:p>
        </w:tc>
      </w:tr>
      <w:tr w14:paraId="23B9FB43">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2C2923BA">
            <w:pPr>
              <w:pStyle w:val="24"/>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4</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14E3C48C">
            <w:pPr>
              <w:pStyle w:val="24"/>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威海九龙晟酒店管理有限公司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791BD5DA">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200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736C9B3A">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3BDBEA97">
            <w:pPr>
              <w:pStyle w:val="24"/>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酒店管理；中餐类制售，住宿，卷烟、雪茄烟的零售；会议服务、展览展示服务；公关活动组织策划、企业营销策划</w:t>
            </w:r>
          </w:p>
        </w:tc>
      </w:tr>
      <w:tr w14:paraId="18C31FE2">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25E0F2CD">
            <w:pPr>
              <w:pStyle w:val="24"/>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5</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7A8EBC36">
            <w:pPr>
              <w:pStyle w:val="24"/>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荣成九龙晟酒店管理有限公司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078EB87D">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300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196CA6D6">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48425C6F">
            <w:pPr>
              <w:pStyle w:val="24"/>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许可项目：餐饮服务；食品经营；食品生产；住宿服务；烟草制品零售</w:t>
            </w:r>
          </w:p>
        </w:tc>
      </w:tr>
      <w:tr w14:paraId="6CB4ABBD">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1CD4A3A4">
            <w:pPr>
              <w:pStyle w:val="24"/>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6</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0DCFF8B3">
            <w:pPr>
              <w:pStyle w:val="24"/>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威海九龙城休闲购物广场有限公司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4034326F">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2A015EF3">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6B8A134E">
            <w:pPr>
              <w:pStyle w:val="24"/>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房地产的开发、销售、租赁服务；会议及展览服务；企业形象策划服务；停车场收费管理</w:t>
            </w:r>
          </w:p>
        </w:tc>
      </w:tr>
      <w:tr w14:paraId="12D65B53">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76CBB422">
            <w:pPr>
              <w:pStyle w:val="24"/>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7</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5488F7E8">
            <w:pPr>
              <w:pStyle w:val="24"/>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威海信悦投资管理有限公司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59B9B61E">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16DCFE2A">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31D5AB2F">
            <w:pPr>
              <w:pStyle w:val="24"/>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以自有资金对批发零售业、金融业、房地产业进行投资</w:t>
            </w:r>
          </w:p>
        </w:tc>
      </w:tr>
      <w:tr w14:paraId="6540B3CA">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4CD93C16">
            <w:pPr>
              <w:pStyle w:val="24"/>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8</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48D3DE9D">
            <w:pPr>
              <w:pStyle w:val="24"/>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山东易思凯斯企业管理有限公司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2C41FB05">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3EBA16AD">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90%</w:t>
            </w:r>
          </w:p>
        </w:tc>
        <w:tc>
          <w:tcPr>
            <w:tcW w:w="2065" w:type="pct"/>
            <w:tcBorders>
              <w:top w:val="single" w:color="auto" w:sz="4" w:space="0"/>
              <w:left w:val="single" w:color="auto" w:sz="4" w:space="0"/>
              <w:bottom w:val="single" w:color="auto" w:sz="4" w:space="0"/>
            </w:tcBorders>
            <w:shd w:val="clear" w:color="auto" w:fill="auto"/>
            <w:vAlign w:val="center"/>
          </w:tcPr>
          <w:p w14:paraId="7F9EB918">
            <w:pPr>
              <w:pStyle w:val="24"/>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许可项目：食品生产；食品经营；餐饮服务；食品互联网销售</w:t>
            </w:r>
          </w:p>
        </w:tc>
      </w:tr>
      <w:tr w14:paraId="1C5E608B">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1B33214A">
            <w:pPr>
              <w:pStyle w:val="24"/>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9</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2D17A0E2">
            <w:pPr>
              <w:pStyle w:val="24"/>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家家悦集团股份有限公司（</w:t>
            </w:r>
            <w:r>
              <w:rPr>
                <w:rFonts w:hint="default"/>
                <w:lang w:val="en-US" w:eastAsia="zh-CN"/>
              </w:rPr>
              <w:t>603708.SH</w:t>
            </w:r>
            <w:r>
              <w:rPr>
                <w:rFonts w:hint="eastAsia"/>
                <w:lang w:val="en-US" w:eastAsia="zh-CN"/>
              </w:rPr>
              <w:t>）</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6B0012E2">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64,733.67</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07032463">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62.07%</w:t>
            </w:r>
          </w:p>
        </w:tc>
        <w:tc>
          <w:tcPr>
            <w:tcW w:w="2065" w:type="pct"/>
            <w:tcBorders>
              <w:top w:val="single" w:color="auto" w:sz="4" w:space="0"/>
              <w:left w:val="single" w:color="auto" w:sz="4" w:space="0"/>
              <w:bottom w:val="single" w:color="auto" w:sz="4" w:space="0"/>
            </w:tcBorders>
            <w:shd w:val="clear" w:color="auto" w:fill="auto"/>
            <w:vAlign w:val="center"/>
          </w:tcPr>
          <w:p w14:paraId="754011B8">
            <w:pPr>
              <w:pStyle w:val="24"/>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以超市连锁为主业，以区域一体化物流为支撑，以发展现代农业生产基地和食品加工产业链为保障，以经营生鲜为特色的全供应链、多业态的综合性零售渠道商</w:t>
            </w:r>
          </w:p>
        </w:tc>
      </w:tr>
      <w:tr w14:paraId="590A130F">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403" w:type="pct"/>
            <w:tcBorders>
              <w:top w:val="single" w:color="auto" w:sz="4" w:space="0"/>
              <w:right w:val="single" w:color="auto" w:sz="4" w:space="0"/>
            </w:tcBorders>
            <w:shd w:val="clear" w:color="auto" w:fill="auto"/>
            <w:vAlign w:val="center"/>
          </w:tcPr>
          <w:p w14:paraId="24AB7CD6">
            <w:pPr>
              <w:pStyle w:val="24"/>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10</w:t>
            </w:r>
          </w:p>
        </w:tc>
        <w:tc>
          <w:tcPr>
            <w:tcW w:w="1032" w:type="pct"/>
            <w:tcBorders>
              <w:top w:val="single" w:color="auto" w:sz="4" w:space="0"/>
              <w:left w:val="single" w:color="auto" w:sz="4" w:space="0"/>
              <w:right w:val="single" w:color="auto" w:sz="4" w:space="0"/>
            </w:tcBorders>
            <w:shd w:val="clear" w:color="auto" w:fill="auto"/>
            <w:vAlign w:val="center"/>
          </w:tcPr>
          <w:p w14:paraId="483C1DEC">
            <w:pPr>
              <w:pStyle w:val="24"/>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威海信悦小额贷款有限公司</w:t>
            </w:r>
          </w:p>
        </w:tc>
        <w:tc>
          <w:tcPr>
            <w:tcW w:w="801" w:type="pct"/>
            <w:tcBorders>
              <w:top w:val="single" w:color="auto" w:sz="4" w:space="0"/>
              <w:left w:val="single" w:color="auto" w:sz="4" w:space="0"/>
              <w:right w:val="single" w:color="auto" w:sz="4" w:space="0"/>
            </w:tcBorders>
            <w:shd w:val="clear" w:color="auto" w:fill="auto"/>
            <w:vAlign w:val="center"/>
          </w:tcPr>
          <w:p w14:paraId="71C3628C">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15,000</w:t>
            </w:r>
          </w:p>
        </w:tc>
        <w:tc>
          <w:tcPr>
            <w:tcW w:w="698" w:type="pct"/>
            <w:tcBorders>
              <w:top w:val="single" w:color="auto" w:sz="4" w:space="0"/>
              <w:left w:val="single" w:color="auto" w:sz="4" w:space="0"/>
              <w:right w:val="single" w:color="auto" w:sz="4" w:space="0"/>
            </w:tcBorders>
            <w:shd w:val="clear" w:color="auto" w:fill="auto"/>
            <w:vAlign w:val="center"/>
          </w:tcPr>
          <w:p w14:paraId="19468D15">
            <w:pPr>
              <w:pStyle w:val="24"/>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50%</w:t>
            </w:r>
          </w:p>
        </w:tc>
        <w:tc>
          <w:tcPr>
            <w:tcW w:w="2065" w:type="pct"/>
            <w:tcBorders>
              <w:top w:val="single" w:color="auto" w:sz="4" w:space="0"/>
              <w:left w:val="single" w:color="auto" w:sz="4" w:space="0"/>
            </w:tcBorders>
            <w:shd w:val="clear" w:color="auto" w:fill="auto"/>
            <w:vAlign w:val="center"/>
          </w:tcPr>
          <w:p w14:paraId="3D3FBFA3">
            <w:pPr>
              <w:pStyle w:val="24"/>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在威海市区域内办理各项小额贷款；开展小企业发展、管理、财务等咨询业务；开展委托贷款和股权投资</w:t>
            </w:r>
          </w:p>
        </w:tc>
      </w:tr>
    </w:tbl>
    <w:p w14:paraId="72B42B37">
      <w:pPr>
        <w:pStyle w:val="20"/>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截至本报告书签署日，除家家悦控股及其下属企业外，王培桓无其他控制的企业。</w:t>
      </w:r>
    </w:p>
    <w:p w14:paraId="31E6930A">
      <w:pPr>
        <w:pStyle w:val="21"/>
        <w:bidi w:val="0"/>
        <w:rPr>
          <w:rFonts w:hint="default"/>
          <w:lang w:val="en-US" w:eastAsia="zh-CN"/>
        </w:rPr>
      </w:pPr>
      <w:r>
        <w:rPr>
          <w:rFonts w:hint="eastAsia"/>
          <w:lang w:val="en-US" w:eastAsia="zh-CN"/>
        </w:rPr>
        <w:t>（四）对一致行动人从事的主要业务及最近三年简要财务状况的核查</w:t>
      </w:r>
    </w:p>
    <w:p w14:paraId="0FDB384F">
      <w:pPr>
        <w:pStyle w:val="20"/>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鼎耘科技</w:t>
      </w:r>
      <w:r>
        <w:rPr>
          <w:rFonts w:hint="eastAsia" w:ascii="Times New Roman" w:hAnsi="Times New Roman" w:eastAsia="宋体" w:cs="Times New Roman"/>
          <w:kern w:val="2"/>
          <w:sz w:val="24"/>
          <w:szCs w:val="24"/>
          <w:lang w:val="en-US" w:eastAsia="zh-CN" w:bidi="ar-SA"/>
        </w:rPr>
        <w:t>为持股平台公司，暂无实际业务经营活动，最近3年的主要财务数据如下：</w:t>
      </w:r>
    </w:p>
    <w:p w14:paraId="58BBE31D">
      <w:pPr>
        <w:pStyle w:val="20"/>
        <w:keepNext w:val="0"/>
        <w:keepLines w:val="0"/>
        <w:pageBreakBefore w:val="0"/>
        <w:widowControl/>
        <w:kinsoku/>
        <w:wordWrap/>
        <w:overflowPunct/>
        <w:topLinePunct w:val="0"/>
        <w:autoSpaceDE/>
        <w:autoSpaceDN/>
        <w:bidi w:val="0"/>
        <w:adjustRightInd/>
        <w:snapToGrid/>
        <w:spacing w:before="0" w:beforeLines="0" w:after="0" w:afterLines="0" w:line="240" w:lineRule="auto"/>
        <w:ind w:left="0" w:leftChars="0" w:firstLine="0" w:firstLineChars="0"/>
        <w:jc w:val="right"/>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单位：元</w:t>
      </w:r>
    </w:p>
    <w:tbl>
      <w:tblPr>
        <w:tblStyle w:val="13"/>
        <w:tblW w:w="4998"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54"/>
        <w:gridCol w:w="2220"/>
        <w:gridCol w:w="2221"/>
        <w:gridCol w:w="2224"/>
      </w:tblGrid>
      <w:tr w14:paraId="7EA7088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088" w:type="pct"/>
            <w:shd w:val="clear" w:color="auto" w:fill="auto"/>
            <w:vAlign w:val="center"/>
          </w:tcPr>
          <w:p w14:paraId="653EF849">
            <w:pPr>
              <w:pStyle w:val="24"/>
              <w:jc w:val="center"/>
              <w:rPr>
                <w:rFonts w:hint="default"/>
                <w:b/>
                <w:bCs/>
                <w:lang w:val="en-US" w:eastAsia="zh-CN"/>
              </w:rPr>
            </w:pPr>
            <w:r>
              <w:rPr>
                <w:rFonts w:hint="default"/>
                <w:b/>
                <w:bCs/>
                <w:lang w:val="en-US" w:eastAsia="zh-CN"/>
              </w:rPr>
              <w:t>项目</w:t>
            </w:r>
          </w:p>
        </w:tc>
        <w:tc>
          <w:tcPr>
            <w:tcW w:w="1303" w:type="pct"/>
            <w:shd w:val="clear" w:color="auto" w:fill="auto"/>
            <w:vAlign w:val="center"/>
          </w:tcPr>
          <w:p w14:paraId="10AF9BFA">
            <w:pPr>
              <w:pStyle w:val="24"/>
              <w:jc w:val="center"/>
              <w:rPr>
                <w:rFonts w:hint="default"/>
                <w:b/>
                <w:bCs/>
                <w:lang w:val="en-US" w:eastAsia="zh-CN"/>
              </w:rPr>
            </w:pPr>
            <w:r>
              <w:rPr>
                <w:rFonts w:hint="default"/>
                <w:b/>
                <w:bCs/>
                <w:lang w:val="en-US" w:eastAsia="zh-CN"/>
              </w:rPr>
              <w:t>202</w:t>
            </w:r>
            <w:r>
              <w:rPr>
                <w:rFonts w:hint="eastAsia"/>
                <w:b/>
                <w:bCs/>
                <w:lang w:val="en-US" w:eastAsia="zh-CN"/>
              </w:rPr>
              <w:t>4</w:t>
            </w:r>
            <w:r>
              <w:rPr>
                <w:rFonts w:hint="default"/>
                <w:b/>
                <w:bCs/>
                <w:lang w:val="en-US" w:eastAsia="zh-CN"/>
              </w:rPr>
              <w:t>年12月31日/202</w:t>
            </w:r>
            <w:r>
              <w:rPr>
                <w:rFonts w:hint="eastAsia"/>
                <w:b/>
                <w:bCs/>
                <w:lang w:val="en-US" w:eastAsia="zh-CN"/>
              </w:rPr>
              <w:t>4</w:t>
            </w:r>
            <w:r>
              <w:rPr>
                <w:rFonts w:hint="default"/>
                <w:b/>
                <w:bCs/>
                <w:lang w:val="en-US" w:eastAsia="zh-CN"/>
              </w:rPr>
              <w:t>年度</w:t>
            </w:r>
          </w:p>
        </w:tc>
        <w:tc>
          <w:tcPr>
            <w:tcW w:w="2221" w:type="dxa"/>
            <w:shd w:val="clear" w:color="auto" w:fill="auto"/>
            <w:vAlign w:val="center"/>
          </w:tcPr>
          <w:p w14:paraId="0934C0DE">
            <w:pPr>
              <w:pStyle w:val="24"/>
              <w:jc w:val="center"/>
              <w:rPr>
                <w:rFonts w:hint="default"/>
                <w:b/>
                <w:bCs/>
                <w:lang w:val="en-US" w:eastAsia="zh-CN"/>
              </w:rPr>
            </w:pPr>
            <w:r>
              <w:rPr>
                <w:rFonts w:hint="default"/>
                <w:b/>
                <w:bCs/>
                <w:lang w:val="en-US" w:eastAsia="zh-CN"/>
              </w:rPr>
              <w:t>2023年12月31日/2023年度</w:t>
            </w:r>
          </w:p>
        </w:tc>
        <w:tc>
          <w:tcPr>
            <w:tcW w:w="2223" w:type="dxa"/>
            <w:shd w:val="clear" w:color="auto" w:fill="auto"/>
            <w:vAlign w:val="center"/>
          </w:tcPr>
          <w:p w14:paraId="7D9D67BB">
            <w:pPr>
              <w:pStyle w:val="24"/>
              <w:jc w:val="center"/>
              <w:rPr>
                <w:rFonts w:hint="default"/>
                <w:b/>
                <w:bCs/>
                <w:lang w:val="en-US" w:eastAsia="zh-CN"/>
              </w:rPr>
            </w:pPr>
            <w:r>
              <w:rPr>
                <w:rFonts w:hint="default"/>
                <w:b/>
                <w:bCs/>
                <w:lang w:val="en-US" w:eastAsia="zh-CN"/>
              </w:rPr>
              <w:t>2022年12月31日/2022年度</w:t>
            </w:r>
          </w:p>
        </w:tc>
      </w:tr>
      <w:tr w14:paraId="34E6F4A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45E9E1F9">
            <w:pPr>
              <w:pStyle w:val="24"/>
              <w:jc w:val="center"/>
              <w:rPr>
                <w:rFonts w:hint="default"/>
                <w:b/>
                <w:bCs/>
                <w:lang w:val="en-US" w:eastAsia="zh-CN"/>
              </w:rPr>
            </w:pPr>
            <w:r>
              <w:rPr>
                <w:rFonts w:hint="default"/>
                <w:b/>
                <w:bCs/>
                <w:lang w:val="en-US" w:eastAsia="zh-CN"/>
              </w:rPr>
              <w:t>资产总额</w:t>
            </w:r>
          </w:p>
        </w:tc>
        <w:tc>
          <w:tcPr>
            <w:tcW w:w="2220" w:type="dxa"/>
            <w:shd w:val="clear" w:color="auto" w:fill="auto"/>
            <w:vAlign w:val="center"/>
          </w:tcPr>
          <w:p w14:paraId="57F89995">
            <w:pPr>
              <w:pStyle w:val="24"/>
              <w:jc w:val="right"/>
              <w:rPr>
                <w:rFonts w:hint="default"/>
                <w:lang w:val="en-US" w:eastAsia="zh-CN"/>
              </w:rPr>
            </w:pPr>
            <w:r>
              <w:rPr>
                <w:b w:val="0"/>
                <w:bCs w:val="0"/>
                <w:sz w:val="21"/>
                <w:szCs w:val="21"/>
              </w:rPr>
              <w:t>587,308,481.92</w:t>
            </w:r>
          </w:p>
        </w:tc>
        <w:tc>
          <w:tcPr>
            <w:tcW w:w="2221" w:type="dxa"/>
            <w:shd w:val="clear" w:color="auto" w:fill="auto"/>
            <w:vAlign w:val="center"/>
          </w:tcPr>
          <w:p w14:paraId="5E387FDF">
            <w:pPr>
              <w:pStyle w:val="24"/>
              <w:jc w:val="right"/>
              <w:rPr>
                <w:rFonts w:hint="default"/>
                <w:lang w:val="en-US" w:eastAsia="zh-CN"/>
              </w:rPr>
            </w:pPr>
            <w:r>
              <w:rPr>
                <w:b w:val="0"/>
                <w:bCs w:val="0"/>
                <w:sz w:val="21"/>
                <w:szCs w:val="21"/>
              </w:rPr>
              <w:t>681,642,277.70</w:t>
            </w:r>
          </w:p>
        </w:tc>
        <w:tc>
          <w:tcPr>
            <w:tcW w:w="2223" w:type="dxa"/>
            <w:shd w:val="clear" w:color="auto" w:fill="auto"/>
            <w:vAlign w:val="center"/>
          </w:tcPr>
          <w:p w14:paraId="1EB52368">
            <w:pPr>
              <w:pStyle w:val="24"/>
              <w:jc w:val="right"/>
              <w:rPr>
                <w:rFonts w:hint="default"/>
                <w:lang w:val="en-US" w:eastAsia="zh-CN"/>
              </w:rPr>
            </w:pPr>
            <w:r>
              <w:rPr>
                <w:b w:val="0"/>
                <w:bCs w:val="0"/>
                <w:sz w:val="21"/>
                <w:szCs w:val="21"/>
              </w:rPr>
              <w:t>758,057,208.78</w:t>
            </w:r>
          </w:p>
        </w:tc>
      </w:tr>
      <w:tr w14:paraId="1283A5C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60DEC428">
            <w:pPr>
              <w:pStyle w:val="24"/>
              <w:jc w:val="center"/>
              <w:rPr>
                <w:rFonts w:hint="default"/>
                <w:b/>
                <w:bCs/>
                <w:lang w:val="en-US" w:eastAsia="zh-CN"/>
              </w:rPr>
            </w:pPr>
            <w:r>
              <w:rPr>
                <w:rFonts w:hint="default"/>
                <w:b/>
                <w:bCs/>
                <w:lang w:val="en-US" w:eastAsia="zh-CN"/>
              </w:rPr>
              <w:t>负债总额</w:t>
            </w:r>
          </w:p>
        </w:tc>
        <w:tc>
          <w:tcPr>
            <w:tcW w:w="2220" w:type="dxa"/>
            <w:shd w:val="clear" w:color="auto" w:fill="auto"/>
            <w:vAlign w:val="center"/>
          </w:tcPr>
          <w:p w14:paraId="0F56889F">
            <w:pPr>
              <w:pStyle w:val="24"/>
              <w:jc w:val="right"/>
              <w:rPr>
                <w:rFonts w:hint="default"/>
                <w:lang w:val="en-US" w:eastAsia="zh-CN"/>
              </w:rPr>
            </w:pPr>
            <w:r>
              <w:rPr>
                <w:b w:val="0"/>
                <w:bCs w:val="0"/>
                <w:sz w:val="21"/>
                <w:szCs w:val="21"/>
              </w:rPr>
              <w:t>337,781,189.64</w:t>
            </w:r>
          </w:p>
        </w:tc>
        <w:tc>
          <w:tcPr>
            <w:tcW w:w="2221" w:type="dxa"/>
            <w:shd w:val="clear" w:color="auto" w:fill="auto"/>
            <w:vAlign w:val="center"/>
          </w:tcPr>
          <w:p w14:paraId="24D65F7F">
            <w:pPr>
              <w:pStyle w:val="24"/>
              <w:jc w:val="right"/>
              <w:rPr>
                <w:rFonts w:hint="default"/>
                <w:lang w:val="en-US" w:eastAsia="zh-CN"/>
              </w:rPr>
            </w:pPr>
            <w:r>
              <w:rPr>
                <w:b w:val="0"/>
                <w:bCs w:val="0"/>
                <w:sz w:val="21"/>
                <w:szCs w:val="21"/>
              </w:rPr>
              <w:t>527,962,725.26</w:t>
            </w:r>
          </w:p>
        </w:tc>
        <w:tc>
          <w:tcPr>
            <w:tcW w:w="2223" w:type="dxa"/>
            <w:shd w:val="clear" w:color="auto" w:fill="auto"/>
            <w:vAlign w:val="center"/>
          </w:tcPr>
          <w:p w14:paraId="26F45A5F">
            <w:pPr>
              <w:pStyle w:val="24"/>
              <w:jc w:val="right"/>
              <w:rPr>
                <w:rFonts w:hint="default"/>
                <w:lang w:val="en-US" w:eastAsia="zh-CN"/>
              </w:rPr>
            </w:pPr>
            <w:r>
              <w:rPr>
                <w:b w:val="0"/>
                <w:bCs w:val="0"/>
                <w:sz w:val="21"/>
                <w:szCs w:val="21"/>
              </w:rPr>
              <w:t>544,339,486.17</w:t>
            </w:r>
          </w:p>
        </w:tc>
      </w:tr>
      <w:tr w14:paraId="3E634E2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088" w:type="pct"/>
            <w:shd w:val="clear" w:color="auto" w:fill="auto"/>
            <w:vAlign w:val="center"/>
          </w:tcPr>
          <w:p w14:paraId="0B46A141">
            <w:pPr>
              <w:pStyle w:val="24"/>
              <w:jc w:val="center"/>
              <w:rPr>
                <w:rFonts w:hint="default"/>
                <w:b/>
                <w:bCs/>
                <w:lang w:val="en-US" w:eastAsia="zh-CN"/>
              </w:rPr>
            </w:pPr>
            <w:r>
              <w:rPr>
                <w:rFonts w:hint="default"/>
                <w:b/>
                <w:bCs/>
                <w:lang w:val="en-US" w:eastAsia="zh-CN"/>
              </w:rPr>
              <w:t>净资产</w:t>
            </w:r>
          </w:p>
        </w:tc>
        <w:tc>
          <w:tcPr>
            <w:tcW w:w="2220" w:type="dxa"/>
            <w:shd w:val="clear" w:color="auto" w:fill="auto"/>
            <w:vAlign w:val="center"/>
          </w:tcPr>
          <w:p w14:paraId="40DEB966">
            <w:pPr>
              <w:pStyle w:val="24"/>
              <w:jc w:val="right"/>
              <w:rPr>
                <w:rFonts w:hint="default"/>
                <w:lang w:val="en-US" w:eastAsia="zh-CN"/>
              </w:rPr>
            </w:pPr>
            <w:r>
              <w:rPr>
                <w:b w:val="0"/>
                <w:bCs w:val="0"/>
                <w:sz w:val="21"/>
                <w:szCs w:val="21"/>
              </w:rPr>
              <w:t>249,527,292.28</w:t>
            </w:r>
          </w:p>
        </w:tc>
        <w:tc>
          <w:tcPr>
            <w:tcW w:w="2221" w:type="dxa"/>
            <w:shd w:val="clear" w:color="auto" w:fill="auto"/>
            <w:vAlign w:val="center"/>
          </w:tcPr>
          <w:p w14:paraId="12DDEE7F">
            <w:pPr>
              <w:pStyle w:val="24"/>
              <w:jc w:val="right"/>
              <w:rPr>
                <w:rFonts w:hint="default"/>
                <w:lang w:val="en-US" w:eastAsia="zh-CN"/>
              </w:rPr>
            </w:pPr>
            <w:r>
              <w:rPr>
                <w:b w:val="0"/>
                <w:bCs w:val="0"/>
                <w:sz w:val="21"/>
                <w:szCs w:val="21"/>
              </w:rPr>
              <w:t>153,679,552.44</w:t>
            </w:r>
          </w:p>
        </w:tc>
        <w:tc>
          <w:tcPr>
            <w:tcW w:w="2223" w:type="dxa"/>
            <w:shd w:val="clear" w:color="auto" w:fill="auto"/>
            <w:vAlign w:val="center"/>
          </w:tcPr>
          <w:p w14:paraId="0CD010AB">
            <w:pPr>
              <w:pStyle w:val="24"/>
              <w:jc w:val="right"/>
              <w:rPr>
                <w:rFonts w:hint="default"/>
                <w:lang w:val="en-US" w:eastAsia="zh-CN"/>
              </w:rPr>
            </w:pPr>
            <w:r>
              <w:rPr>
                <w:b w:val="0"/>
                <w:bCs w:val="0"/>
                <w:sz w:val="21"/>
                <w:szCs w:val="21"/>
              </w:rPr>
              <w:t>213,717,722.61</w:t>
            </w:r>
          </w:p>
        </w:tc>
      </w:tr>
      <w:tr w14:paraId="57CB3D8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6ED803B0">
            <w:pPr>
              <w:pStyle w:val="24"/>
              <w:jc w:val="center"/>
              <w:rPr>
                <w:rFonts w:hint="default"/>
                <w:b/>
                <w:bCs/>
                <w:lang w:val="en-US" w:eastAsia="zh-CN"/>
              </w:rPr>
            </w:pPr>
            <w:r>
              <w:rPr>
                <w:rFonts w:hint="default"/>
                <w:b/>
                <w:bCs/>
                <w:lang w:val="en-US" w:eastAsia="zh-CN"/>
              </w:rPr>
              <w:t>资产负债率</w:t>
            </w:r>
          </w:p>
        </w:tc>
        <w:tc>
          <w:tcPr>
            <w:tcW w:w="2220" w:type="dxa"/>
            <w:shd w:val="clear" w:color="auto" w:fill="auto"/>
            <w:vAlign w:val="center"/>
          </w:tcPr>
          <w:p w14:paraId="38BB331F">
            <w:pPr>
              <w:pStyle w:val="24"/>
              <w:jc w:val="right"/>
              <w:rPr>
                <w:rFonts w:hint="default"/>
                <w:lang w:val="en-US" w:eastAsia="zh-CN"/>
              </w:rPr>
            </w:pPr>
            <w:r>
              <w:rPr>
                <w:rFonts w:hint="eastAsia"/>
                <w:sz w:val="21"/>
                <w:szCs w:val="21"/>
                <w:lang w:val="en-US" w:eastAsia="zh-CN"/>
              </w:rPr>
              <w:t>57.51%</w:t>
            </w:r>
          </w:p>
        </w:tc>
        <w:tc>
          <w:tcPr>
            <w:tcW w:w="2221" w:type="dxa"/>
            <w:shd w:val="clear" w:color="auto" w:fill="auto"/>
            <w:vAlign w:val="center"/>
          </w:tcPr>
          <w:p w14:paraId="44F143F5">
            <w:pPr>
              <w:pStyle w:val="24"/>
              <w:jc w:val="right"/>
              <w:rPr>
                <w:rFonts w:hint="default"/>
                <w:lang w:val="en-US" w:eastAsia="zh-CN"/>
              </w:rPr>
            </w:pPr>
            <w:r>
              <w:rPr>
                <w:rFonts w:hint="default"/>
                <w:sz w:val="21"/>
                <w:szCs w:val="21"/>
                <w:lang w:val="en-US" w:eastAsia="zh-CN"/>
              </w:rPr>
              <w:t>77.45%</w:t>
            </w:r>
          </w:p>
        </w:tc>
        <w:tc>
          <w:tcPr>
            <w:tcW w:w="2223" w:type="dxa"/>
            <w:shd w:val="clear" w:color="auto" w:fill="auto"/>
            <w:vAlign w:val="center"/>
          </w:tcPr>
          <w:p w14:paraId="4A40F5EA">
            <w:pPr>
              <w:pStyle w:val="24"/>
              <w:jc w:val="right"/>
              <w:rPr>
                <w:rFonts w:hint="default"/>
                <w:lang w:val="en-US" w:eastAsia="zh-CN"/>
              </w:rPr>
            </w:pPr>
            <w:r>
              <w:rPr>
                <w:rFonts w:hint="default"/>
                <w:sz w:val="21"/>
                <w:szCs w:val="21"/>
                <w:lang w:val="en-US" w:eastAsia="zh-CN"/>
              </w:rPr>
              <w:t>71.81%</w:t>
            </w:r>
          </w:p>
        </w:tc>
      </w:tr>
      <w:tr w14:paraId="1FBC10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6F1E96C6">
            <w:pPr>
              <w:pStyle w:val="24"/>
              <w:jc w:val="center"/>
              <w:rPr>
                <w:rFonts w:hint="default"/>
                <w:b/>
                <w:bCs/>
                <w:lang w:val="en-US" w:eastAsia="zh-CN"/>
              </w:rPr>
            </w:pPr>
            <w:r>
              <w:rPr>
                <w:rFonts w:hint="default"/>
                <w:b/>
                <w:bCs/>
                <w:lang w:val="en-US" w:eastAsia="zh-CN"/>
              </w:rPr>
              <w:t>项目</w:t>
            </w:r>
          </w:p>
        </w:tc>
        <w:tc>
          <w:tcPr>
            <w:tcW w:w="2220" w:type="dxa"/>
            <w:shd w:val="clear" w:color="auto" w:fill="auto"/>
            <w:vAlign w:val="center"/>
          </w:tcPr>
          <w:p w14:paraId="4F8EC768">
            <w:pPr>
              <w:pStyle w:val="24"/>
              <w:jc w:val="right"/>
              <w:rPr>
                <w:rFonts w:hint="default"/>
                <w:b/>
                <w:bCs/>
                <w:lang w:val="en-US" w:eastAsia="zh-CN"/>
              </w:rPr>
            </w:pPr>
            <w:r>
              <w:rPr>
                <w:rFonts w:hint="default"/>
                <w:b/>
                <w:bCs/>
                <w:sz w:val="21"/>
                <w:szCs w:val="21"/>
                <w:lang w:val="en-US" w:eastAsia="zh-CN"/>
              </w:rPr>
              <w:t>202</w:t>
            </w:r>
            <w:r>
              <w:rPr>
                <w:rFonts w:hint="eastAsia"/>
                <w:b/>
                <w:bCs/>
                <w:sz w:val="21"/>
                <w:szCs w:val="21"/>
                <w:lang w:val="en-US" w:eastAsia="zh-CN"/>
              </w:rPr>
              <w:t>4</w:t>
            </w:r>
            <w:r>
              <w:rPr>
                <w:rFonts w:hint="default"/>
                <w:b/>
                <w:bCs/>
                <w:sz w:val="21"/>
                <w:szCs w:val="21"/>
                <w:lang w:val="en-US" w:eastAsia="zh-CN"/>
              </w:rPr>
              <w:t>年度</w:t>
            </w:r>
          </w:p>
        </w:tc>
        <w:tc>
          <w:tcPr>
            <w:tcW w:w="2221" w:type="dxa"/>
            <w:shd w:val="clear" w:color="auto" w:fill="auto"/>
            <w:vAlign w:val="center"/>
          </w:tcPr>
          <w:p w14:paraId="5BBA0D1D">
            <w:pPr>
              <w:pStyle w:val="24"/>
              <w:jc w:val="right"/>
              <w:rPr>
                <w:rFonts w:hint="default"/>
                <w:b/>
                <w:bCs/>
                <w:lang w:val="en-US" w:eastAsia="zh-CN"/>
              </w:rPr>
            </w:pPr>
            <w:r>
              <w:rPr>
                <w:rFonts w:hint="default"/>
                <w:b/>
                <w:bCs/>
                <w:sz w:val="21"/>
                <w:szCs w:val="21"/>
                <w:lang w:val="en-US" w:eastAsia="zh-CN"/>
              </w:rPr>
              <w:t>2023年度</w:t>
            </w:r>
          </w:p>
        </w:tc>
        <w:tc>
          <w:tcPr>
            <w:tcW w:w="2223" w:type="dxa"/>
            <w:shd w:val="clear" w:color="auto" w:fill="auto"/>
            <w:vAlign w:val="center"/>
          </w:tcPr>
          <w:p w14:paraId="7D5E6825">
            <w:pPr>
              <w:pStyle w:val="24"/>
              <w:jc w:val="right"/>
              <w:rPr>
                <w:rFonts w:hint="default"/>
                <w:b/>
                <w:bCs/>
                <w:lang w:val="en-US" w:eastAsia="zh-CN"/>
              </w:rPr>
            </w:pPr>
            <w:r>
              <w:rPr>
                <w:rFonts w:hint="default"/>
                <w:b/>
                <w:bCs/>
                <w:sz w:val="21"/>
                <w:szCs w:val="21"/>
                <w:lang w:val="en-US" w:eastAsia="zh-CN"/>
              </w:rPr>
              <w:t>2022年度</w:t>
            </w:r>
          </w:p>
        </w:tc>
      </w:tr>
      <w:tr w14:paraId="52451CB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41C4D42F">
            <w:pPr>
              <w:pStyle w:val="24"/>
              <w:jc w:val="center"/>
              <w:rPr>
                <w:rFonts w:hint="default"/>
                <w:b/>
                <w:bCs/>
                <w:lang w:val="en-US" w:eastAsia="zh-CN"/>
              </w:rPr>
            </w:pPr>
            <w:r>
              <w:rPr>
                <w:rFonts w:hint="default"/>
                <w:b/>
                <w:bCs/>
                <w:lang w:val="en-US" w:eastAsia="zh-CN"/>
              </w:rPr>
              <w:t>营业收入</w:t>
            </w:r>
          </w:p>
        </w:tc>
        <w:tc>
          <w:tcPr>
            <w:tcW w:w="2220" w:type="dxa"/>
            <w:shd w:val="clear" w:color="auto" w:fill="auto"/>
            <w:vAlign w:val="center"/>
          </w:tcPr>
          <w:p w14:paraId="10A173ED">
            <w:pPr>
              <w:pStyle w:val="24"/>
              <w:jc w:val="right"/>
              <w:rPr>
                <w:rFonts w:hint="default"/>
                <w:lang w:val="en-US" w:eastAsia="zh-CN"/>
              </w:rPr>
            </w:pPr>
            <w:r>
              <w:rPr>
                <w:rFonts w:hint="default"/>
                <w:sz w:val="21"/>
                <w:szCs w:val="21"/>
                <w:lang w:val="en-US" w:eastAsia="zh-CN"/>
              </w:rPr>
              <w:t>228,571.43</w:t>
            </w:r>
          </w:p>
        </w:tc>
        <w:tc>
          <w:tcPr>
            <w:tcW w:w="2221" w:type="dxa"/>
            <w:shd w:val="clear" w:color="auto" w:fill="auto"/>
            <w:vAlign w:val="center"/>
          </w:tcPr>
          <w:p w14:paraId="7265C0B5">
            <w:pPr>
              <w:pStyle w:val="24"/>
              <w:jc w:val="right"/>
              <w:rPr>
                <w:rFonts w:hint="default"/>
                <w:lang w:val="en-US" w:eastAsia="zh-CN"/>
              </w:rPr>
            </w:pPr>
            <w:r>
              <w:rPr>
                <w:rFonts w:hint="default"/>
                <w:sz w:val="21"/>
                <w:szCs w:val="21"/>
                <w:lang w:val="en-US" w:eastAsia="zh-CN"/>
              </w:rPr>
              <w:t>-</w:t>
            </w:r>
          </w:p>
        </w:tc>
        <w:tc>
          <w:tcPr>
            <w:tcW w:w="2223" w:type="dxa"/>
            <w:shd w:val="clear" w:color="auto" w:fill="auto"/>
            <w:vAlign w:val="center"/>
          </w:tcPr>
          <w:p w14:paraId="578AFDE5">
            <w:pPr>
              <w:pStyle w:val="24"/>
              <w:jc w:val="right"/>
              <w:rPr>
                <w:rFonts w:hint="default"/>
                <w:lang w:val="en-US" w:eastAsia="zh-CN"/>
              </w:rPr>
            </w:pPr>
            <w:r>
              <w:rPr>
                <w:rFonts w:hint="default"/>
                <w:sz w:val="21"/>
                <w:szCs w:val="21"/>
                <w:lang w:val="en-US" w:eastAsia="zh-CN"/>
              </w:rPr>
              <w:t>-</w:t>
            </w:r>
          </w:p>
        </w:tc>
      </w:tr>
      <w:tr w14:paraId="7CF9599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125ACF58">
            <w:pPr>
              <w:pStyle w:val="24"/>
              <w:jc w:val="center"/>
              <w:rPr>
                <w:rFonts w:hint="default"/>
                <w:b/>
                <w:bCs/>
                <w:lang w:val="en-US" w:eastAsia="zh-CN"/>
              </w:rPr>
            </w:pPr>
            <w:r>
              <w:rPr>
                <w:rFonts w:hint="default"/>
                <w:b/>
                <w:bCs/>
                <w:lang w:val="en-US" w:eastAsia="zh-CN"/>
              </w:rPr>
              <w:t>净利润</w:t>
            </w:r>
          </w:p>
        </w:tc>
        <w:tc>
          <w:tcPr>
            <w:tcW w:w="2220" w:type="dxa"/>
            <w:shd w:val="clear" w:color="auto" w:fill="auto"/>
            <w:vAlign w:val="center"/>
          </w:tcPr>
          <w:p w14:paraId="13D6AF41">
            <w:pPr>
              <w:pStyle w:val="24"/>
              <w:jc w:val="right"/>
              <w:rPr>
                <w:rFonts w:hint="default"/>
                <w:lang w:val="en-US" w:eastAsia="zh-CN"/>
              </w:rPr>
            </w:pPr>
            <w:r>
              <w:rPr>
                <w:rFonts w:hint="default"/>
                <w:szCs w:val="21"/>
              </w:rPr>
              <w:t>-34,152,260.16</w:t>
            </w:r>
          </w:p>
        </w:tc>
        <w:tc>
          <w:tcPr>
            <w:tcW w:w="2221" w:type="dxa"/>
            <w:shd w:val="clear" w:color="auto" w:fill="auto"/>
            <w:vAlign w:val="center"/>
          </w:tcPr>
          <w:p w14:paraId="314550DD">
            <w:pPr>
              <w:pStyle w:val="24"/>
              <w:jc w:val="right"/>
              <w:rPr>
                <w:rFonts w:hint="default"/>
                <w:lang w:val="en-US" w:eastAsia="zh-CN"/>
              </w:rPr>
            </w:pPr>
            <w:r>
              <w:rPr>
                <w:rFonts w:hint="default"/>
                <w:sz w:val="21"/>
                <w:szCs w:val="21"/>
                <w:lang w:val="en-US" w:eastAsia="zh-CN"/>
              </w:rPr>
              <w:t>5,301,936.38</w:t>
            </w:r>
          </w:p>
        </w:tc>
        <w:tc>
          <w:tcPr>
            <w:tcW w:w="2223" w:type="dxa"/>
            <w:shd w:val="clear" w:color="auto" w:fill="auto"/>
            <w:vAlign w:val="center"/>
          </w:tcPr>
          <w:p w14:paraId="7E54EC52">
            <w:pPr>
              <w:pStyle w:val="24"/>
              <w:jc w:val="right"/>
              <w:rPr>
                <w:rFonts w:hint="default"/>
                <w:lang w:val="en-US" w:eastAsia="zh-CN"/>
              </w:rPr>
            </w:pPr>
            <w:r>
              <w:rPr>
                <w:rFonts w:hint="default"/>
                <w:sz w:val="21"/>
                <w:szCs w:val="21"/>
                <w:lang w:val="en-US" w:eastAsia="zh-CN"/>
              </w:rPr>
              <w:t>-24,730,777.01</w:t>
            </w:r>
          </w:p>
        </w:tc>
      </w:tr>
      <w:tr w14:paraId="01D929B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1410B56E">
            <w:pPr>
              <w:pStyle w:val="24"/>
              <w:jc w:val="center"/>
              <w:rPr>
                <w:rFonts w:hint="default"/>
                <w:b/>
                <w:bCs/>
                <w:lang w:val="en-US" w:eastAsia="zh-CN"/>
              </w:rPr>
            </w:pPr>
            <w:r>
              <w:rPr>
                <w:rFonts w:hint="default"/>
                <w:b/>
                <w:bCs/>
                <w:lang w:val="en-US" w:eastAsia="zh-CN"/>
              </w:rPr>
              <w:t>加权平均净资产收益率</w:t>
            </w:r>
          </w:p>
        </w:tc>
        <w:tc>
          <w:tcPr>
            <w:tcW w:w="2220" w:type="dxa"/>
            <w:shd w:val="clear" w:color="auto" w:fill="auto"/>
            <w:vAlign w:val="center"/>
          </w:tcPr>
          <w:p w14:paraId="241972F6">
            <w:pPr>
              <w:pStyle w:val="24"/>
              <w:jc w:val="right"/>
              <w:rPr>
                <w:rFonts w:hint="default"/>
                <w:lang w:val="en-US" w:eastAsia="zh-CN"/>
              </w:rPr>
            </w:pPr>
            <w:r>
              <w:rPr>
                <w:rFonts w:hint="eastAsia"/>
                <w:sz w:val="21"/>
                <w:szCs w:val="21"/>
                <w:lang w:val="en-US" w:eastAsia="zh-CN"/>
              </w:rPr>
              <w:t>-13.69%</w:t>
            </w:r>
          </w:p>
        </w:tc>
        <w:tc>
          <w:tcPr>
            <w:tcW w:w="2221" w:type="dxa"/>
            <w:shd w:val="clear" w:color="auto" w:fill="auto"/>
            <w:vAlign w:val="center"/>
          </w:tcPr>
          <w:p w14:paraId="15E37893">
            <w:pPr>
              <w:pStyle w:val="24"/>
              <w:jc w:val="right"/>
              <w:rPr>
                <w:rFonts w:hint="default"/>
                <w:lang w:val="en-US" w:eastAsia="zh-CN"/>
              </w:rPr>
            </w:pPr>
            <w:r>
              <w:rPr>
                <w:rFonts w:hint="default"/>
                <w:sz w:val="21"/>
                <w:szCs w:val="21"/>
                <w:lang w:val="en-US" w:eastAsia="zh-CN"/>
              </w:rPr>
              <w:t>3.45%</w:t>
            </w:r>
          </w:p>
        </w:tc>
        <w:tc>
          <w:tcPr>
            <w:tcW w:w="2223" w:type="dxa"/>
            <w:shd w:val="clear" w:color="auto" w:fill="auto"/>
            <w:vAlign w:val="center"/>
          </w:tcPr>
          <w:p w14:paraId="78EC3AE9">
            <w:pPr>
              <w:pStyle w:val="24"/>
              <w:jc w:val="right"/>
              <w:rPr>
                <w:rFonts w:hint="default"/>
                <w:lang w:val="en-US" w:eastAsia="zh-CN"/>
              </w:rPr>
            </w:pPr>
            <w:r>
              <w:rPr>
                <w:rFonts w:hint="default"/>
                <w:sz w:val="21"/>
                <w:szCs w:val="21"/>
                <w:lang w:val="en-US" w:eastAsia="zh-CN"/>
              </w:rPr>
              <w:t>-11.57%</w:t>
            </w:r>
          </w:p>
        </w:tc>
      </w:tr>
    </w:tbl>
    <w:p w14:paraId="6E076707">
      <w:pPr>
        <w:pStyle w:val="21"/>
        <w:bidi w:val="0"/>
        <w:rPr>
          <w:rFonts w:hint="default"/>
          <w:lang w:val="en-US" w:eastAsia="zh-CN"/>
        </w:rPr>
      </w:pPr>
      <w:r>
        <w:rPr>
          <w:rFonts w:hint="eastAsia"/>
          <w:lang w:val="en-US" w:eastAsia="zh-CN"/>
        </w:rPr>
        <w:t>（五）对一致行动人最近五年合法、合规经营情况的核查</w:t>
      </w:r>
    </w:p>
    <w:p w14:paraId="1C69D954">
      <w:pPr>
        <w:keepNext w:val="0"/>
        <w:keepLines w:val="0"/>
        <w:widowControl/>
        <w:suppressLineNumbers w:val="0"/>
        <w:ind w:firstLine="480" w:firstLineChars="200"/>
        <w:jc w:val="left"/>
        <w:rPr>
          <w:rFonts w:hint="eastAsia"/>
        </w:rPr>
      </w:pPr>
      <w:r>
        <w:rPr>
          <w:rFonts w:hint="eastAsia"/>
          <w:lang w:val="en-US" w:eastAsia="zh-CN"/>
        </w:rPr>
        <w:t>截至本报告书签署日，鼎耘科技</w:t>
      </w:r>
      <w:r>
        <w:rPr>
          <w:rFonts w:hint="eastAsia"/>
        </w:rPr>
        <w:t>最近五年未受过行政处罚（与证券市场明显无关的除外）、刑事处罚</w:t>
      </w:r>
      <w:r>
        <w:rPr>
          <w:rFonts w:hint="eastAsia"/>
          <w:lang w:val="en-US" w:eastAsia="zh-CN"/>
        </w:rPr>
        <w:t>，涉</w:t>
      </w:r>
      <w:r>
        <w:rPr>
          <w:rFonts w:hint="default"/>
          <w:lang w:val="en-US" w:eastAsia="zh-CN"/>
        </w:rPr>
        <w:t>及的与经济纠纷有关的重大民事诉讼如下：</w:t>
      </w:r>
    </w:p>
    <w:tbl>
      <w:tblPr>
        <w:tblStyle w:val="13"/>
        <w:tblW w:w="4998"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6"/>
        <w:gridCol w:w="484"/>
        <w:gridCol w:w="955"/>
        <w:gridCol w:w="522"/>
        <w:gridCol w:w="745"/>
        <w:gridCol w:w="2536"/>
        <w:gridCol w:w="2831"/>
      </w:tblGrid>
      <w:tr w14:paraId="7DC990D5">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262" w:type="pct"/>
            <w:tcBorders>
              <w:bottom w:val="single" w:color="000000" w:sz="4" w:space="0"/>
              <w:right w:val="single" w:color="000000" w:sz="4" w:space="0"/>
            </w:tcBorders>
            <w:shd w:val="clear" w:color="auto" w:fill="auto"/>
            <w:vAlign w:val="center"/>
          </w:tcPr>
          <w:p w14:paraId="34DFEB89">
            <w:pPr>
              <w:pStyle w:val="24"/>
              <w:jc w:val="center"/>
              <w:rPr>
                <w:rFonts w:hint="default"/>
                <w:b/>
                <w:bCs/>
                <w:lang w:val="en-US" w:eastAsia="zh-CN"/>
              </w:rPr>
            </w:pPr>
            <w:r>
              <w:rPr>
                <w:rFonts w:hint="default"/>
                <w:b/>
                <w:bCs/>
                <w:lang w:val="en-US" w:eastAsia="zh-CN"/>
              </w:rPr>
              <w:t>序号</w:t>
            </w:r>
          </w:p>
        </w:tc>
        <w:tc>
          <w:tcPr>
            <w:tcW w:w="284" w:type="pct"/>
            <w:tcBorders>
              <w:left w:val="single" w:color="000000" w:sz="4" w:space="0"/>
              <w:bottom w:val="single" w:color="000000" w:sz="4" w:space="0"/>
              <w:right w:val="single" w:color="000000" w:sz="4" w:space="0"/>
            </w:tcBorders>
            <w:shd w:val="clear" w:color="auto" w:fill="auto"/>
            <w:vAlign w:val="center"/>
          </w:tcPr>
          <w:p w14:paraId="69D3BB8D">
            <w:pPr>
              <w:pStyle w:val="24"/>
              <w:jc w:val="center"/>
              <w:rPr>
                <w:rFonts w:hint="default"/>
                <w:b/>
                <w:bCs/>
                <w:lang w:val="en-US" w:eastAsia="zh-CN"/>
              </w:rPr>
            </w:pPr>
            <w:r>
              <w:rPr>
                <w:rFonts w:hint="default"/>
                <w:b/>
                <w:bCs/>
                <w:lang w:val="en-US" w:eastAsia="zh-CN"/>
              </w:rPr>
              <w:t>原告</w:t>
            </w:r>
          </w:p>
        </w:tc>
        <w:tc>
          <w:tcPr>
            <w:tcW w:w="560" w:type="pct"/>
            <w:tcBorders>
              <w:left w:val="single" w:color="000000" w:sz="4" w:space="0"/>
              <w:bottom w:val="single" w:color="000000" w:sz="4" w:space="0"/>
              <w:right w:val="single" w:color="000000" w:sz="4" w:space="0"/>
            </w:tcBorders>
            <w:shd w:val="clear" w:color="auto" w:fill="auto"/>
            <w:vAlign w:val="center"/>
          </w:tcPr>
          <w:p w14:paraId="6EBBCB2B">
            <w:pPr>
              <w:pStyle w:val="24"/>
              <w:jc w:val="center"/>
              <w:rPr>
                <w:rFonts w:hint="default"/>
                <w:b/>
                <w:bCs/>
                <w:lang w:val="en-US" w:eastAsia="zh-CN"/>
              </w:rPr>
            </w:pPr>
            <w:r>
              <w:rPr>
                <w:rFonts w:hint="default"/>
                <w:b/>
                <w:bCs/>
                <w:lang w:val="en-US" w:eastAsia="zh-CN"/>
              </w:rPr>
              <w:t>被告</w:t>
            </w:r>
          </w:p>
        </w:tc>
        <w:tc>
          <w:tcPr>
            <w:tcW w:w="306" w:type="pct"/>
            <w:tcBorders>
              <w:left w:val="single" w:color="000000" w:sz="4" w:space="0"/>
              <w:bottom w:val="single" w:color="000000" w:sz="4" w:space="0"/>
              <w:right w:val="single" w:color="000000" w:sz="4" w:space="0"/>
            </w:tcBorders>
            <w:shd w:val="clear" w:color="auto" w:fill="auto"/>
            <w:vAlign w:val="center"/>
          </w:tcPr>
          <w:p w14:paraId="21C4487E">
            <w:pPr>
              <w:pStyle w:val="24"/>
              <w:jc w:val="center"/>
              <w:rPr>
                <w:rFonts w:hint="default"/>
                <w:b/>
                <w:bCs/>
                <w:lang w:val="en-US" w:eastAsia="zh-CN"/>
              </w:rPr>
            </w:pPr>
            <w:r>
              <w:rPr>
                <w:rFonts w:hint="default"/>
                <w:b/>
                <w:bCs/>
                <w:lang w:val="en-US" w:eastAsia="zh-CN"/>
              </w:rPr>
              <w:t>案由</w:t>
            </w:r>
          </w:p>
        </w:tc>
        <w:tc>
          <w:tcPr>
            <w:tcW w:w="437" w:type="pct"/>
            <w:tcBorders>
              <w:left w:val="single" w:color="000000" w:sz="4" w:space="0"/>
              <w:bottom w:val="single" w:color="000000" w:sz="4" w:space="0"/>
              <w:right w:val="single" w:color="000000" w:sz="4" w:space="0"/>
            </w:tcBorders>
            <w:shd w:val="clear" w:color="auto" w:fill="auto"/>
            <w:vAlign w:val="center"/>
          </w:tcPr>
          <w:p w14:paraId="49D6A2A6">
            <w:pPr>
              <w:pStyle w:val="24"/>
              <w:jc w:val="center"/>
              <w:rPr>
                <w:rFonts w:hint="default"/>
                <w:b/>
                <w:bCs/>
                <w:lang w:val="en-US" w:eastAsia="zh-CN"/>
              </w:rPr>
            </w:pPr>
            <w:r>
              <w:rPr>
                <w:rFonts w:hint="default"/>
                <w:b/>
                <w:bCs/>
                <w:lang w:val="en-US" w:eastAsia="zh-CN"/>
              </w:rPr>
              <w:t>管辖法院</w:t>
            </w:r>
          </w:p>
        </w:tc>
        <w:tc>
          <w:tcPr>
            <w:tcW w:w="1487" w:type="pct"/>
            <w:tcBorders>
              <w:left w:val="single" w:color="000000" w:sz="4" w:space="0"/>
              <w:bottom w:val="single" w:color="000000" w:sz="4" w:space="0"/>
              <w:right w:val="single" w:color="000000" w:sz="4" w:space="0"/>
            </w:tcBorders>
            <w:shd w:val="clear" w:color="auto" w:fill="auto"/>
            <w:vAlign w:val="center"/>
          </w:tcPr>
          <w:p w14:paraId="2941D317">
            <w:pPr>
              <w:pStyle w:val="24"/>
              <w:jc w:val="center"/>
              <w:rPr>
                <w:rFonts w:hint="default"/>
                <w:b/>
                <w:bCs/>
                <w:lang w:val="en-US" w:eastAsia="zh-CN"/>
              </w:rPr>
            </w:pPr>
            <w:r>
              <w:rPr>
                <w:rFonts w:hint="default"/>
                <w:b/>
                <w:bCs/>
                <w:lang w:val="en-US" w:eastAsia="zh-CN"/>
              </w:rPr>
              <w:t>诉讼标的金额</w:t>
            </w:r>
          </w:p>
        </w:tc>
        <w:tc>
          <w:tcPr>
            <w:tcW w:w="1660" w:type="pct"/>
            <w:tcBorders>
              <w:left w:val="single" w:color="000000" w:sz="4" w:space="0"/>
              <w:bottom w:val="single" w:color="000000" w:sz="4" w:space="0"/>
            </w:tcBorders>
            <w:shd w:val="clear" w:color="auto" w:fill="auto"/>
            <w:vAlign w:val="center"/>
          </w:tcPr>
          <w:p w14:paraId="7E9763F5">
            <w:pPr>
              <w:pStyle w:val="24"/>
              <w:jc w:val="center"/>
              <w:rPr>
                <w:rFonts w:hint="default"/>
                <w:b/>
                <w:bCs/>
                <w:lang w:val="en-US" w:eastAsia="zh-CN"/>
              </w:rPr>
            </w:pPr>
            <w:r>
              <w:rPr>
                <w:rFonts w:hint="default"/>
                <w:b/>
                <w:bCs/>
                <w:lang w:val="en-US" w:eastAsia="zh-CN"/>
              </w:rPr>
              <w:t>诉讼进展</w:t>
            </w:r>
          </w:p>
        </w:tc>
      </w:tr>
      <w:tr w14:paraId="79816139">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262" w:type="pct"/>
            <w:tcBorders>
              <w:top w:val="single" w:color="000000" w:sz="4" w:space="0"/>
              <w:right w:val="single" w:color="000000" w:sz="4" w:space="0"/>
            </w:tcBorders>
            <w:shd w:val="clear" w:color="auto" w:fill="auto"/>
            <w:vAlign w:val="center"/>
          </w:tcPr>
          <w:p w14:paraId="3492E8C8">
            <w:pPr>
              <w:pStyle w:val="24"/>
              <w:jc w:val="center"/>
              <w:rPr>
                <w:rFonts w:hint="default"/>
                <w:lang w:val="en-US" w:eastAsia="zh-CN"/>
              </w:rPr>
            </w:pPr>
            <w:r>
              <w:rPr>
                <w:rFonts w:hint="default"/>
                <w:lang w:val="en-US" w:eastAsia="zh-CN"/>
              </w:rPr>
              <w:t>1</w:t>
            </w:r>
          </w:p>
        </w:tc>
        <w:tc>
          <w:tcPr>
            <w:tcW w:w="284" w:type="pct"/>
            <w:tcBorders>
              <w:top w:val="single" w:color="000000" w:sz="4" w:space="0"/>
              <w:left w:val="single" w:color="000000" w:sz="4" w:space="0"/>
              <w:right w:val="single" w:color="000000" w:sz="4" w:space="0"/>
            </w:tcBorders>
            <w:shd w:val="clear" w:color="auto" w:fill="auto"/>
            <w:vAlign w:val="center"/>
          </w:tcPr>
          <w:p w14:paraId="14816B89">
            <w:pPr>
              <w:pStyle w:val="24"/>
              <w:jc w:val="center"/>
              <w:rPr>
                <w:rFonts w:hint="default"/>
                <w:lang w:val="en-US" w:eastAsia="zh-CN"/>
              </w:rPr>
            </w:pPr>
            <w:r>
              <w:rPr>
                <w:rFonts w:hint="default"/>
                <w:lang w:val="en-US" w:eastAsia="zh-CN"/>
              </w:rPr>
              <w:t>鼎耘科技</w:t>
            </w:r>
          </w:p>
        </w:tc>
        <w:tc>
          <w:tcPr>
            <w:tcW w:w="560" w:type="pct"/>
            <w:tcBorders>
              <w:top w:val="single" w:color="000000" w:sz="4" w:space="0"/>
              <w:left w:val="single" w:color="000000" w:sz="4" w:space="0"/>
              <w:right w:val="single" w:color="000000" w:sz="4" w:space="0"/>
            </w:tcBorders>
            <w:shd w:val="clear" w:color="auto" w:fill="auto"/>
            <w:vAlign w:val="center"/>
          </w:tcPr>
          <w:p w14:paraId="6F9C4372">
            <w:pPr>
              <w:pStyle w:val="24"/>
              <w:jc w:val="center"/>
              <w:rPr>
                <w:rFonts w:hint="default"/>
                <w:lang w:val="en-US" w:eastAsia="zh-CN"/>
              </w:rPr>
            </w:pPr>
            <w:r>
              <w:rPr>
                <w:rFonts w:hint="default"/>
                <w:lang w:val="en-US" w:eastAsia="zh-CN"/>
              </w:rPr>
              <w:t>珠海横琴泓沛股权投资基金（有限合伙）</w:t>
            </w:r>
          </w:p>
        </w:tc>
        <w:tc>
          <w:tcPr>
            <w:tcW w:w="306" w:type="pct"/>
            <w:tcBorders>
              <w:top w:val="single" w:color="000000" w:sz="4" w:space="0"/>
              <w:left w:val="single" w:color="000000" w:sz="4" w:space="0"/>
              <w:right w:val="single" w:color="000000" w:sz="4" w:space="0"/>
            </w:tcBorders>
            <w:shd w:val="clear" w:color="auto" w:fill="auto"/>
            <w:vAlign w:val="center"/>
          </w:tcPr>
          <w:p w14:paraId="4D57321D">
            <w:pPr>
              <w:pStyle w:val="24"/>
              <w:jc w:val="center"/>
              <w:rPr>
                <w:rFonts w:hint="default"/>
                <w:lang w:val="en-US" w:eastAsia="zh-CN"/>
              </w:rPr>
            </w:pPr>
            <w:r>
              <w:rPr>
                <w:rFonts w:hint="default"/>
                <w:lang w:val="en-US" w:eastAsia="zh-CN"/>
              </w:rPr>
              <w:t>借款合同纠纷</w:t>
            </w:r>
          </w:p>
        </w:tc>
        <w:tc>
          <w:tcPr>
            <w:tcW w:w="437" w:type="pct"/>
            <w:tcBorders>
              <w:top w:val="single" w:color="000000" w:sz="4" w:space="0"/>
              <w:left w:val="single" w:color="000000" w:sz="4" w:space="0"/>
              <w:right w:val="single" w:color="000000" w:sz="4" w:space="0"/>
            </w:tcBorders>
            <w:shd w:val="clear" w:color="auto" w:fill="auto"/>
            <w:vAlign w:val="center"/>
          </w:tcPr>
          <w:p w14:paraId="17FEC9B9">
            <w:pPr>
              <w:pStyle w:val="24"/>
              <w:jc w:val="center"/>
              <w:rPr>
                <w:rFonts w:hint="default"/>
                <w:lang w:val="en-US" w:eastAsia="zh-CN"/>
              </w:rPr>
            </w:pPr>
            <w:r>
              <w:rPr>
                <w:rFonts w:hint="default"/>
                <w:lang w:val="en-US" w:eastAsia="zh-CN"/>
              </w:rPr>
              <w:t>北京市第三中级人民法院</w:t>
            </w:r>
          </w:p>
        </w:tc>
        <w:tc>
          <w:tcPr>
            <w:tcW w:w="1487" w:type="pct"/>
            <w:tcBorders>
              <w:top w:val="single" w:color="000000" w:sz="4" w:space="0"/>
              <w:left w:val="single" w:color="000000" w:sz="4" w:space="0"/>
              <w:right w:val="single" w:color="000000" w:sz="4" w:space="0"/>
            </w:tcBorders>
            <w:shd w:val="clear" w:color="auto" w:fill="auto"/>
            <w:vAlign w:val="center"/>
          </w:tcPr>
          <w:p w14:paraId="0BF5F288">
            <w:pPr>
              <w:pStyle w:val="24"/>
              <w:jc w:val="both"/>
              <w:rPr>
                <w:rFonts w:hint="default"/>
                <w:lang w:val="en-US" w:eastAsia="zh-CN"/>
              </w:rPr>
            </w:pPr>
            <w:r>
              <w:rPr>
                <w:rFonts w:hint="default"/>
                <w:lang w:val="en-US" w:eastAsia="zh-CN"/>
              </w:rPr>
              <w:t>根据（2018）京03民初464号民事调解书，……确认珠海横琴泓沛股权投资基金（有限合伙）于2018年8月30日前向北京鼎耘科技发展有限公司偿还借款人民币2亿元及……相关利息费用</w:t>
            </w:r>
          </w:p>
        </w:tc>
        <w:tc>
          <w:tcPr>
            <w:tcW w:w="1660" w:type="pct"/>
            <w:tcBorders>
              <w:top w:val="single" w:color="000000" w:sz="4" w:space="0"/>
              <w:left w:val="single" w:color="000000" w:sz="4" w:space="0"/>
            </w:tcBorders>
            <w:shd w:val="clear" w:color="auto" w:fill="auto"/>
            <w:vAlign w:val="center"/>
          </w:tcPr>
          <w:p w14:paraId="147E8583">
            <w:pPr>
              <w:pStyle w:val="24"/>
              <w:jc w:val="both"/>
              <w:rPr>
                <w:rFonts w:hint="default"/>
                <w:lang w:val="en-US" w:eastAsia="zh-CN"/>
              </w:rPr>
            </w:pPr>
            <w:r>
              <w:rPr>
                <w:rFonts w:hint="default"/>
                <w:lang w:val="en-US" w:eastAsia="zh-CN"/>
              </w:rPr>
              <w:t>根据（2021）京03执恢155号执行裁定书，裁定冻结、划拨被执行人珠海横琴泓沛股权投资基金（有限合伙）的银行存款一亿四千四百一十八万九千三百七十四元八角九分，冻结、划拨相关延期履行利息、费用</w:t>
            </w:r>
          </w:p>
        </w:tc>
      </w:tr>
    </w:tbl>
    <w:p w14:paraId="774DE73C">
      <w:pPr>
        <w:pStyle w:val="21"/>
        <w:bidi w:val="0"/>
        <w:rPr>
          <w:rFonts w:hint="default"/>
          <w:lang w:val="en-US" w:eastAsia="zh-CN"/>
        </w:rPr>
      </w:pPr>
      <w:r>
        <w:rPr>
          <w:rFonts w:hint="eastAsia"/>
          <w:lang w:val="en-US" w:eastAsia="zh-CN"/>
        </w:rPr>
        <w:t>（六）对一致行动人的董事、监事、高级管理人员基本情况的核查</w:t>
      </w:r>
    </w:p>
    <w:p w14:paraId="032C3A0C">
      <w:pPr>
        <w:pStyle w:val="20"/>
        <w:spacing w:before="156" w:after="156"/>
        <w:ind w:left="0" w:leftChars="0" w:firstLine="480" w:firstLineChars="200"/>
        <w:jc w:val="both"/>
        <w:rPr>
          <w:rFonts w:ascii="瀹嬩綋" w:hAnsi="瀹嬩綋" w:eastAsia="瀹嬩綋" w:cs="瀹嬩綋"/>
          <w:color w:val="000000"/>
          <w:kern w:val="0"/>
          <w:sz w:val="24"/>
          <w:szCs w:val="24"/>
          <w:lang w:val="en-US" w:eastAsia="zh-CN" w:bidi="ar"/>
        </w:rPr>
      </w:pPr>
      <w:r>
        <w:rPr>
          <w:rFonts w:ascii="瀹嬩綋" w:hAnsi="瀹嬩綋" w:eastAsia="瀹嬩綋" w:cs="瀹嬩綋"/>
          <w:color w:val="000000"/>
          <w:kern w:val="0"/>
          <w:sz w:val="24"/>
          <w:szCs w:val="24"/>
          <w:lang w:val="en-US" w:eastAsia="zh-CN" w:bidi="ar"/>
        </w:rPr>
        <w:t>截至本报告书签署日，鼎耘科技的董事、监事、高级管理人员</w:t>
      </w:r>
      <w:r>
        <w:rPr>
          <w:rFonts w:hint="eastAsia"/>
        </w:rPr>
        <w:t>的基本情况如下</w:t>
      </w:r>
      <w:r>
        <w:rPr>
          <w:rFonts w:hint="default" w:ascii="瀹嬩綋" w:hAnsi="瀹嬩綋" w:eastAsia="瀹嬩綋" w:cs="瀹嬩綋"/>
          <w:color w:val="000000"/>
          <w:kern w:val="0"/>
          <w:sz w:val="24"/>
          <w:szCs w:val="24"/>
          <w:lang w:val="en-US" w:eastAsia="zh-CN" w:bidi="ar"/>
        </w:rPr>
        <w:t>：</w:t>
      </w:r>
    </w:p>
    <w:tbl>
      <w:tblPr>
        <w:tblStyle w:val="13"/>
        <w:tblW w:w="4997"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92"/>
        <w:gridCol w:w="1082"/>
        <w:gridCol w:w="943"/>
        <w:gridCol w:w="2299"/>
        <w:gridCol w:w="1491"/>
        <w:gridCol w:w="1710"/>
      </w:tblGrid>
      <w:tr w14:paraId="5E2AAD9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582" w:type="pct"/>
            <w:shd w:val="clear" w:color="auto" w:fill="auto"/>
            <w:vAlign w:val="center"/>
          </w:tcPr>
          <w:p w14:paraId="5E903E4A">
            <w:pPr>
              <w:pStyle w:val="24"/>
              <w:jc w:val="center"/>
              <w:rPr>
                <w:rFonts w:hint="default"/>
                <w:b/>
                <w:bCs/>
                <w:lang w:val="en-US" w:eastAsia="zh-CN"/>
              </w:rPr>
            </w:pPr>
            <w:r>
              <w:rPr>
                <w:rFonts w:hint="default"/>
                <w:b/>
                <w:bCs/>
                <w:lang w:val="en-US" w:eastAsia="zh-CN"/>
              </w:rPr>
              <w:t>姓名</w:t>
            </w:r>
          </w:p>
        </w:tc>
        <w:tc>
          <w:tcPr>
            <w:tcW w:w="635" w:type="pct"/>
            <w:shd w:val="clear" w:color="auto" w:fill="auto"/>
            <w:vAlign w:val="center"/>
          </w:tcPr>
          <w:p w14:paraId="005C0AE9">
            <w:pPr>
              <w:pStyle w:val="24"/>
              <w:jc w:val="center"/>
              <w:rPr>
                <w:rFonts w:hint="default"/>
                <w:b/>
                <w:bCs/>
                <w:lang w:val="en-US" w:eastAsia="zh-CN"/>
              </w:rPr>
            </w:pPr>
            <w:r>
              <w:rPr>
                <w:rFonts w:hint="eastAsia"/>
                <w:b/>
                <w:bCs/>
                <w:lang w:val="en-US" w:eastAsia="zh-CN"/>
              </w:rPr>
              <w:t>曾用名</w:t>
            </w:r>
          </w:p>
        </w:tc>
        <w:tc>
          <w:tcPr>
            <w:tcW w:w="553" w:type="pct"/>
            <w:shd w:val="clear" w:color="auto" w:fill="auto"/>
            <w:vAlign w:val="center"/>
          </w:tcPr>
          <w:p w14:paraId="76FE1534">
            <w:pPr>
              <w:pStyle w:val="24"/>
              <w:jc w:val="center"/>
              <w:rPr>
                <w:rFonts w:hint="default"/>
                <w:b/>
                <w:bCs/>
                <w:lang w:val="en-US" w:eastAsia="zh-CN"/>
              </w:rPr>
            </w:pPr>
            <w:r>
              <w:rPr>
                <w:rFonts w:hint="default"/>
                <w:b/>
                <w:bCs/>
                <w:lang w:val="en-US" w:eastAsia="zh-CN"/>
              </w:rPr>
              <w:t>国籍</w:t>
            </w:r>
          </w:p>
        </w:tc>
        <w:tc>
          <w:tcPr>
            <w:tcW w:w="1349" w:type="pct"/>
            <w:shd w:val="clear" w:color="auto" w:fill="auto"/>
            <w:vAlign w:val="center"/>
          </w:tcPr>
          <w:p w14:paraId="31B7DD3D">
            <w:pPr>
              <w:pStyle w:val="24"/>
              <w:jc w:val="center"/>
              <w:rPr>
                <w:rFonts w:hint="default"/>
                <w:b/>
                <w:bCs/>
                <w:lang w:val="en-US" w:eastAsia="zh-CN"/>
              </w:rPr>
            </w:pPr>
            <w:r>
              <w:rPr>
                <w:rFonts w:hint="default"/>
                <w:b/>
                <w:bCs/>
                <w:lang w:val="en-US" w:eastAsia="zh-CN"/>
              </w:rPr>
              <w:t>身份证件号码</w:t>
            </w:r>
          </w:p>
        </w:tc>
        <w:tc>
          <w:tcPr>
            <w:tcW w:w="875" w:type="pct"/>
            <w:shd w:val="clear" w:color="auto" w:fill="auto"/>
            <w:vAlign w:val="center"/>
          </w:tcPr>
          <w:p w14:paraId="7CA1F9F0">
            <w:pPr>
              <w:pStyle w:val="24"/>
              <w:jc w:val="center"/>
              <w:rPr>
                <w:rFonts w:hint="default"/>
                <w:b/>
                <w:bCs/>
                <w:lang w:val="en-US" w:eastAsia="zh-CN"/>
              </w:rPr>
            </w:pPr>
            <w:r>
              <w:rPr>
                <w:rFonts w:hint="eastAsia"/>
                <w:b/>
                <w:bCs/>
                <w:lang w:val="en-US" w:eastAsia="zh-CN"/>
              </w:rPr>
              <w:t>住所地</w:t>
            </w:r>
          </w:p>
        </w:tc>
        <w:tc>
          <w:tcPr>
            <w:tcW w:w="1003" w:type="pct"/>
            <w:shd w:val="clear" w:color="auto" w:fill="auto"/>
            <w:vAlign w:val="center"/>
          </w:tcPr>
          <w:p w14:paraId="474794D5">
            <w:pPr>
              <w:pStyle w:val="24"/>
              <w:jc w:val="center"/>
              <w:rPr>
                <w:rFonts w:hint="default"/>
                <w:b/>
                <w:bCs/>
                <w:lang w:val="en-US" w:eastAsia="zh-CN"/>
              </w:rPr>
            </w:pPr>
            <w:r>
              <w:rPr>
                <w:rFonts w:hint="default"/>
                <w:b/>
                <w:bCs/>
                <w:lang w:val="en-US" w:eastAsia="zh-CN"/>
              </w:rPr>
              <w:t>是否取得其他国家或地区居留权</w:t>
            </w:r>
          </w:p>
        </w:tc>
      </w:tr>
      <w:tr w14:paraId="2E29A8D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397" w:hRule="atLeast"/>
        </w:trPr>
        <w:tc>
          <w:tcPr>
            <w:tcW w:w="582" w:type="pct"/>
            <w:shd w:val="clear" w:color="auto" w:fill="auto"/>
            <w:vAlign w:val="center"/>
          </w:tcPr>
          <w:p w14:paraId="69E33649">
            <w:pPr>
              <w:pStyle w:val="24"/>
              <w:jc w:val="center"/>
              <w:rPr>
                <w:rFonts w:hint="default"/>
                <w:lang w:val="en-US" w:eastAsia="zh-CN"/>
              </w:rPr>
            </w:pPr>
            <w:r>
              <w:rPr>
                <w:rFonts w:hint="default"/>
                <w:lang w:val="en-US" w:eastAsia="zh-CN"/>
              </w:rPr>
              <w:t>李红星</w:t>
            </w:r>
          </w:p>
        </w:tc>
        <w:tc>
          <w:tcPr>
            <w:tcW w:w="635" w:type="pct"/>
            <w:shd w:val="clear" w:color="auto" w:fill="auto"/>
            <w:vAlign w:val="center"/>
          </w:tcPr>
          <w:p w14:paraId="5CADC34E">
            <w:pPr>
              <w:pStyle w:val="24"/>
              <w:jc w:val="center"/>
              <w:rPr>
                <w:rFonts w:hint="default"/>
                <w:lang w:val="en-US" w:eastAsia="zh-CN"/>
              </w:rPr>
            </w:pPr>
            <w:r>
              <w:rPr>
                <w:rFonts w:hint="eastAsia"/>
                <w:lang w:val="en-US" w:eastAsia="zh-CN"/>
              </w:rPr>
              <w:t>无</w:t>
            </w:r>
          </w:p>
        </w:tc>
        <w:tc>
          <w:tcPr>
            <w:tcW w:w="553" w:type="pct"/>
            <w:shd w:val="clear" w:color="auto" w:fill="auto"/>
            <w:vAlign w:val="center"/>
          </w:tcPr>
          <w:p w14:paraId="1246D652">
            <w:pPr>
              <w:pStyle w:val="24"/>
              <w:jc w:val="center"/>
              <w:rPr>
                <w:rFonts w:hint="default"/>
                <w:lang w:val="en-US" w:eastAsia="zh-CN"/>
              </w:rPr>
            </w:pPr>
            <w:r>
              <w:rPr>
                <w:rFonts w:hint="default"/>
                <w:lang w:val="en-US" w:eastAsia="zh-CN"/>
              </w:rPr>
              <w:t>中国</w:t>
            </w:r>
          </w:p>
        </w:tc>
        <w:tc>
          <w:tcPr>
            <w:tcW w:w="1349" w:type="pct"/>
            <w:shd w:val="clear" w:color="auto" w:fill="auto"/>
            <w:vAlign w:val="center"/>
          </w:tcPr>
          <w:p w14:paraId="5F50ECC1">
            <w:pPr>
              <w:pStyle w:val="24"/>
              <w:jc w:val="center"/>
              <w:rPr>
                <w:rFonts w:hint="default"/>
                <w:lang w:val="en-US" w:eastAsia="zh-CN"/>
              </w:rPr>
            </w:pPr>
            <w:r>
              <w:rPr>
                <w:rFonts w:hint="default"/>
                <w:lang w:val="en-US" w:eastAsia="zh-CN"/>
              </w:rPr>
              <w:t>3421011974********</w:t>
            </w:r>
          </w:p>
        </w:tc>
        <w:tc>
          <w:tcPr>
            <w:tcW w:w="875" w:type="pct"/>
            <w:shd w:val="clear" w:color="auto" w:fill="auto"/>
            <w:vAlign w:val="center"/>
          </w:tcPr>
          <w:p w14:paraId="307495EF">
            <w:pPr>
              <w:pStyle w:val="24"/>
              <w:jc w:val="center"/>
              <w:rPr>
                <w:rFonts w:hint="default"/>
                <w:lang w:val="en-US" w:eastAsia="zh-CN"/>
              </w:rPr>
            </w:pPr>
            <w:r>
              <w:rPr>
                <w:rFonts w:hint="eastAsia"/>
                <w:lang w:val="en-US" w:eastAsia="zh-CN"/>
              </w:rPr>
              <w:t>上海市</w:t>
            </w:r>
          </w:p>
        </w:tc>
        <w:tc>
          <w:tcPr>
            <w:tcW w:w="1003" w:type="pct"/>
            <w:shd w:val="clear" w:color="auto" w:fill="auto"/>
            <w:vAlign w:val="center"/>
          </w:tcPr>
          <w:p w14:paraId="035A1B6D">
            <w:pPr>
              <w:pStyle w:val="24"/>
              <w:jc w:val="center"/>
              <w:rPr>
                <w:rFonts w:hint="default"/>
                <w:lang w:val="en-US" w:eastAsia="zh-CN"/>
              </w:rPr>
            </w:pPr>
            <w:r>
              <w:rPr>
                <w:rFonts w:hint="default"/>
                <w:lang w:val="en-US" w:eastAsia="zh-CN"/>
              </w:rPr>
              <w:t>否</w:t>
            </w:r>
          </w:p>
        </w:tc>
      </w:tr>
      <w:tr w14:paraId="7F9D3AB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82" w:type="pct"/>
            <w:shd w:val="clear" w:color="auto" w:fill="auto"/>
            <w:vAlign w:val="center"/>
          </w:tcPr>
          <w:p w14:paraId="45E10CB4">
            <w:pPr>
              <w:pStyle w:val="24"/>
              <w:jc w:val="center"/>
              <w:rPr>
                <w:rFonts w:hint="default"/>
                <w:lang w:val="en-US" w:eastAsia="zh-CN"/>
              </w:rPr>
            </w:pPr>
            <w:r>
              <w:rPr>
                <w:rFonts w:hint="default"/>
                <w:lang w:val="en-US" w:eastAsia="zh-CN"/>
              </w:rPr>
              <w:t>车晓燕</w:t>
            </w:r>
          </w:p>
        </w:tc>
        <w:tc>
          <w:tcPr>
            <w:tcW w:w="635" w:type="pct"/>
            <w:shd w:val="clear" w:color="auto" w:fill="auto"/>
            <w:vAlign w:val="center"/>
          </w:tcPr>
          <w:p w14:paraId="26F1304E">
            <w:pPr>
              <w:pStyle w:val="24"/>
              <w:jc w:val="center"/>
              <w:rPr>
                <w:rFonts w:hint="default"/>
                <w:lang w:val="en-US" w:eastAsia="zh-CN"/>
              </w:rPr>
            </w:pPr>
            <w:r>
              <w:rPr>
                <w:rFonts w:hint="eastAsia"/>
                <w:lang w:val="en-US" w:eastAsia="zh-CN"/>
              </w:rPr>
              <w:t>无</w:t>
            </w:r>
          </w:p>
        </w:tc>
        <w:tc>
          <w:tcPr>
            <w:tcW w:w="553" w:type="pct"/>
            <w:shd w:val="clear" w:color="auto" w:fill="auto"/>
            <w:vAlign w:val="center"/>
          </w:tcPr>
          <w:p w14:paraId="5615A6B7">
            <w:pPr>
              <w:pStyle w:val="24"/>
              <w:jc w:val="center"/>
              <w:rPr>
                <w:rFonts w:hint="default"/>
                <w:lang w:val="en-US" w:eastAsia="zh-CN"/>
              </w:rPr>
            </w:pPr>
            <w:r>
              <w:rPr>
                <w:rFonts w:hint="default"/>
                <w:lang w:val="en-US" w:eastAsia="zh-CN"/>
              </w:rPr>
              <w:t>中国</w:t>
            </w:r>
          </w:p>
        </w:tc>
        <w:tc>
          <w:tcPr>
            <w:tcW w:w="1349" w:type="pct"/>
            <w:shd w:val="clear" w:color="auto" w:fill="auto"/>
            <w:vAlign w:val="center"/>
          </w:tcPr>
          <w:p w14:paraId="6551C516">
            <w:pPr>
              <w:pStyle w:val="24"/>
              <w:jc w:val="center"/>
              <w:rPr>
                <w:rFonts w:hint="default"/>
                <w:lang w:val="en-US" w:eastAsia="zh-CN"/>
              </w:rPr>
            </w:pPr>
            <w:r>
              <w:rPr>
                <w:rFonts w:hint="default"/>
                <w:lang w:val="en-US" w:eastAsia="zh-CN"/>
              </w:rPr>
              <w:t>6101141981********</w:t>
            </w:r>
          </w:p>
        </w:tc>
        <w:tc>
          <w:tcPr>
            <w:tcW w:w="875" w:type="pct"/>
            <w:shd w:val="clear" w:color="auto" w:fill="auto"/>
            <w:vAlign w:val="center"/>
          </w:tcPr>
          <w:p w14:paraId="5CFD60D2">
            <w:pPr>
              <w:pStyle w:val="24"/>
              <w:jc w:val="center"/>
              <w:rPr>
                <w:rFonts w:hint="default"/>
                <w:lang w:val="en-US" w:eastAsia="zh-CN"/>
              </w:rPr>
            </w:pPr>
            <w:r>
              <w:rPr>
                <w:rFonts w:hint="eastAsia"/>
                <w:lang w:val="en-US" w:eastAsia="zh-CN"/>
              </w:rPr>
              <w:t>北京市</w:t>
            </w:r>
          </w:p>
        </w:tc>
        <w:tc>
          <w:tcPr>
            <w:tcW w:w="1003" w:type="pct"/>
            <w:shd w:val="clear" w:color="auto" w:fill="auto"/>
            <w:vAlign w:val="center"/>
          </w:tcPr>
          <w:p w14:paraId="284F7179">
            <w:pPr>
              <w:pStyle w:val="24"/>
              <w:jc w:val="center"/>
              <w:rPr>
                <w:rFonts w:hint="default"/>
                <w:lang w:val="en-US" w:eastAsia="zh-CN"/>
              </w:rPr>
            </w:pPr>
            <w:r>
              <w:rPr>
                <w:rFonts w:hint="default"/>
                <w:lang w:val="en-US" w:eastAsia="zh-CN"/>
              </w:rPr>
              <w:t>否</w:t>
            </w:r>
          </w:p>
        </w:tc>
      </w:tr>
    </w:tbl>
    <w:p w14:paraId="1845D9AD">
      <w:pPr>
        <w:pStyle w:val="20"/>
        <w:spacing w:before="156" w:after="156"/>
        <w:ind w:left="0" w:leftChars="0" w:firstLine="480" w:firstLineChars="200"/>
        <w:jc w:val="both"/>
      </w:pPr>
      <w:r>
        <w:rPr>
          <w:lang w:val="en-US" w:eastAsia="zh-CN"/>
        </w:rPr>
        <w:t>截至本报告书签署日</w:t>
      </w:r>
      <w:r>
        <w:rPr>
          <w:rFonts w:hint="eastAsia"/>
          <w:lang w:val="en-US" w:eastAsia="zh-CN"/>
        </w:rPr>
        <w:t>，</w:t>
      </w:r>
      <w:r>
        <w:rPr>
          <w:lang w:val="en-US" w:eastAsia="zh-CN"/>
        </w:rPr>
        <w:t>最近五年，鼎耘科技的董事、监事、高级管理人员</w:t>
      </w:r>
      <w:r>
        <w:rPr>
          <w:rFonts w:hint="eastAsia"/>
        </w:rPr>
        <w:t>未受过行政处罚（与证券市场明显无关的除外）、刑事处罚</w:t>
      </w:r>
      <w:r>
        <w:rPr>
          <w:rFonts w:hint="default"/>
          <w:lang w:val="en-US" w:eastAsia="zh-CN"/>
        </w:rPr>
        <w:t>，涉及的与经济纠纷有关的重大民事诉讼如下：</w:t>
      </w:r>
    </w:p>
    <w:tbl>
      <w:tblPr>
        <w:tblStyle w:val="13"/>
        <w:tblW w:w="5000"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5"/>
        <w:gridCol w:w="675"/>
        <w:gridCol w:w="1333"/>
        <w:gridCol w:w="694"/>
        <w:gridCol w:w="735"/>
        <w:gridCol w:w="2460"/>
        <w:gridCol w:w="2180"/>
      </w:tblGrid>
      <w:tr w14:paraId="3FB5EED7">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261" w:type="pct"/>
            <w:tcBorders>
              <w:bottom w:val="single" w:color="000000" w:sz="4" w:space="0"/>
              <w:right w:val="single" w:color="000000" w:sz="4" w:space="0"/>
            </w:tcBorders>
            <w:shd w:val="clear" w:color="auto" w:fill="auto"/>
            <w:vAlign w:val="center"/>
          </w:tcPr>
          <w:p w14:paraId="5DF8D2FD">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序号</w:t>
            </w:r>
          </w:p>
        </w:tc>
        <w:tc>
          <w:tcPr>
            <w:tcW w:w="396" w:type="pct"/>
            <w:tcBorders>
              <w:left w:val="single" w:color="000000" w:sz="4" w:space="0"/>
              <w:bottom w:val="single" w:color="000000" w:sz="4" w:space="0"/>
              <w:right w:val="single" w:color="000000" w:sz="4" w:space="0"/>
            </w:tcBorders>
            <w:shd w:val="clear" w:color="auto" w:fill="auto"/>
            <w:vAlign w:val="center"/>
          </w:tcPr>
          <w:p w14:paraId="4F79EE3F">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原告</w:t>
            </w:r>
          </w:p>
        </w:tc>
        <w:tc>
          <w:tcPr>
            <w:tcW w:w="782" w:type="pct"/>
            <w:tcBorders>
              <w:left w:val="single" w:color="000000" w:sz="4" w:space="0"/>
              <w:bottom w:val="single" w:color="000000" w:sz="4" w:space="0"/>
              <w:right w:val="single" w:color="000000" w:sz="4" w:space="0"/>
            </w:tcBorders>
            <w:shd w:val="clear" w:color="auto" w:fill="auto"/>
            <w:vAlign w:val="center"/>
          </w:tcPr>
          <w:p w14:paraId="6ACD2B6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被告</w:t>
            </w:r>
          </w:p>
        </w:tc>
        <w:tc>
          <w:tcPr>
            <w:tcW w:w="407" w:type="pct"/>
            <w:tcBorders>
              <w:left w:val="single" w:color="000000" w:sz="4" w:space="0"/>
              <w:bottom w:val="single" w:color="000000" w:sz="4" w:space="0"/>
              <w:right w:val="single" w:color="000000" w:sz="4" w:space="0"/>
            </w:tcBorders>
            <w:shd w:val="clear" w:color="auto" w:fill="auto"/>
            <w:vAlign w:val="center"/>
          </w:tcPr>
          <w:p w14:paraId="2706518C">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案由</w:t>
            </w:r>
          </w:p>
        </w:tc>
        <w:tc>
          <w:tcPr>
            <w:tcW w:w="431" w:type="pct"/>
            <w:tcBorders>
              <w:left w:val="single" w:color="000000" w:sz="4" w:space="0"/>
              <w:bottom w:val="single" w:color="000000" w:sz="4" w:space="0"/>
              <w:right w:val="single" w:color="000000" w:sz="4" w:space="0"/>
            </w:tcBorders>
            <w:shd w:val="clear" w:color="auto" w:fill="auto"/>
            <w:vAlign w:val="center"/>
          </w:tcPr>
          <w:p w14:paraId="5B44D54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管辖法院</w:t>
            </w:r>
          </w:p>
        </w:tc>
        <w:tc>
          <w:tcPr>
            <w:tcW w:w="1443" w:type="pct"/>
            <w:tcBorders>
              <w:left w:val="single" w:color="000000" w:sz="4" w:space="0"/>
              <w:bottom w:val="single" w:color="000000" w:sz="4" w:space="0"/>
              <w:right w:val="single" w:color="000000" w:sz="4" w:space="0"/>
            </w:tcBorders>
            <w:shd w:val="clear" w:color="auto" w:fill="auto"/>
            <w:vAlign w:val="center"/>
          </w:tcPr>
          <w:p w14:paraId="755BBD9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诉讼标的金额</w:t>
            </w:r>
          </w:p>
        </w:tc>
        <w:tc>
          <w:tcPr>
            <w:tcW w:w="1279" w:type="pct"/>
            <w:tcBorders>
              <w:left w:val="single" w:color="000000" w:sz="4" w:space="0"/>
              <w:bottom w:val="single" w:color="000000" w:sz="4" w:space="0"/>
            </w:tcBorders>
            <w:shd w:val="clear" w:color="auto" w:fill="auto"/>
            <w:vAlign w:val="center"/>
          </w:tcPr>
          <w:p w14:paraId="0BEA5D5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诉讼进展</w:t>
            </w:r>
          </w:p>
        </w:tc>
      </w:tr>
      <w:tr w14:paraId="51132C49">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61" w:type="pct"/>
            <w:tcBorders>
              <w:top w:val="single" w:color="000000" w:sz="4" w:space="0"/>
              <w:right w:val="single" w:color="000000" w:sz="4" w:space="0"/>
            </w:tcBorders>
            <w:shd w:val="clear" w:color="auto" w:fill="auto"/>
            <w:vAlign w:val="center"/>
          </w:tcPr>
          <w:p w14:paraId="4BF5734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1</w:t>
            </w:r>
          </w:p>
        </w:tc>
        <w:tc>
          <w:tcPr>
            <w:tcW w:w="396" w:type="pct"/>
            <w:tcBorders>
              <w:top w:val="single" w:color="000000" w:sz="4" w:space="0"/>
              <w:left w:val="single" w:color="000000" w:sz="4" w:space="0"/>
              <w:right w:val="single" w:color="000000" w:sz="4" w:space="0"/>
            </w:tcBorders>
            <w:shd w:val="clear" w:color="auto" w:fill="auto"/>
            <w:vAlign w:val="center"/>
          </w:tcPr>
          <w:p w14:paraId="5E83465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成都曙光光纤网络有限责任公司</w:t>
            </w:r>
          </w:p>
        </w:tc>
        <w:tc>
          <w:tcPr>
            <w:tcW w:w="782" w:type="pct"/>
            <w:tcBorders>
              <w:top w:val="single" w:color="000000" w:sz="4" w:space="0"/>
              <w:left w:val="single" w:color="000000" w:sz="4" w:space="0"/>
              <w:right w:val="single" w:color="000000" w:sz="4" w:space="0"/>
            </w:tcBorders>
            <w:shd w:val="clear" w:color="auto" w:fill="auto"/>
            <w:vAlign w:val="center"/>
          </w:tcPr>
          <w:p w14:paraId="3D0E89E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珠海横琴泓沛股权投资基金（有限合伙）、李红星及相关人员</w:t>
            </w:r>
          </w:p>
        </w:tc>
        <w:tc>
          <w:tcPr>
            <w:tcW w:w="407" w:type="pct"/>
            <w:tcBorders>
              <w:top w:val="single" w:color="000000" w:sz="4" w:space="0"/>
              <w:left w:val="single" w:color="000000" w:sz="4" w:space="0"/>
              <w:right w:val="single" w:color="000000" w:sz="4" w:space="0"/>
            </w:tcBorders>
            <w:shd w:val="clear" w:color="auto" w:fill="auto"/>
            <w:vAlign w:val="center"/>
          </w:tcPr>
          <w:p w14:paraId="3520E6B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借款合同纠纷</w:t>
            </w:r>
          </w:p>
        </w:tc>
        <w:tc>
          <w:tcPr>
            <w:tcW w:w="431" w:type="pct"/>
            <w:tcBorders>
              <w:top w:val="single" w:color="000000" w:sz="4" w:space="0"/>
              <w:left w:val="single" w:color="000000" w:sz="4" w:space="0"/>
              <w:right w:val="single" w:color="000000" w:sz="4" w:space="0"/>
            </w:tcBorders>
            <w:shd w:val="clear" w:color="auto" w:fill="auto"/>
            <w:vAlign w:val="center"/>
          </w:tcPr>
          <w:p w14:paraId="110A735B">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北京市第三中级人民院</w:t>
            </w:r>
          </w:p>
        </w:tc>
        <w:tc>
          <w:tcPr>
            <w:tcW w:w="1443" w:type="pct"/>
            <w:tcBorders>
              <w:top w:val="single" w:color="000000" w:sz="4" w:space="0"/>
              <w:left w:val="single" w:color="000000" w:sz="4" w:space="0"/>
              <w:right w:val="single" w:color="000000" w:sz="4" w:space="0"/>
            </w:tcBorders>
            <w:shd w:val="clear" w:color="auto" w:fill="auto"/>
            <w:vAlign w:val="center"/>
          </w:tcPr>
          <w:p w14:paraId="2E95EEDF">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both"/>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根据（2021）最高法民终612号民事判决书，珠海横琴泓沛股权投资基金（有限合伙）自本判决生效之日十五日内向成都曙光光纤网络有限责任公司支付2亿元，李红星及相关人员承担连带责任</w:t>
            </w:r>
          </w:p>
        </w:tc>
        <w:tc>
          <w:tcPr>
            <w:tcW w:w="1279" w:type="pct"/>
            <w:tcBorders>
              <w:top w:val="single" w:color="000000" w:sz="4" w:space="0"/>
              <w:left w:val="single" w:color="000000" w:sz="4" w:space="0"/>
            </w:tcBorders>
            <w:shd w:val="clear" w:color="auto" w:fill="auto"/>
            <w:vAlign w:val="center"/>
          </w:tcPr>
          <w:p w14:paraId="647C695B">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both"/>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根据（2022）川0191执恢610号履行到期债务证明书、（2021）川01执恢470号履行到期债务证明书，李红星及相关人员已向指定方履行到期债务合计2亿元</w:t>
            </w:r>
          </w:p>
        </w:tc>
      </w:tr>
    </w:tbl>
    <w:p w14:paraId="13486E61">
      <w:pPr>
        <w:pStyle w:val="21"/>
        <w:bidi w:val="0"/>
        <w:rPr>
          <w:rFonts w:hint="default"/>
          <w:lang w:val="en-US" w:eastAsia="zh-CN"/>
        </w:rPr>
      </w:pPr>
      <w:r>
        <w:rPr>
          <w:rFonts w:hint="eastAsia"/>
          <w:lang w:val="en-US" w:eastAsia="zh-CN"/>
        </w:rPr>
        <w:t>（七）对一致行动人及其控股股东、实际控制人拥有境内、境外其他上市公司5%以上股份情况的核查</w:t>
      </w:r>
    </w:p>
    <w:p w14:paraId="0F98CA43">
      <w:pPr>
        <w:pStyle w:val="20"/>
        <w:spacing w:before="156" w:after="156"/>
        <w:ind w:left="0" w:leftChars="0" w:firstLine="480" w:firstLineChars="2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截至本报告书签署日，除汇源通信外，鼎耘科技的控股股东家家悦控股持有境内、境外其他上市公司5%以上股份的情况如下：</w:t>
      </w:r>
    </w:p>
    <w:tbl>
      <w:tblPr>
        <w:tblStyle w:val="13"/>
        <w:tblW w:w="4998"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67"/>
        <w:gridCol w:w="3041"/>
        <w:gridCol w:w="1405"/>
        <w:gridCol w:w="2030"/>
        <w:gridCol w:w="1276"/>
      </w:tblGrid>
      <w:tr w14:paraId="154E19F4">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50" w:type="pct"/>
            <w:tcBorders>
              <w:bottom w:val="single" w:color="000000" w:sz="4" w:space="0"/>
              <w:right w:val="single" w:color="000000" w:sz="4" w:space="0"/>
            </w:tcBorders>
            <w:shd w:val="clear" w:color="auto" w:fill="auto"/>
            <w:vAlign w:val="center"/>
          </w:tcPr>
          <w:p w14:paraId="2A174BD9">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序号</w:t>
            </w:r>
          </w:p>
        </w:tc>
        <w:tc>
          <w:tcPr>
            <w:tcW w:w="1784" w:type="pct"/>
            <w:tcBorders>
              <w:left w:val="single" w:color="000000" w:sz="4" w:space="0"/>
              <w:bottom w:val="single" w:color="000000" w:sz="4" w:space="0"/>
              <w:right w:val="single" w:color="000000" w:sz="4" w:space="0"/>
            </w:tcBorders>
            <w:shd w:val="clear" w:color="auto" w:fill="auto"/>
            <w:vAlign w:val="center"/>
          </w:tcPr>
          <w:p w14:paraId="204C869F">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eastAsia" w:cs="Times New Roman"/>
                <w:b/>
                <w:bCs/>
                <w:i w:val="0"/>
                <w:iCs w:val="0"/>
                <w:color w:val="333333"/>
                <w:kern w:val="0"/>
                <w:sz w:val="21"/>
                <w:szCs w:val="21"/>
                <w:u w:val="none"/>
                <w:lang w:val="en-US" w:eastAsia="zh-CN" w:bidi="ar"/>
              </w:rPr>
              <w:t>上市公司名称</w:t>
            </w:r>
          </w:p>
        </w:tc>
        <w:tc>
          <w:tcPr>
            <w:tcW w:w="824" w:type="pct"/>
            <w:tcBorders>
              <w:left w:val="single" w:color="000000" w:sz="4" w:space="0"/>
              <w:bottom w:val="single" w:color="000000" w:sz="4" w:space="0"/>
              <w:right w:val="single" w:color="000000" w:sz="4" w:space="0"/>
            </w:tcBorders>
            <w:shd w:val="clear" w:color="auto" w:fill="auto"/>
            <w:vAlign w:val="center"/>
          </w:tcPr>
          <w:p w14:paraId="4D137B4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eastAsia" w:cs="Times New Roman"/>
                <w:b/>
                <w:bCs/>
                <w:i w:val="0"/>
                <w:iCs w:val="0"/>
                <w:color w:val="333333"/>
                <w:kern w:val="0"/>
                <w:sz w:val="21"/>
                <w:szCs w:val="21"/>
                <w:u w:val="none"/>
                <w:lang w:val="en-US" w:eastAsia="zh-CN" w:bidi="ar"/>
              </w:rPr>
              <w:t>证券代码</w:t>
            </w:r>
          </w:p>
        </w:tc>
        <w:tc>
          <w:tcPr>
            <w:tcW w:w="1191" w:type="pct"/>
            <w:tcBorders>
              <w:left w:val="single" w:color="000000" w:sz="4" w:space="0"/>
              <w:bottom w:val="single" w:color="000000" w:sz="4" w:space="0"/>
              <w:right w:val="single" w:color="000000" w:sz="4" w:space="0"/>
            </w:tcBorders>
            <w:shd w:val="clear" w:color="auto" w:fill="auto"/>
            <w:vAlign w:val="center"/>
          </w:tcPr>
          <w:p w14:paraId="6B3D21C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eastAsia" w:cs="Times New Roman"/>
                <w:b/>
                <w:bCs/>
                <w:i w:val="0"/>
                <w:iCs w:val="0"/>
                <w:color w:val="333333"/>
                <w:kern w:val="0"/>
                <w:sz w:val="21"/>
                <w:szCs w:val="21"/>
                <w:u w:val="none"/>
                <w:lang w:val="en-US" w:eastAsia="zh-CN" w:bidi="ar"/>
              </w:rPr>
              <w:t>上市地</w:t>
            </w:r>
          </w:p>
        </w:tc>
        <w:tc>
          <w:tcPr>
            <w:tcW w:w="748" w:type="pct"/>
            <w:tcBorders>
              <w:left w:val="single" w:color="000000" w:sz="4" w:space="0"/>
              <w:bottom w:val="single" w:color="000000" w:sz="4" w:space="0"/>
              <w:right w:val="single" w:color="000000" w:sz="4" w:space="0"/>
            </w:tcBorders>
            <w:shd w:val="clear" w:color="auto" w:fill="auto"/>
            <w:vAlign w:val="center"/>
          </w:tcPr>
          <w:p w14:paraId="2EDA5739">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eastAsia" w:cs="Times New Roman"/>
                <w:b/>
                <w:bCs/>
                <w:i w:val="0"/>
                <w:iCs w:val="0"/>
                <w:color w:val="333333"/>
                <w:kern w:val="0"/>
                <w:sz w:val="21"/>
                <w:szCs w:val="21"/>
                <w:u w:val="none"/>
                <w:lang w:val="en-US" w:eastAsia="zh-CN" w:bidi="ar"/>
              </w:rPr>
              <w:t>持股比例</w:t>
            </w:r>
          </w:p>
        </w:tc>
      </w:tr>
      <w:tr w14:paraId="1C4FD967">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50" w:type="pct"/>
            <w:tcBorders>
              <w:top w:val="single" w:color="000000" w:sz="4" w:space="0"/>
              <w:bottom w:val="single" w:color="000000" w:sz="4" w:space="0"/>
              <w:right w:val="single" w:color="000000" w:sz="4" w:space="0"/>
            </w:tcBorders>
            <w:shd w:val="clear" w:color="auto" w:fill="auto"/>
            <w:vAlign w:val="center"/>
          </w:tcPr>
          <w:p w14:paraId="7492392C">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1</w:t>
            </w:r>
          </w:p>
        </w:tc>
        <w:tc>
          <w:tcPr>
            <w:tcW w:w="17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BD486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家家悦集团股份有限公司</w:t>
            </w:r>
          </w:p>
        </w:tc>
        <w:tc>
          <w:tcPr>
            <w:tcW w:w="82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9AA0A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603708.SH</w:t>
            </w:r>
          </w:p>
        </w:tc>
        <w:tc>
          <w:tcPr>
            <w:tcW w:w="11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45F96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eastAsia" w:cs="Times New Roman"/>
                <w:i w:val="0"/>
                <w:iCs w:val="0"/>
                <w:color w:val="333333"/>
                <w:kern w:val="0"/>
                <w:sz w:val="21"/>
                <w:szCs w:val="21"/>
                <w:u w:val="none"/>
                <w:lang w:val="en-US" w:eastAsia="zh-CN" w:bidi="ar"/>
              </w:rPr>
              <w:t>上海证券交易所</w:t>
            </w:r>
          </w:p>
        </w:tc>
        <w:tc>
          <w:tcPr>
            <w:tcW w:w="74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F94B4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lang w:val="en-US"/>
              </w:rPr>
            </w:pPr>
            <w:r>
              <w:rPr>
                <w:rFonts w:hint="eastAsia" w:cs="Times New Roman"/>
                <w:i w:val="0"/>
                <w:iCs w:val="0"/>
                <w:color w:val="333333"/>
                <w:kern w:val="0"/>
                <w:sz w:val="21"/>
                <w:szCs w:val="21"/>
                <w:u w:val="none"/>
                <w:lang w:val="en-US" w:eastAsia="zh-CN" w:bidi="ar"/>
              </w:rPr>
              <w:t>62.94%</w:t>
            </w:r>
          </w:p>
        </w:tc>
      </w:tr>
      <w:tr w14:paraId="4C1215B8">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50" w:type="pct"/>
            <w:tcBorders>
              <w:top w:val="single" w:color="000000" w:sz="4" w:space="0"/>
              <w:right w:val="single" w:color="000000" w:sz="4" w:space="0"/>
            </w:tcBorders>
            <w:shd w:val="clear" w:color="auto" w:fill="auto"/>
            <w:vAlign w:val="center"/>
          </w:tcPr>
          <w:p w14:paraId="6DD393D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2</w:t>
            </w:r>
          </w:p>
        </w:tc>
        <w:tc>
          <w:tcPr>
            <w:tcW w:w="1784" w:type="pct"/>
            <w:tcBorders>
              <w:top w:val="single" w:color="000000" w:sz="4" w:space="0"/>
              <w:left w:val="single" w:color="000000" w:sz="4" w:space="0"/>
              <w:right w:val="single" w:color="000000" w:sz="4" w:space="0"/>
            </w:tcBorders>
            <w:shd w:val="clear" w:color="auto" w:fill="auto"/>
            <w:vAlign w:val="center"/>
          </w:tcPr>
          <w:p w14:paraId="6EDD663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default" w:ascii="Times New Roman" w:hAnsi="Times New Roman" w:eastAsia="宋体" w:cs="Times New Roman"/>
                <w:i w:val="0"/>
                <w:iCs w:val="0"/>
                <w:color w:val="333333"/>
                <w:kern w:val="0"/>
                <w:sz w:val="21"/>
                <w:szCs w:val="21"/>
                <w:u w:val="none"/>
                <w:lang w:val="en-US" w:eastAsia="zh-CN" w:bidi="ar"/>
              </w:rPr>
              <w:t>Cooks Coffee Company Limited</w:t>
            </w:r>
          </w:p>
        </w:tc>
        <w:tc>
          <w:tcPr>
            <w:tcW w:w="824" w:type="pct"/>
            <w:tcBorders>
              <w:top w:val="single" w:color="000000" w:sz="4" w:space="0"/>
              <w:left w:val="single" w:color="000000" w:sz="4" w:space="0"/>
              <w:right w:val="single" w:color="000000" w:sz="4" w:space="0"/>
            </w:tcBorders>
            <w:shd w:val="clear" w:color="auto" w:fill="auto"/>
            <w:vAlign w:val="center"/>
          </w:tcPr>
          <w:p w14:paraId="6BE9B6E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COOK</w:t>
            </w:r>
          </w:p>
        </w:tc>
        <w:tc>
          <w:tcPr>
            <w:tcW w:w="1191" w:type="pct"/>
            <w:tcBorders>
              <w:top w:val="single" w:color="000000" w:sz="4" w:space="0"/>
              <w:left w:val="single" w:color="000000" w:sz="4" w:space="0"/>
              <w:right w:val="single" w:color="000000" w:sz="4" w:space="0"/>
            </w:tcBorders>
            <w:shd w:val="clear" w:color="auto" w:fill="auto"/>
            <w:vAlign w:val="center"/>
          </w:tcPr>
          <w:p w14:paraId="634804B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Aquis</w:t>
            </w:r>
            <w:r>
              <w:rPr>
                <w:rFonts w:hint="eastAsia"/>
                <w:color w:val="333333"/>
                <w:kern w:val="0"/>
                <w:sz w:val="21"/>
                <w:szCs w:val="21"/>
                <w:u w:val="none"/>
                <w:lang w:bidi="ar"/>
              </w:rPr>
              <w:t>证券交易所</w:t>
            </w:r>
          </w:p>
        </w:tc>
        <w:tc>
          <w:tcPr>
            <w:tcW w:w="748" w:type="pct"/>
            <w:tcBorders>
              <w:top w:val="single" w:color="000000" w:sz="4" w:space="0"/>
              <w:left w:val="single" w:color="000000" w:sz="4" w:space="0"/>
              <w:right w:val="single" w:color="000000" w:sz="4" w:space="0"/>
            </w:tcBorders>
            <w:shd w:val="clear" w:color="auto" w:fill="auto"/>
            <w:vAlign w:val="center"/>
          </w:tcPr>
          <w:p w14:paraId="3B50A6E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15.96%</w:t>
            </w:r>
          </w:p>
        </w:tc>
      </w:tr>
    </w:tbl>
    <w:p w14:paraId="6FC1A87E">
      <w:pPr>
        <w:pStyle w:val="20"/>
        <w:spacing w:before="156" w:after="156"/>
        <w:ind w:firstLine="480" w:firstLineChars="200"/>
        <w:jc w:val="both"/>
        <w:rPr>
          <w:rFonts w:hint="default"/>
          <w:color w:val="000000"/>
          <w:kern w:val="0"/>
          <w:lang w:bidi="ar"/>
        </w:rPr>
      </w:pPr>
      <w:r>
        <w:rPr>
          <w:rFonts w:hint="default"/>
          <w:color w:val="000000"/>
          <w:kern w:val="0"/>
          <w:lang w:bidi="ar"/>
        </w:rPr>
        <w:t>除上述情况及所持</w:t>
      </w:r>
      <w:r>
        <w:rPr>
          <w:rFonts w:hint="eastAsia"/>
          <w:color w:val="000000"/>
          <w:kern w:val="0"/>
          <w:lang w:val="en-US" w:eastAsia="zh-CN" w:bidi="ar"/>
        </w:rPr>
        <w:t>汇源通信</w:t>
      </w:r>
      <w:r>
        <w:rPr>
          <w:rFonts w:hint="default"/>
          <w:color w:val="000000"/>
          <w:kern w:val="0"/>
          <w:lang w:bidi="ar"/>
        </w:rPr>
        <w:t>股份外，截至本报告签署日，</w:t>
      </w:r>
      <w:r>
        <w:rPr>
          <w:rFonts w:hint="eastAsia"/>
          <w:color w:val="000000"/>
          <w:kern w:val="0"/>
          <w:lang w:val="en-US" w:eastAsia="zh-CN" w:bidi="ar"/>
        </w:rPr>
        <w:t>鼎耘科技</w:t>
      </w:r>
      <w:r>
        <w:rPr>
          <w:rFonts w:hint="default"/>
          <w:color w:val="000000"/>
          <w:kern w:val="0"/>
          <w:lang w:bidi="ar"/>
        </w:rPr>
        <w:t>及其控股股东、实际控制人不存在在境内、境外其他上市公司拥有权益的股份达到或超过5%</w:t>
      </w:r>
      <w:r>
        <w:rPr>
          <w:rFonts w:hint="eastAsia"/>
          <w:color w:val="000000"/>
          <w:kern w:val="0"/>
          <w:lang w:val="en-US" w:eastAsia="zh-CN" w:bidi="ar"/>
        </w:rPr>
        <w:t>以上股份</w:t>
      </w:r>
      <w:r>
        <w:rPr>
          <w:rFonts w:hint="default"/>
          <w:color w:val="000000"/>
          <w:kern w:val="0"/>
          <w:lang w:bidi="ar"/>
        </w:rPr>
        <w:t>的情况。</w:t>
      </w:r>
    </w:p>
    <w:p w14:paraId="7E7FD949">
      <w:pPr>
        <w:pStyle w:val="21"/>
        <w:bidi w:val="0"/>
        <w:rPr>
          <w:rFonts w:hint="default"/>
          <w:lang w:val="en-US" w:eastAsia="zh-CN"/>
        </w:rPr>
      </w:pPr>
      <w:r>
        <w:rPr>
          <w:rFonts w:hint="eastAsia"/>
          <w:lang w:val="en-US" w:eastAsia="zh-CN"/>
        </w:rPr>
        <w:t>（八）对一致行动人最近两年控股股东、实际控制人变更情况的核查</w:t>
      </w:r>
    </w:p>
    <w:p w14:paraId="3F476BEF">
      <w:pPr>
        <w:pStyle w:val="20"/>
        <w:spacing w:before="156" w:after="156"/>
        <w:ind w:firstLine="480"/>
        <w:jc w:val="both"/>
        <w:rPr>
          <w:rFonts w:hint="eastAsia"/>
          <w:lang w:eastAsia="zh-CN"/>
        </w:rPr>
      </w:pPr>
      <w:r>
        <w:rPr>
          <w:rFonts w:hint="eastAsia"/>
          <w:lang w:val="en-US" w:eastAsia="zh-CN"/>
        </w:rPr>
        <w:t>经核查，</w:t>
      </w:r>
      <w:r>
        <w:rPr>
          <w:rFonts w:hint="default" w:ascii="Times New Roman" w:hAnsi="Times New Roman" w:cs="Times New Roman"/>
          <w:lang w:val="en-US" w:eastAsia="zh-CN"/>
        </w:rPr>
        <w:t>鼎耘产业</w:t>
      </w:r>
      <w:r>
        <w:rPr>
          <w:rFonts w:hint="eastAsia" w:cs="Times New Roman"/>
          <w:lang w:val="en-US" w:eastAsia="zh-CN"/>
        </w:rPr>
        <w:t>的控股股东为</w:t>
      </w:r>
      <w:r>
        <w:rPr>
          <w:rFonts w:hint="eastAsia"/>
          <w:lang w:val="en-US" w:eastAsia="zh-CN"/>
        </w:rPr>
        <w:t>家家悦控股</w:t>
      </w:r>
      <w:r>
        <w:rPr>
          <w:rFonts w:hint="eastAsia" w:cs="Times New Roman"/>
          <w:kern w:val="2"/>
          <w:sz w:val="24"/>
          <w:szCs w:val="24"/>
          <w:lang w:val="en-US" w:eastAsia="zh-CN" w:bidi="ar-SA"/>
        </w:rPr>
        <w:t>；实际控制人为王培桓</w:t>
      </w:r>
      <w:r>
        <w:rPr>
          <w:rFonts w:hint="eastAsia"/>
          <w:lang w:eastAsia="zh-CN"/>
        </w:rPr>
        <w:t>。</w:t>
      </w:r>
      <w:r>
        <w:rPr>
          <w:rFonts w:hint="eastAsia"/>
          <w:lang w:val="en-US" w:eastAsia="zh-CN"/>
        </w:rPr>
        <w:t>最近两年不存在控股股东、实际控制人变更的情况。</w:t>
      </w:r>
    </w:p>
    <w:p w14:paraId="349E616C">
      <w:pPr>
        <w:pStyle w:val="21"/>
        <w:bidi w:val="0"/>
        <w:rPr>
          <w:rFonts w:hint="eastAsia"/>
          <w:lang w:val="en-US" w:eastAsia="zh-CN"/>
        </w:rPr>
      </w:pPr>
      <w:r>
        <w:rPr>
          <w:rFonts w:hint="eastAsia"/>
          <w:lang w:val="en-US" w:eastAsia="zh-CN"/>
        </w:rPr>
        <w:t xml:space="preserve">（九）对一致行动人是否具备规范运作上市公司管理能力及辅导情况的核查 </w:t>
      </w:r>
    </w:p>
    <w:p w14:paraId="340511FA">
      <w:pPr>
        <w:pStyle w:val="20"/>
        <w:spacing w:before="156" w:after="156"/>
        <w:ind w:firstLine="480"/>
        <w:jc w:val="both"/>
        <w:rPr>
          <w:rFonts w:hint="eastAsia"/>
          <w:lang w:val="en-US" w:eastAsia="zh-CN"/>
        </w:rPr>
      </w:pPr>
      <w:r>
        <w:rPr>
          <w:rFonts w:hint="eastAsia"/>
          <w:lang w:val="en-US" w:eastAsia="zh-CN"/>
        </w:rPr>
        <w:t>经核查，一致行动人及其董事、监事、高级管理人员已接受财务顾问证券市场规范化运作辅导，已经熟悉有关法律、行政法规和中国证监会的规定，充分了解应承担的义务和责任，具备公司治理经验及能力，具备证券市场应有的法律意识及诚信意识，具备规范运作上市公司的管理能力。</w:t>
      </w:r>
    </w:p>
    <w:p w14:paraId="3D452CA1">
      <w:pPr>
        <w:pStyle w:val="25"/>
        <w:spacing w:before="234" w:after="234"/>
        <w:rPr>
          <w:rFonts w:hint="default"/>
          <w:lang w:val="en-US"/>
        </w:rPr>
      </w:pPr>
      <w:bookmarkStart w:id="29" w:name="_Toc14292"/>
      <w:bookmarkStart w:id="30" w:name="_Toc20184"/>
      <w:r>
        <w:rPr>
          <w:rFonts w:hint="eastAsia"/>
          <w:lang w:val="en-US" w:eastAsia="zh-CN"/>
        </w:rPr>
        <w:t>四</w:t>
      </w:r>
      <w:r>
        <w:rPr>
          <w:rFonts w:hint="eastAsia"/>
        </w:rPr>
        <w:t>、</w:t>
      </w:r>
      <w:r>
        <w:rPr>
          <w:rFonts w:hint="eastAsia"/>
          <w:lang w:val="en-US" w:eastAsia="zh-CN"/>
        </w:rPr>
        <w:t>对收购人及其一致行动人关系的</w:t>
      </w:r>
      <w:bookmarkEnd w:id="29"/>
      <w:r>
        <w:rPr>
          <w:rFonts w:hint="eastAsia"/>
          <w:lang w:val="en-US" w:eastAsia="zh-CN"/>
        </w:rPr>
        <w:t>核查</w:t>
      </w:r>
      <w:bookmarkEnd w:id="30"/>
    </w:p>
    <w:p w14:paraId="0B849C8B">
      <w:pPr>
        <w:pStyle w:val="20"/>
        <w:jc w:val="both"/>
        <w:rPr>
          <w:rFonts w:hint="eastAsia"/>
          <w:lang w:eastAsia="zh-CN"/>
        </w:rPr>
      </w:pPr>
      <w:r>
        <w:rPr>
          <w:rFonts w:hint="eastAsia"/>
          <w:lang w:val="en-US" w:eastAsia="zh-CN"/>
        </w:rPr>
        <w:t>经核查，李红星先生为收购方鼎耘产业的实际控制人，在鼎耘产业的执行合伙人鼎耘工业中担任董事、经理；同时，李红星先生在鼎耘科技担任法定代表人、执行董事。为进一步明确一致行动关系，2025年11月【】，鼎耘产业与鼎耘科技签署《一致行动协议》，协议约定</w:t>
      </w:r>
      <w:r>
        <w:t>自</w:t>
      </w:r>
      <w:r>
        <w:rPr>
          <w:rFonts w:hint="eastAsia"/>
          <w:lang w:val="en-US" w:eastAsia="zh-CN"/>
        </w:rPr>
        <w:t>鼎耘产业</w:t>
      </w:r>
      <w:r>
        <w:rPr>
          <w:rFonts w:hint="eastAsia"/>
        </w:rPr>
        <w:t>成为上市公司股东之日起</w:t>
      </w:r>
      <w:r>
        <w:t>，在</w:t>
      </w:r>
      <w:r>
        <w:rPr>
          <w:rFonts w:hint="eastAsia"/>
          <w:lang w:val="en-US" w:eastAsia="zh-CN"/>
        </w:rPr>
        <w:t>上市公司</w:t>
      </w:r>
      <w:r>
        <w:t>股东会、董事会就任何事项进行会议召集、提案、表决时，</w:t>
      </w:r>
      <w:r>
        <w:rPr>
          <w:rFonts w:hint="eastAsia"/>
          <w:lang w:val="en-US" w:eastAsia="zh-CN"/>
        </w:rPr>
        <w:t>鼎耘科技</w:t>
      </w:r>
      <w:r>
        <w:t>应</w:t>
      </w:r>
      <w:r>
        <w:rPr>
          <w:rFonts w:hint="eastAsia"/>
        </w:rPr>
        <w:t>采取</w:t>
      </w:r>
      <w:r>
        <w:t>一致行动保持</w:t>
      </w:r>
      <w:r>
        <w:rPr>
          <w:rFonts w:hint="eastAsia"/>
        </w:rPr>
        <w:t>与</w:t>
      </w:r>
      <w:r>
        <w:rPr>
          <w:rFonts w:hint="eastAsia"/>
          <w:lang w:val="en-US" w:eastAsia="zh-CN"/>
        </w:rPr>
        <w:t>鼎耘产业</w:t>
      </w:r>
      <w:r>
        <w:t>投票的一致性，且遵循</w:t>
      </w:r>
      <w:r>
        <w:rPr>
          <w:rFonts w:hint="eastAsia"/>
          <w:lang w:val="en-US" w:eastAsia="zh-CN"/>
        </w:rPr>
        <w:t>鼎耘产业</w:t>
      </w:r>
      <w:r>
        <w:rPr>
          <w:rFonts w:hint="eastAsia"/>
        </w:rPr>
        <w:t>的</w:t>
      </w:r>
      <w:r>
        <w:t>决定/决策意见，以</w:t>
      </w:r>
      <w:r>
        <w:rPr>
          <w:rFonts w:hint="eastAsia"/>
          <w:lang w:val="en-US" w:eastAsia="zh-CN"/>
        </w:rPr>
        <w:t>鼎耘产业</w:t>
      </w:r>
      <w:r>
        <w:t>对</w:t>
      </w:r>
      <w:r>
        <w:rPr>
          <w:rFonts w:hint="eastAsia"/>
        </w:rPr>
        <w:t>上市公司</w:t>
      </w:r>
      <w:r>
        <w:t>相关股东会、董事会事项的一致意见为准</w:t>
      </w:r>
      <w:r>
        <w:rPr>
          <w:rFonts w:hint="eastAsia"/>
          <w:lang w:eastAsia="zh-CN"/>
        </w:rPr>
        <w:t>，上述一致行动的事项包括但不限于下列目标公司股东会和</w:t>
      </w:r>
      <w:bookmarkStart w:id="97" w:name="_GoBack"/>
      <w:bookmarkEnd w:id="97"/>
      <w:r>
        <w:rPr>
          <w:rFonts w:hint="eastAsia"/>
          <w:lang w:eastAsia="zh-CN"/>
        </w:rPr>
        <w:t>董事会上的召集权、提案权、表决权。一致行动期限</w:t>
      </w:r>
      <w:r>
        <w:rPr>
          <w:rFonts w:hint="eastAsia"/>
          <w:lang w:val="en-US" w:eastAsia="zh-CN"/>
        </w:rPr>
        <w:t>为</w:t>
      </w:r>
      <w:r>
        <w:rPr>
          <w:rFonts w:hint="eastAsia"/>
          <w:lang w:eastAsia="zh-CN"/>
        </w:rPr>
        <w:t>甲乙双方均持有上市公司股份的期间。</w:t>
      </w:r>
    </w:p>
    <w:p w14:paraId="27F84C39">
      <w:pPr>
        <w:pStyle w:val="20"/>
        <w:jc w:val="both"/>
        <w:rPr>
          <w:rFonts w:hint="eastAsia"/>
          <w:lang w:val="en-US" w:eastAsia="zh-CN"/>
        </w:rPr>
      </w:pPr>
      <w:r>
        <w:rPr>
          <w:rFonts w:hint="eastAsia"/>
          <w:lang w:val="en-US" w:eastAsia="zh-CN"/>
        </w:rPr>
        <w:t>基于上述协议约定，根据《收购管理办法》，鼎耘科技构成鼎耘产业本次收购的一致行动人。</w:t>
      </w:r>
    </w:p>
    <w:p w14:paraId="61F88960">
      <w:pPr>
        <w:pStyle w:val="20"/>
        <w:spacing w:before="156" w:after="156"/>
        <w:ind w:left="0" w:leftChars="0" w:firstLine="480" w:firstLineChars="200"/>
        <w:jc w:val="both"/>
        <w:rPr>
          <w:rFonts w:hint="eastAsia"/>
          <w:lang w:val="en-US" w:eastAsia="zh-CN"/>
        </w:rPr>
      </w:pPr>
      <w:r>
        <w:rPr>
          <w:rFonts w:hint="default"/>
        </w:rPr>
        <w:t>截至本报告书签署日，收购人</w:t>
      </w:r>
      <w:r>
        <w:rPr>
          <w:rFonts w:hint="eastAsia"/>
          <w:lang w:val="en-US" w:eastAsia="zh-CN"/>
        </w:rPr>
        <w:t>及一致行动人未</w:t>
      </w:r>
      <w:r>
        <w:rPr>
          <w:rFonts w:hint="default"/>
          <w:lang w:val="en-US" w:eastAsia="zh-CN"/>
        </w:rPr>
        <w:t>向</w:t>
      </w:r>
      <w:r>
        <w:rPr>
          <w:rFonts w:hint="default"/>
        </w:rPr>
        <w:t>中国证券登记结算有限公司深圳分公司</w:t>
      </w:r>
      <w:r>
        <w:rPr>
          <w:rFonts w:hint="default"/>
          <w:lang w:val="en-US" w:eastAsia="zh-CN"/>
        </w:rPr>
        <w:t>申请临时保管</w:t>
      </w:r>
      <w:r>
        <w:rPr>
          <w:rFonts w:hint="eastAsia"/>
          <w:lang w:val="en-US" w:eastAsia="zh-CN"/>
        </w:rPr>
        <w:t>其</w:t>
      </w:r>
      <w:r>
        <w:rPr>
          <w:rFonts w:hint="default"/>
          <w:lang w:val="en-US" w:eastAsia="zh-CN"/>
        </w:rPr>
        <w:t>持有的上市公司的全部股票</w:t>
      </w:r>
      <w:r>
        <w:rPr>
          <w:rFonts w:hint="eastAsia"/>
          <w:lang w:val="en-US" w:eastAsia="zh-CN"/>
        </w:rPr>
        <w:t>。</w:t>
      </w:r>
    </w:p>
    <w:p w14:paraId="1AD1A284">
      <w:pPr>
        <w:pStyle w:val="25"/>
        <w:spacing w:before="234" w:after="234"/>
        <w:rPr>
          <w:rFonts w:hint="default" w:eastAsia="宋体"/>
          <w:lang w:val="en-US" w:eastAsia="zh-CN"/>
        </w:rPr>
      </w:pPr>
      <w:bookmarkStart w:id="31" w:name="_Toc6487"/>
      <w:bookmarkStart w:id="32" w:name="_Toc26440"/>
      <w:bookmarkStart w:id="33" w:name="_Toc21325"/>
      <w:r>
        <w:rPr>
          <w:rFonts w:hint="eastAsia"/>
          <w:lang w:val="en-US" w:eastAsia="zh-CN"/>
        </w:rPr>
        <w:t>五</w:t>
      </w:r>
      <w:r>
        <w:rPr>
          <w:rFonts w:hint="eastAsia"/>
        </w:rPr>
        <w:t>、对本次</w:t>
      </w:r>
      <w:r>
        <w:rPr>
          <w:rFonts w:hint="eastAsia"/>
          <w:lang w:val="en-US" w:eastAsia="zh-CN"/>
        </w:rPr>
        <w:t>收购</w:t>
      </w:r>
      <w:r>
        <w:rPr>
          <w:rFonts w:hint="eastAsia"/>
        </w:rPr>
        <w:t>目的</w:t>
      </w:r>
      <w:bookmarkEnd w:id="31"/>
      <w:r>
        <w:rPr>
          <w:rFonts w:hint="eastAsia"/>
          <w:lang w:val="en-US" w:eastAsia="zh-CN"/>
        </w:rPr>
        <w:t>和履行程序的核查</w:t>
      </w:r>
      <w:bookmarkEnd w:id="32"/>
      <w:bookmarkEnd w:id="33"/>
    </w:p>
    <w:p w14:paraId="3AD37FA4">
      <w:pPr>
        <w:pStyle w:val="21"/>
        <w:bidi w:val="0"/>
        <w:rPr>
          <w:rFonts w:hint="eastAsia"/>
          <w:lang w:val="en-US" w:eastAsia="zh-CN"/>
        </w:rPr>
      </w:pPr>
      <w:r>
        <w:rPr>
          <w:rFonts w:hint="eastAsia"/>
          <w:lang w:val="en-US" w:eastAsia="zh-CN"/>
        </w:rPr>
        <w:t>（一）对收购人本次收购目的的核查</w:t>
      </w:r>
    </w:p>
    <w:p w14:paraId="39791990">
      <w:pPr>
        <w:pStyle w:val="20"/>
        <w:bidi w:val="0"/>
        <w:spacing w:before="156" w:after="156"/>
        <w:ind w:firstLine="480"/>
        <w:jc w:val="both"/>
        <w:rPr>
          <w:rFonts w:hint="eastAsia"/>
          <w:lang w:val="en-US" w:eastAsia="zh-CN"/>
        </w:rPr>
      </w:pPr>
      <w:r>
        <w:rPr>
          <w:rFonts w:hint="eastAsia"/>
          <w:lang w:val="en-US" w:eastAsia="zh-CN"/>
        </w:rPr>
        <w:t>本次交易前，上市公司股权结构较为分散，处于无控股股东、无实际控制人状态，给公司治理结构和决策机制带来了一定的风险。收购人的实际控制人李红星先生担任上市公司董事长，基于对上市公司潜在发展实力和未来发展前景的认可，拟通过收购人认购上市公司本次发行的全部股份，取得对上市公司的控制权。</w:t>
      </w:r>
    </w:p>
    <w:p w14:paraId="27F0653C">
      <w:pPr>
        <w:pStyle w:val="20"/>
        <w:bidi w:val="0"/>
        <w:spacing w:before="156" w:after="156"/>
        <w:ind w:firstLine="480"/>
        <w:jc w:val="both"/>
        <w:rPr>
          <w:rFonts w:hint="eastAsia"/>
          <w:lang w:val="en-US" w:eastAsia="zh-CN"/>
        </w:rPr>
      </w:pPr>
      <w:r>
        <w:rPr>
          <w:rFonts w:hint="eastAsia"/>
          <w:lang w:val="en-US" w:eastAsia="zh-CN"/>
        </w:rPr>
        <w:t>本次交易后，李红星先生为上市公司实际控制人，有利于上市公司治理结构的完善；上市公司将获取经营发展所需资金，进一步开展与主营业务和产业链相关的业务，优化资本结构，有利于股东特别是中小股东利益；收购人及其实际控制人也将利用产业化资源，发挥产业链整合优势，为上市公司业务发展赋能，提高上市公司的经营及管理效率，促进上市公司长期、健康发展。</w:t>
      </w:r>
    </w:p>
    <w:p w14:paraId="5701FB4C">
      <w:pPr>
        <w:pStyle w:val="20"/>
        <w:bidi w:val="0"/>
        <w:rPr>
          <w:rFonts w:hint="eastAsia"/>
        </w:rPr>
      </w:pPr>
      <w:r>
        <w:rPr>
          <w:rFonts w:hint="eastAsia"/>
        </w:rPr>
        <w:t>经核查，本财务顾问认为：</w:t>
      </w:r>
      <w:r>
        <w:rPr>
          <w:rFonts w:hint="eastAsia"/>
          <w:lang w:val="en-US" w:eastAsia="zh-CN"/>
        </w:rPr>
        <w:t>收购人所陈述的收购目的具有合理性，符合现行法律法规的要求</w:t>
      </w:r>
      <w:r>
        <w:rPr>
          <w:rFonts w:hint="eastAsia"/>
        </w:rPr>
        <w:t>。</w:t>
      </w:r>
    </w:p>
    <w:p w14:paraId="76E86905">
      <w:pPr>
        <w:pStyle w:val="21"/>
        <w:bidi w:val="0"/>
        <w:rPr>
          <w:rFonts w:hint="eastAsia"/>
        </w:rPr>
      </w:pPr>
      <w:r>
        <w:rPr>
          <w:rFonts w:hint="eastAsia"/>
          <w:lang w:val="en-US" w:eastAsia="zh-CN"/>
        </w:rPr>
        <w:t>（二）对收购人及一致行动人</w:t>
      </w:r>
      <w:r>
        <w:rPr>
          <w:rFonts w:hint="eastAsia"/>
        </w:rPr>
        <w:t>在未来12个月内</w:t>
      </w:r>
      <w:r>
        <w:rPr>
          <w:rFonts w:hint="eastAsia"/>
          <w:lang w:val="en-US" w:eastAsia="zh-CN"/>
        </w:rPr>
        <w:t xml:space="preserve">增持或处置上市公司股份的计划的核查 </w:t>
      </w:r>
    </w:p>
    <w:p w14:paraId="13228744">
      <w:pPr>
        <w:pStyle w:val="20"/>
        <w:spacing w:before="156" w:after="156"/>
        <w:ind w:firstLine="480"/>
        <w:jc w:val="both"/>
        <w:rPr>
          <w:rFonts w:hint="eastAsia"/>
          <w:lang w:val="en-US" w:eastAsia="zh-CN"/>
        </w:rPr>
      </w:pPr>
      <w:r>
        <w:rPr>
          <w:rFonts w:hint="eastAsia"/>
          <w:lang w:val="en-US" w:eastAsia="zh-CN"/>
        </w:rPr>
        <w:t>经核查，截至本报告书签署日，收购人【已与上市公司签署】《附条件生效的股份认购协议》，收购人拟认购上市公司向特定对象发行的不超过58,032,000股（含）股票。最终认购股份数量不超过深交所审核通过并经中国证监会同意注册发行的股票数量，并由股东会授权董事会根据具体情况与本次发行的保荐机构（主承销商）协商确定。如公司股票在定价基准日至发行日期间发生派息、送股、资本公积转增股本等除权、除息事项，发行价格按规定进行调整的，本次发行数量亦将予以相应调整。</w:t>
      </w:r>
    </w:p>
    <w:p w14:paraId="07B7E419">
      <w:pPr>
        <w:pStyle w:val="20"/>
        <w:spacing w:before="156" w:after="156"/>
        <w:ind w:firstLine="480"/>
        <w:jc w:val="both"/>
        <w:rPr>
          <w:rFonts w:hint="default"/>
          <w:lang w:val="en-US" w:eastAsia="zh-CN"/>
        </w:rPr>
      </w:pPr>
      <w:r>
        <w:rPr>
          <w:rFonts w:hint="eastAsia"/>
          <w:lang w:eastAsia="zh-CN"/>
        </w:rPr>
        <w:t>截至2025年6月30日，</w:t>
      </w:r>
      <w:r>
        <w:rPr>
          <w:rFonts w:hint="eastAsia"/>
          <w:lang w:val="en-US" w:eastAsia="zh-CN"/>
        </w:rPr>
        <w:t>上市公司第二大股东广州蕙富骐骥投资合伙企业（有限合伙）</w:t>
      </w:r>
      <w:r>
        <w:rPr>
          <w:rFonts w:hint="eastAsia"/>
          <w:lang w:eastAsia="zh-CN"/>
        </w:rPr>
        <w:t>持有的</w:t>
      </w:r>
      <w:r>
        <w:rPr>
          <w:rFonts w:hint="eastAsia"/>
          <w:lang w:val="en-US" w:eastAsia="zh-CN"/>
        </w:rPr>
        <w:t>上市公司</w:t>
      </w:r>
      <w:r>
        <w:rPr>
          <w:rFonts w:hint="eastAsia"/>
          <w:lang w:eastAsia="zh-CN"/>
        </w:rPr>
        <w:t>股份有26,600,000股处于冻结状态，占</w:t>
      </w:r>
      <w:r>
        <w:rPr>
          <w:rFonts w:hint="eastAsia"/>
          <w:lang w:val="en-US" w:eastAsia="zh-CN"/>
        </w:rPr>
        <w:t>上市公司</w:t>
      </w:r>
      <w:r>
        <w:rPr>
          <w:rFonts w:hint="eastAsia"/>
          <w:lang w:eastAsia="zh-CN"/>
        </w:rPr>
        <w:t>总股本的比例为13.75%。</w:t>
      </w:r>
      <w:r>
        <w:rPr>
          <w:rFonts w:hint="eastAsia"/>
          <w:lang w:val="en-US" w:eastAsia="zh-CN"/>
        </w:rPr>
        <w:t>若未来该部分股份进行司法拍卖，则收购人亦有可能视情况决定是否参与拍卖，届时或将进一步增加所持上市公司股份。</w:t>
      </w:r>
    </w:p>
    <w:p w14:paraId="405F050A">
      <w:pPr>
        <w:pStyle w:val="20"/>
        <w:spacing w:before="156" w:after="156"/>
        <w:ind w:firstLine="480"/>
        <w:jc w:val="both"/>
      </w:pPr>
      <w:r>
        <w:rPr>
          <w:rFonts w:hint="eastAsia"/>
          <w:lang w:val="en-US" w:eastAsia="zh-CN"/>
        </w:rPr>
        <w:t>除上述事项外，收购人及一致行动人</w:t>
      </w:r>
      <w:r>
        <w:rPr>
          <w:rFonts w:hint="eastAsia"/>
        </w:rPr>
        <w:t>暂无在未来12个月内继续增持或</w:t>
      </w:r>
      <w:r>
        <w:rPr>
          <w:rFonts w:hint="eastAsia"/>
          <w:lang w:val="en-US" w:eastAsia="zh-CN"/>
        </w:rPr>
        <w:t>处置上市公司股份</w:t>
      </w:r>
      <w:r>
        <w:rPr>
          <w:rFonts w:hint="eastAsia"/>
        </w:rPr>
        <w:t>的</w:t>
      </w:r>
      <w:r>
        <w:rPr>
          <w:rFonts w:hint="eastAsia"/>
          <w:lang w:val="en-US" w:eastAsia="zh-CN"/>
        </w:rPr>
        <w:t>具体</w:t>
      </w:r>
      <w:r>
        <w:rPr>
          <w:rFonts w:hint="eastAsia"/>
        </w:rPr>
        <w:t>计划，但不排除因公司业务发展及战略需要进行必要的整合、资本运作</w:t>
      </w:r>
      <w:r>
        <w:rPr>
          <w:rFonts w:hint="eastAsia"/>
          <w:lang w:val="en-US" w:eastAsia="zh-CN"/>
        </w:rPr>
        <w:t>等</w:t>
      </w:r>
      <w:r>
        <w:rPr>
          <w:rFonts w:hint="eastAsia"/>
        </w:rPr>
        <w:t>而导致</w:t>
      </w:r>
      <w:r>
        <w:rPr>
          <w:rFonts w:hint="eastAsia"/>
          <w:lang w:val="en-US" w:eastAsia="zh-CN"/>
        </w:rPr>
        <w:t>收购人及一致行动人</w:t>
      </w:r>
      <w:r>
        <w:rPr>
          <w:rFonts w:hint="eastAsia"/>
        </w:rPr>
        <w:t>持有的</w:t>
      </w:r>
      <w:r>
        <w:rPr>
          <w:rFonts w:hint="eastAsia"/>
          <w:lang w:val="en-US" w:eastAsia="zh-CN"/>
        </w:rPr>
        <w:t>上市公司</w:t>
      </w:r>
      <w:r>
        <w:rPr>
          <w:rFonts w:hint="eastAsia"/>
        </w:rPr>
        <w:t>权益发生变动的情形。若</w:t>
      </w:r>
      <w:r>
        <w:rPr>
          <w:rFonts w:hint="eastAsia"/>
          <w:lang w:val="en-US" w:eastAsia="zh-CN"/>
        </w:rPr>
        <w:t>未来发生相关权益变动事项</w:t>
      </w:r>
      <w:r>
        <w:rPr>
          <w:rFonts w:hint="eastAsia"/>
        </w:rPr>
        <w:t>，</w:t>
      </w:r>
      <w:r>
        <w:rPr>
          <w:rFonts w:hint="eastAsia"/>
          <w:lang w:val="en-US" w:eastAsia="zh-CN"/>
        </w:rPr>
        <w:t>收购人及一致行动人</w:t>
      </w:r>
      <w:r>
        <w:rPr>
          <w:rFonts w:hint="eastAsia"/>
        </w:rPr>
        <w:t>将严格按照法律法规的要求，及时履行信息披露义务。</w:t>
      </w:r>
    </w:p>
    <w:p w14:paraId="7392EC01">
      <w:pPr>
        <w:pStyle w:val="20"/>
        <w:bidi w:val="0"/>
        <w:rPr>
          <w:rFonts w:hint="eastAsia"/>
          <w:lang w:val="en-US" w:eastAsia="zh-CN"/>
        </w:rPr>
      </w:pPr>
      <w:r>
        <w:rPr>
          <w:rFonts w:hint="eastAsia" w:ascii="Times New Roman" w:hAnsi="Times New Roman" w:eastAsia="宋体" w:cs="Times New Roman"/>
          <w:kern w:val="2"/>
          <w:sz w:val="24"/>
          <w:szCs w:val="24"/>
          <w:lang w:val="en-US" w:eastAsia="zh-CN" w:bidi="ar-SA"/>
        </w:rPr>
        <w:t>为了稳定上市公司的经营发展，收购人已出具《关于股份锁定期及不减持的承诺</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承诺：“1、本企业所认购的本次发行的股票自发行结束之日起三十六个月内不进行转让。因公司送股、转增股本等原因所衍生取得的公司股份，亦遵守前述股份锁定安排。2、自本承诺函出具之日至公司本次发行实施完毕前，若中国证监会作出关于股份锁定的其他监管规定，且上述承诺不能满足中国证监</w:t>
      </w:r>
      <w:r>
        <w:rPr>
          <w:rFonts w:hint="eastAsia"/>
          <w:lang w:val="en-US" w:eastAsia="zh-CN"/>
        </w:rPr>
        <w:t>会该等规定时，本企业承诺届时将按照中国证监会的最新规定出具补充承诺。3、若本企业违反上述承诺给公司或者其投资者造成损失的，本企业愿意依法承担赔偿责任。”</w:t>
      </w:r>
    </w:p>
    <w:p w14:paraId="60EDA0E8">
      <w:pPr>
        <w:pStyle w:val="21"/>
        <w:bidi w:val="0"/>
        <w:rPr>
          <w:rFonts w:hint="eastAsia"/>
        </w:rPr>
      </w:pPr>
      <w:r>
        <w:rPr>
          <w:rFonts w:hint="eastAsia"/>
          <w:lang w:val="en-US" w:eastAsia="zh-CN"/>
        </w:rPr>
        <w:t xml:space="preserve">（三）对本次收购的决策程序的核查 </w:t>
      </w:r>
    </w:p>
    <w:p w14:paraId="5F1D8776">
      <w:pPr>
        <w:pStyle w:val="22"/>
        <w:bidi w:val="0"/>
        <w:rPr>
          <w:rFonts w:hint="eastAsia"/>
          <w:lang w:val="en-US" w:eastAsia="zh-CN"/>
        </w:rPr>
      </w:pPr>
      <w:r>
        <w:rPr>
          <w:rFonts w:hint="eastAsia"/>
          <w:lang w:val="en-US" w:eastAsia="zh-CN"/>
        </w:rPr>
        <w:t>1、本次收购已经履行的程序及获得的批准</w:t>
      </w:r>
    </w:p>
    <w:p w14:paraId="6BCA75DD">
      <w:pPr>
        <w:pStyle w:val="20"/>
        <w:spacing w:before="156" w:after="156"/>
        <w:ind w:firstLine="480"/>
        <w:jc w:val="both"/>
        <w:rPr>
          <w:rFonts w:hint="eastAsia"/>
          <w:lang w:val="en-US" w:eastAsia="zh-CN"/>
        </w:rPr>
      </w:pPr>
      <w:r>
        <w:rPr>
          <w:rFonts w:hint="eastAsia"/>
          <w:lang w:val="en-US" w:eastAsia="zh-CN"/>
        </w:rPr>
        <w:t>经核查，截至本核查意见出具日，本次收购已履行的相关程序如下：</w:t>
      </w:r>
    </w:p>
    <w:p w14:paraId="67B48964">
      <w:pPr>
        <w:pStyle w:val="20"/>
        <w:spacing w:before="156" w:after="156"/>
        <w:ind w:firstLine="480"/>
        <w:jc w:val="both"/>
        <w:rPr>
          <w:rFonts w:hint="default" w:eastAsia="宋体"/>
          <w:lang w:val="en-US" w:eastAsia="zh-CN"/>
        </w:rPr>
      </w:pPr>
      <w:r>
        <w:rPr>
          <w:rFonts w:hint="eastAsia"/>
          <w:lang w:val="en-US" w:eastAsia="zh-CN"/>
        </w:rPr>
        <w:t>1、2025年11月【】日，收购人内部决策通过本次收购事项；</w:t>
      </w:r>
    </w:p>
    <w:p w14:paraId="2ADE494E">
      <w:pPr>
        <w:pStyle w:val="20"/>
        <w:spacing w:before="156" w:after="156"/>
        <w:ind w:firstLine="480"/>
        <w:jc w:val="both"/>
        <w:rPr>
          <w:rFonts w:hint="eastAsia"/>
        </w:rPr>
      </w:pPr>
      <w:r>
        <w:rPr>
          <w:rFonts w:hint="eastAsia"/>
          <w:lang w:val="en-US" w:eastAsia="zh-CN"/>
        </w:rPr>
        <w:t>2</w:t>
      </w:r>
      <w:r>
        <w:rPr>
          <w:rFonts w:hint="eastAsia"/>
        </w:rPr>
        <w:t>、</w:t>
      </w:r>
      <w:r>
        <w:rPr>
          <w:rFonts w:hint="eastAsia"/>
          <w:lang w:val="en-US" w:eastAsia="zh-CN"/>
        </w:rPr>
        <w:t>2025年11月【】日，收购人与上市公司签署《附条件生效的股份认购协议》，收购人拟认购上市公司向特定对象发行的不超过58,032,000股（含）股票。</w:t>
      </w:r>
    </w:p>
    <w:p w14:paraId="23A7BA99">
      <w:pPr>
        <w:pStyle w:val="20"/>
        <w:spacing w:before="156" w:after="156"/>
        <w:ind w:firstLine="480"/>
        <w:jc w:val="both"/>
      </w:pPr>
      <w:r>
        <w:rPr>
          <w:rFonts w:hint="eastAsia"/>
          <w:lang w:val="en-US" w:eastAsia="zh-CN"/>
        </w:rPr>
        <w:t>3</w:t>
      </w:r>
      <w:r>
        <w:rPr>
          <w:lang w:val="en-US" w:eastAsia="zh-CN"/>
        </w:rPr>
        <w:t>、</w:t>
      </w:r>
      <w:r>
        <w:rPr>
          <w:rFonts w:hint="default"/>
          <w:lang w:val="en-US" w:eastAsia="zh-CN"/>
        </w:rPr>
        <w:t>2025年</w:t>
      </w:r>
      <w:r>
        <w:rPr>
          <w:rFonts w:hint="eastAsia"/>
          <w:lang w:val="en-US" w:eastAsia="zh-CN"/>
        </w:rPr>
        <w:t>11</w:t>
      </w:r>
      <w:r>
        <w:rPr>
          <w:rFonts w:hint="default"/>
          <w:lang w:val="en-US" w:eastAsia="zh-CN"/>
        </w:rPr>
        <w:t>月</w:t>
      </w:r>
      <w:r>
        <w:rPr>
          <w:rFonts w:hint="eastAsia"/>
          <w:lang w:val="en-US" w:eastAsia="zh-CN"/>
        </w:rPr>
        <w:t>【】</w:t>
      </w:r>
      <w:r>
        <w:rPr>
          <w:rFonts w:hint="default"/>
          <w:lang w:val="en-US" w:eastAsia="zh-CN"/>
        </w:rPr>
        <w:t>日，上市公司召开第</w:t>
      </w:r>
      <w:r>
        <w:rPr>
          <w:rFonts w:hint="eastAsia"/>
          <w:lang w:val="en-US" w:eastAsia="zh-CN"/>
        </w:rPr>
        <w:t>十三</w:t>
      </w:r>
      <w:r>
        <w:rPr>
          <w:rFonts w:hint="default"/>
          <w:lang w:val="en-US" w:eastAsia="zh-CN"/>
        </w:rPr>
        <w:t>届董事会第</w:t>
      </w:r>
      <w:r>
        <w:rPr>
          <w:rFonts w:hint="eastAsia"/>
          <w:lang w:val="en-US" w:eastAsia="zh-CN"/>
        </w:rPr>
        <w:t>【】</w:t>
      </w:r>
      <w:r>
        <w:rPr>
          <w:rFonts w:hint="default"/>
          <w:lang w:val="en-US" w:eastAsia="zh-CN"/>
        </w:rPr>
        <w:t>次会议，审议通过了与本次向特定对象发行股票的相关事项，同意与</w:t>
      </w:r>
      <w:r>
        <w:rPr>
          <w:rFonts w:hint="eastAsia"/>
          <w:lang w:val="en-US" w:eastAsia="zh-CN"/>
        </w:rPr>
        <w:t>收购人</w:t>
      </w:r>
      <w:r>
        <w:rPr>
          <w:rFonts w:hint="default"/>
          <w:lang w:val="en-US" w:eastAsia="zh-CN"/>
        </w:rPr>
        <w:t>签署《附条件生效的股份认购协议》。</w:t>
      </w:r>
    </w:p>
    <w:p w14:paraId="5BEEDA8E">
      <w:pPr>
        <w:pStyle w:val="22"/>
        <w:bidi w:val="0"/>
        <w:rPr>
          <w:rFonts w:hint="eastAsia"/>
          <w:lang w:val="en-US" w:eastAsia="zh-CN"/>
        </w:rPr>
      </w:pPr>
      <w:r>
        <w:rPr>
          <w:rFonts w:hint="eastAsia"/>
          <w:lang w:val="en-US" w:eastAsia="zh-CN"/>
        </w:rPr>
        <w:t xml:space="preserve">2、尚需履行的相关程序 </w:t>
      </w:r>
    </w:p>
    <w:p w14:paraId="7E9BF823">
      <w:pPr>
        <w:pStyle w:val="20"/>
        <w:spacing w:before="156" w:after="156"/>
        <w:ind w:firstLine="480"/>
        <w:jc w:val="both"/>
        <w:rPr>
          <w:rFonts w:hint="eastAsia"/>
          <w:lang w:val="en-US" w:eastAsia="zh-CN"/>
        </w:rPr>
      </w:pPr>
      <w:r>
        <w:rPr>
          <w:rFonts w:hint="eastAsia"/>
          <w:lang w:val="en-US" w:eastAsia="zh-CN"/>
        </w:rPr>
        <w:t xml:space="preserve">经核查，本次收购实施前尚需取得的有关程序或批准包括： </w:t>
      </w:r>
    </w:p>
    <w:p w14:paraId="138599FD">
      <w:pPr>
        <w:pStyle w:val="20"/>
        <w:spacing w:before="156" w:after="156"/>
        <w:ind w:firstLine="480"/>
        <w:jc w:val="both"/>
        <w:rPr>
          <w:rFonts w:hint="eastAsia"/>
          <w:lang w:val="en-US" w:eastAsia="zh-CN"/>
        </w:rPr>
      </w:pPr>
      <w:bookmarkStart w:id="34" w:name="_Toc21049"/>
      <w:r>
        <w:rPr>
          <w:rFonts w:hint="eastAsia"/>
          <w:lang w:val="en-US" w:eastAsia="zh-CN"/>
        </w:rPr>
        <w:t>由于李红星先生为上市公司董事长，李红星先生通过其控制的合伙企业认购上市公司本次向特定对象发行的股票成为公司的实际控制人构成《收购办法》规定的管理层收购。</w:t>
      </w:r>
    </w:p>
    <w:p w14:paraId="6606F100">
      <w:pPr>
        <w:pStyle w:val="20"/>
        <w:spacing w:before="156" w:after="156"/>
        <w:ind w:firstLine="480"/>
        <w:jc w:val="both"/>
        <w:rPr>
          <w:rFonts w:hint="eastAsia"/>
          <w:lang w:val="en-US" w:eastAsia="zh-CN"/>
        </w:rPr>
      </w:pPr>
      <w:r>
        <w:rPr>
          <w:rFonts w:hint="eastAsia"/>
          <w:lang w:val="en-US" w:eastAsia="zh-CN"/>
        </w:rPr>
        <w:t>根据《收购办法》规定，管理层收购尚需履行如下程序：1、上市公司应当聘请符合《证券法》规定的资产评估机构提供公司资产评估报告；</w:t>
      </w:r>
      <w:r>
        <w:rPr>
          <w:rFonts w:hint="eastAsia"/>
        </w:rPr>
        <w:t>2、本次收购应当经董事会非关联董事作出决议，且取得2/3以上的独立董事同意；独立董事发表意见前，应当聘请独立财务顾问就本次收购出具专业意见，独立董事及独立财务顾问的意见应当一并予以公告</w:t>
      </w:r>
      <w:r>
        <w:rPr>
          <w:rFonts w:hint="eastAsia"/>
          <w:lang w:val="en-US" w:eastAsia="zh-CN"/>
        </w:rPr>
        <w:t>；3、提交公司股东会审议，经出席股东会的非关联股东所持表决权过半数通过。</w:t>
      </w:r>
    </w:p>
    <w:p w14:paraId="3CF307E3">
      <w:pPr>
        <w:pStyle w:val="20"/>
        <w:spacing w:before="156" w:after="156"/>
        <w:ind w:firstLine="480"/>
        <w:jc w:val="both"/>
        <w:rPr>
          <w:rFonts w:hint="eastAsia"/>
          <w:lang w:val="en-US" w:eastAsia="zh-CN"/>
        </w:rPr>
      </w:pPr>
      <w:r>
        <w:rPr>
          <w:rFonts w:hint="eastAsia"/>
          <w:lang w:val="en-US" w:eastAsia="zh-CN"/>
        </w:rPr>
        <w:t>此外，本次向特定对象发行股票尚需履行如下程序：1、上市公司股东会审议通过本次收购涉及的向特定对象发行股票相关事项；2、深交所审核通过本次收购涉及的向特定对象发行股票相关事项；3、中国证监会同意注册本次收购涉及的向特定对象发行股票相关事项；4、相关法律法规所要求的其他可能涉及的批准或核准。</w:t>
      </w:r>
    </w:p>
    <w:p w14:paraId="7FCFDEF6">
      <w:pPr>
        <w:pStyle w:val="20"/>
        <w:spacing w:before="156" w:after="156"/>
        <w:ind w:firstLine="480"/>
        <w:jc w:val="both"/>
        <w:rPr>
          <w:rFonts w:hint="default"/>
          <w:lang w:val="en-US" w:eastAsia="zh-CN"/>
        </w:rPr>
      </w:pPr>
      <w:r>
        <w:rPr>
          <w:rFonts w:hint="default"/>
          <w:lang w:val="en-US" w:eastAsia="zh-CN"/>
        </w:rPr>
        <w:t>在获得中国证监会同意注册的批复后，公司将向深交所和中国证券登记结算有限责任公司深圳分公司申请办理本次发行股票的发行、登记和上市事宜，完成本次向特定对象发行股票全部呈报批准程序</w:t>
      </w:r>
      <w:r>
        <w:rPr>
          <w:rFonts w:hint="eastAsia"/>
          <w:lang w:val="en-US" w:eastAsia="zh-CN"/>
        </w:rPr>
        <w:t>。</w:t>
      </w:r>
    </w:p>
    <w:p w14:paraId="729CCB02">
      <w:pPr>
        <w:pStyle w:val="25"/>
        <w:spacing w:before="234" w:after="234"/>
        <w:rPr>
          <w:rFonts w:hint="default" w:eastAsia="宋体"/>
          <w:lang w:val="en-US" w:eastAsia="zh-CN"/>
        </w:rPr>
      </w:pPr>
      <w:bookmarkStart w:id="35" w:name="_Toc10944"/>
      <w:r>
        <w:rPr>
          <w:rFonts w:hint="eastAsia"/>
          <w:lang w:val="en-US" w:eastAsia="zh-CN"/>
        </w:rPr>
        <w:t>六</w:t>
      </w:r>
      <w:r>
        <w:rPr>
          <w:rFonts w:hint="eastAsia"/>
        </w:rPr>
        <w:t>、对</w:t>
      </w:r>
      <w:r>
        <w:rPr>
          <w:rFonts w:hint="eastAsia"/>
          <w:lang w:val="en-US" w:eastAsia="zh-CN"/>
        </w:rPr>
        <w:t>本次收购</w:t>
      </w:r>
      <w:r>
        <w:rPr>
          <w:rFonts w:hint="eastAsia"/>
        </w:rPr>
        <w:t>方式</w:t>
      </w:r>
      <w:r>
        <w:rPr>
          <w:rFonts w:hint="eastAsia"/>
          <w:lang w:val="en-US" w:eastAsia="zh-CN"/>
        </w:rPr>
        <w:t>的核查</w:t>
      </w:r>
      <w:bookmarkEnd w:id="34"/>
      <w:bookmarkEnd w:id="35"/>
    </w:p>
    <w:p w14:paraId="65A3A8F2">
      <w:pPr>
        <w:pStyle w:val="21"/>
        <w:bidi w:val="0"/>
        <w:rPr>
          <w:rFonts w:hint="default" w:eastAsia="宋体"/>
          <w:lang w:val="en-US" w:eastAsia="zh-CN"/>
        </w:rPr>
      </w:pPr>
      <w:bookmarkStart w:id="36" w:name="_Toc8893"/>
      <w:r>
        <w:rPr>
          <w:rFonts w:hint="eastAsia"/>
          <w:lang w:eastAsia="zh-CN"/>
        </w:rPr>
        <w:t>（</w:t>
      </w:r>
      <w:r>
        <w:rPr>
          <w:rFonts w:hint="eastAsia"/>
          <w:lang w:val="en-US" w:eastAsia="zh-CN"/>
        </w:rPr>
        <w:t>一</w:t>
      </w:r>
      <w:r>
        <w:rPr>
          <w:rFonts w:hint="eastAsia"/>
          <w:lang w:eastAsia="zh-CN"/>
        </w:rPr>
        <w:t>）</w:t>
      </w:r>
      <w:r>
        <w:rPr>
          <w:rFonts w:hint="eastAsia"/>
          <w:lang w:val="en-US" w:eastAsia="zh-CN"/>
        </w:rPr>
        <w:t>对</w:t>
      </w:r>
      <w:bookmarkEnd w:id="36"/>
      <w:r>
        <w:rPr>
          <w:rFonts w:hint="eastAsia"/>
          <w:lang w:val="en-US" w:eastAsia="zh-CN"/>
        </w:rPr>
        <w:t>本次收购前后收购人及一致行动人在上市公司中拥有的权益情况的核查</w:t>
      </w:r>
    </w:p>
    <w:p w14:paraId="11B0F349">
      <w:pPr>
        <w:pStyle w:val="20"/>
        <w:spacing w:before="156" w:after="156"/>
        <w:ind w:firstLine="480"/>
        <w:jc w:val="both"/>
        <w:rPr>
          <w:rFonts w:hint="eastAsia"/>
          <w:lang w:val="en-US" w:eastAsia="zh-CN"/>
        </w:rPr>
      </w:pPr>
      <w:r>
        <w:rPr>
          <w:rFonts w:hint="eastAsia"/>
          <w:lang w:val="en-US" w:eastAsia="zh-CN"/>
        </w:rPr>
        <w:t>经核查，本次收购的方式为收购人鼎耘产业以现金方式认购上市公司本次向特定对象发行的不超过58,032,000股（含）股票（最终认购数量以深交所审核通过以及中国证监会同意注册的批复为准，下同）。</w:t>
      </w:r>
    </w:p>
    <w:p w14:paraId="1B46F3D2">
      <w:pPr>
        <w:pStyle w:val="20"/>
        <w:spacing w:before="156" w:after="156"/>
        <w:ind w:firstLine="480"/>
        <w:jc w:val="both"/>
        <w:rPr>
          <w:rFonts w:hint="eastAsia"/>
          <w:lang w:val="en-US" w:eastAsia="zh-CN"/>
        </w:rPr>
      </w:pPr>
      <w:r>
        <w:rPr>
          <w:rFonts w:hint="eastAsia"/>
          <w:lang w:val="en-US" w:eastAsia="zh-CN"/>
        </w:rPr>
        <w:t>本次收购前，收购人未持有上市公司股份；一致行动人鼎耘科技直接持有上市公司27,273,330股股票，占上市公司本次发行前总股本的比例为14.10%。</w:t>
      </w:r>
    </w:p>
    <w:p w14:paraId="047ABB3A">
      <w:pPr>
        <w:pStyle w:val="20"/>
        <w:spacing w:before="156" w:after="156"/>
        <w:ind w:firstLine="480"/>
        <w:jc w:val="both"/>
        <w:rPr>
          <w:rFonts w:hint="default"/>
          <w:lang w:val="en-US" w:eastAsia="zh-CN"/>
        </w:rPr>
      </w:pPr>
      <w:r>
        <w:rPr>
          <w:rFonts w:hint="eastAsia"/>
          <w:lang w:val="en-US" w:eastAsia="zh-CN"/>
        </w:rPr>
        <w:t>按照发行股份数量上限计算，本次发行后，收购人将直接持有上市公司不超过58,032,000股（含）股票，占上市公司本次发行后总股本的比例为不超过23.08%（含）；一致行动人鼎耘科技直接持有上市公司27,273,330股股票，占上市公司本次发行后总股本的比例为10.85%。本次收购后，收购人及其一致行动人合计持有公司不超过85,305,330股（含）股票，占上市公司本次发行后总股本的比例为不超过33.92%（含）。</w:t>
      </w:r>
    </w:p>
    <w:p w14:paraId="5C89C56A">
      <w:pPr>
        <w:pStyle w:val="22"/>
        <w:bidi w:val="0"/>
        <w:rPr>
          <w:rFonts w:hint="default"/>
          <w:lang w:val="en-US" w:eastAsia="zh-CN"/>
        </w:rPr>
      </w:pPr>
      <w:r>
        <w:rPr>
          <w:rFonts w:hint="eastAsia"/>
          <w:lang w:val="en-US" w:eastAsia="zh-CN"/>
        </w:rPr>
        <w:t>1、</w:t>
      </w:r>
      <w:r>
        <w:rPr>
          <w:rFonts w:hint="eastAsia"/>
          <w:b/>
          <w:bCs/>
          <w:lang w:val="en-US" w:eastAsia="zh-CN"/>
        </w:rPr>
        <w:t>本次收购前后上市公司股权结构变化情况</w:t>
      </w:r>
    </w:p>
    <w:p w14:paraId="4D3F518E">
      <w:pPr>
        <w:pStyle w:val="20"/>
        <w:spacing w:before="156" w:after="156"/>
        <w:ind w:firstLine="480"/>
        <w:jc w:val="both"/>
        <w:rPr>
          <w:rFonts w:hint="eastAsia"/>
          <w:lang w:val="en-US" w:eastAsia="zh-CN"/>
        </w:rPr>
      </w:pPr>
      <w:r>
        <w:rPr>
          <w:rFonts w:hint="eastAsia"/>
          <w:lang w:val="en-US" w:eastAsia="zh-CN"/>
        </w:rPr>
        <w:t>按照发行股份数量上限计算，本次收购前后，上市公司的股权结构如下：</w:t>
      </w:r>
    </w:p>
    <w:tbl>
      <w:tblPr>
        <w:tblStyle w:val="13"/>
        <w:tblW w:w="4998" w:type="pct"/>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709"/>
        <w:gridCol w:w="2822"/>
        <w:gridCol w:w="1352"/>
        <w:gridCol w:w="1120"/>
        <w:gridCol w:w="1396"/>
        <w:gridCol w:w="1120"/>
      </w:tblGrid>
      <w:tr w14:paraId="0210903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16" w:type="pct"/>
            <w:vMerge w:val="restart"/>
            <w:shd w:val="clear" w:color="auto" w:fill="auto"/>
            <w:vAlign w:val="center"/>
          </w:tcPr>
          <w:p w14:paraId="16E55A04">
            <w:pPr>
              <w:pStyle w:val="24"/>
              <w:bidi w:val="0"/>
              <w:jc w:val="center"/>
              <w:rPr>
                <w:rFonts w:hint="eastAsia" w:eastAsia="宋体"/>
                <w:b/>
                <w:bCs/>
                <w:lang w:val="en-US" w:eastAsia="zh-CN"/>
              </w:rPr>
            </w:pPr>
            <w:r>
              <w:rPr>
                <w:rFonts w:hint="eastAsia"/>
                <w:b/>
                <w:bCs/>
                <w:lang w:val="en-US" w:eastAsia="zh-CN"/>
              </w:rPr>
              <w:t>序号</w:t>
            </w:r>
          </w:p>
        </w:tc>
        <w:tc>
          <w:tcPr>
            <w:tcW w:w="1656" w:type="pct"/>
            <w:vMerge w:val="restart"/>
            <w:shd w:val="clear" w:color="auto" w:fill="auto"/>
            <w:vAlign w:val="center"/>
          </w:tcPr>
          <w:p w14:paraId="4DD38BC8">
            <w:pPr>
              <w:pStyle w:val="24"/>
              <w:bidi w:val="0"/>
              <w:jc w:val="center"/>
              <w:rPr>
                <w:rFonts w:hint="eastAsia"/>
                <w:b/>
                <w:bCs/>
                <w:lang w:val="en-US" w:eastAsia="zh-CN"/>
              </w:rPr>
            </w:pPr>
            <w:r>
              <w:rPr>
                <w:rFonts w:hint="eastAsia"/>
                <w:b/>
                <w:bCs/>
              </w:rPr>
              <w:t>股东</w:t>
            </w:r>
            <w:r>
              <w:rPr>
                <w:rFonts w:hint="eastAsia"/>
                <w:b/>
                <w:bCs/>
                <w:lang w:val="en-US" w:eastAsia="zh-CN"/>
              </w:rPr>
              <w:t>名称</w:t>
            </w:r>
          </w:p>
        </w:tc>
        <w:tc>
          <w:tcPr>
            <w:tcW w:w="1450" w:type="pct"/>
            <w:gridSpan w:val="2"/>
            <w:shd w:val="clear" w:color="auto" w:fill="auto"/>
            <w:vAlign w:val="center"/>
          </w:tcPr>
          <w:p w14:paraId="4C7C621D">
            <w:pPr>
              <w:pStyle w:val="24"/>
              <w:bidi w:val="0"/>
              <w:jc w:val="center"/>
              <w:rPr>
                <w:rFonts w:hint="default"/>
                <w:b/>
                <w:bCs/>
                <w:lang w:val="en-US" w:eastAsia="zh-CN"/>
              </w:rPr>
            </w:pPr>
            <w:r>
              <w:rPr>
                <w:rFonts w:hint="eastAsia"/>
                <w:b/>
                <w:bCs/>
                <w:lang w:val="en-US" w:eastAsia="zh-CN"/>
              </w:rPr>
              <w:t>收购前</w:t>
            </w:r>
          </w:p>
        </w:tc>
        <w:tc>
          <w:tcPr>
            <w:tcW w:w="1476" w:type="pct"/>
            <w:gridSpan w:val="2"/>
            <w:shd w:val="clear" w:color="auto" w:fill="auto"/>
            <w:vAlign w:val="center"/>
          </w:tcPr>
          <w:p w14:paraId="43457174">
            <w:pPr>
              <w:pStyle w:val="24"/>
              <w:bidi w:val="0"/>
              <w:jc w:val="center"/>
              <w:rPr>
                <w:rFonts w:hint="default"/>
                <w:b/>
                <w:bCs/>
                <w:lang w:val="en-US"/>
              </w:rPr>
            </w:pPr>
            <w:r>
              <w:rPr>
                <w:rFonts w:hint="eastAsia"/>
                <w:b/>
                <w:bCs/>
                <w:lang w:val="en-US" w:eastAsia="zh-CN"/>
              </w:rPr>
              <w:t>收购后</w:t>
            </w:r>
          </w:p>
        </w:tc>
      </w:tr>
      <w:tr w14:paraId="70684C1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16" w:type="pct"/>
            <w:vMerge w:val="continue"/>
            <w:shd w:val="clear" w:color="auto" w:fill="auto"/>
            <w:vAlign w:val="center"/>
          </w:tcPr>
          <w:p w14:paraId="0A35DD65">
            <w:pPr>
              <w:pStyle w:val="24"/>
              <w:bidi w:val="0"/>
              <w:jc w:val="center"/>
              <w:rPr>
                <w:b/>
                <w:bCs/>
              </w:rPr>
            </w:pPr>
          </w:p>
        </w:tc>
        <w:tc>
          <w:tcPr>
            <w:tcW w:w="1656" w:type="pct"/>
            <w:vMerge w:val="continue"/>
            <w:shd w:val="clear" w:color="auto" w:fill="auto"/>
            <w:vAlign w:val="center"/>
          </w:tcPr>
          <w:p w14:paraId="796AD796">
            <w:pPr>
              <w:pStyle w:val="24"/>
              <w:bidi w:val="0"/>
              <w:jc w:val="center"/>
              <w:rPr>
                <w:b/>
                <w:bCs/>
              </w:rPr>
            </w:pPr>
          </w:p>
        </w:tc>
        <w:tc>
          <w:tcPr>
            <w:tcW w:w="793" w:type="pct"/>
            <w:shd w:val="clear" w:color="auto" w:fill="auto"/>
            <w:vAlign w:val="center"/>
          </w:tcPr>
          <w:p w14:paraId="4D3176AC">
            <w:pPr>
              <w:pStyle w:val="24"/>
              <w:bidi w:val="0"/>
              <w:jc w:val="center"/>
              <w:rPr>
                <w:b/>
                <w:bCs/>
              </w:rPr>
            </w:pPr>
            <w:r>
              <w:rPr>
                <w:rFonts w:hint="eastAsia"/>
                <w:b/>
                <w:bCs/>
              </w:rPr>
              <w:t>数量（股）</w:t>
            </w:r>
          </w:p>
        </w:tc>
        <w:tc>
          <w:tcPr>
            <w:tcW w:w="657" w:type="pct"/>
            <w:shd w:val="clear" w:color="auto" w:fill="auto"/>
            <w:vAlign w:val="center"/>
          </w:tcPr>
          <w:p w14:paraId="2F28941C">
            <w:pPr>
              <w:pStyle w:val="24"/>
              <w:bidi w:val="0"/>
              <w:jc w:val="center"/>
              <w:rPr>
                <w:b/>
                <w:bCs/>
              </w:rPr>
            </w:pPr>
            <w:r>
              <w:rPr>
                <w:rFonts w:hint="eastAsia"/>
                <w:b/>
                <w:bCs/>
              </w:rPr>
              <w:t>比例（%）</w:t>
            </w:r>
          </w:p>
        </w:tc>
        <w:tc>
          <w:tcPr>
            <w:tcW w:w="819" w:type="pct"/>
            <w:shd w:val="clear" w:color="auto" w:fill="auto"/>
            <w:vAlign w:val="center"/>
          </w:tcPr>
          <w:p w14:paraId="2439BE63">
            <w:pPr>
              <w:pStyle w:val="24"/>
              <w:bidi w:val="0"/>
              <w:jc w:val="center"/>
              <w:rPr>
                <w:b/>
                <w:bCs/>
              </w:rPr>
            </w:pPr>
            <w:r>
              <w:rPr>
                <w:rFonts w:hint="eastAsia"/>
                <w:b/>
                <w:bCs/>
              </w:rPr>
              <w:t>数量（股）</w:t>
            </w:r>
          </w:p>
        </w:tc>
        <w:tc>
          <w:tcPr>
            <w:tcW w:w="657" w:type="pct"/>
            <w:shd w:val="clear" w:color="auto" w:fill="auto"/>
            <w:vAlign w:val="center"/>
          </w:tcPr>
          <w:p w14:paraId="1185BCF7">
            <w:pPr>
              <w:pStyle w:val="24"/>
              <w:bidi w:val="0"/>
              <w:jc w:val="center"/>
              <w:rPr>
                <w:b/>
                <w:bCs/>
              </w:rPr>
            </w:pPr>
            <w:r>
              <w:rPr>
                <w:rFonts w:hint="eastAsia"/>
                <w:b/>
                <w:bCs/>
              </w:rPr>
              <w:t>比例（%）</w:t>
            </w:r>
          </w:p>
        </w:tc>
      </w:tr>
      <w:tr w14:paraId="1DD26EF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6" w:type="pct"/>
            <w:shd w:val="clear" w:color="auto" w:fill="auto"/>
            <w:vAlign w:val="center"/>
          </w:tcPr>
          <w:p w14:paraId="32E42D55">
            <w:pPr>
              <w:pStyle w:val="24"/>
              <w:bidi w:val="0"/>
              <w:jc w:val="center"/>
              <w:rPr>
                <w:rFonts w:hint="default"/>
                <w:lang w:val="en-US" w:eastAsia="zh-CN"/>
              </w:rPr>
            </w:pPr>
            <w:r>
              <w:rPr>
                <w:rFonts w:hint="eastAsia"/>
                <w:lang w:val="en-US" w:eastAsia="zh-CN"/>
              </w:rPr>
              <w:t>1</w:t>
            </w:r>
          </w:p>
        </w:tc>
        <w:tc>
          <w:tcPr>
            <w:tcW w:w="1656" w:type="pct"/>
            <w:shd w:val="clear" w:color="auto" w:fill="auto"/>
            <w:vAlign w:val="center"/>
          </w:tcPr>
          <w:p w14:paraId="5A4B0262">
            <w:pPr>
              <w:pStyle w:val="24"/>
              <w:bidi w:val="0"/>
              <w:rPr>
                <w:rFonts w:hint="default"/>
                <w:lang w:val="en-US" w:eastAsia="zh-CN"/>
              </w:rPr>
            </w:pPr>
            <w:r>
              <w:rPr>
                <w:rFonts w:hint="eastAsia"/>
                <w:lang w:val="en-US" w:eastAsia="zh-CN"/>
              </w:rPr>
              <w:t>鼎耘产业</w:t>
            </w:r>
          </w:p>
        </w:tc>
        <w:tc>
          <w:tcPr>
            <w:tcW w:w="793" w:type="pct"/>
            <w:shd w:val="clear" w:color="auto" w:fill="auto"/>
            <w:vAlign w:val="center"/>
          </w:tcPr>
          <w:p w14:paraId="3C097FE2">
            <w:pPr>
              <w:pStyle w:val="24"/>
              <w:bidi w:val="0"/>
              <w:jc w:val="right"/>
              <w:rPr>
                <w:rFonts w:hint="eastAsia"/>
                <w:lang w:val="en-US" w:eastAsia="zh-CN"/>
              </w:rPr>
            </w:pPr>
            <w:r>
              <w:rPr>
                <w:rFonts w:hint="eastAsia"/>
                <w:lang w:val="en-US" w:eastAsia="zh-CN"/>
              </w:rPr>
              <w:t>-</w:t>
            </w:r>
          </w:p>
        </w:tc>
        <w:tc>
          <w:tcPr>
            <w:tcW w:w="657" w:type="pct"/>
            <w:shd w:val="clear" w:color="auto" w:fill="auto"/>
            <w:vAlign w:val="center"/>
          </w:tcPr>
          <w:p w14:paraId="33E695CC">
            <w:pPr>
              <w:pStyle w:val="24"/>
              <w:bidi w:val="0"/>
              <w:jc w:val="right"/>
              <w:rPr>
                <w:rFonts w:hint="default"/>
                <w:lang w:val="en-US" w:eastAsia="zh-CN"/>
              </w:rPr>
            </w:pPr>
            <w:r>
              <w:rPr>
                <w:rFonts w:hint="eastAsia"/>
                <w:lang w:val="en-US" w:eastAsia="zh-CN"/>
              </w:rPr>
              <w:t>-</w:t>
            </w:r>
          </w:p>
        </w:tc>
        <w:tc>
          <w:tcPr>
            <w:tcW w:w="819" w:type="pct"/>
            <w:shd w:val="clear" w:color="auto" w:fill="auto"/>
            <w:vAlign w:val="center"/>
          </w:tcPr>
          <w:p w14:paraId="46132862">
            <w:pPr>
              <w:pStyle w:val="24"/>
              <w:bidi w:val="0"/>
              <w:jc w:val="right"/>
            </w:pPr>
            <w:r>
              <w:rPr>
                <w:rFonts w:hint="eastAsia"/>
                <w:lang w:val="en-US" w:eastAsia="zh-CN"/>
              </w:rPr>
              <w:t>58,032,000</w:t>
            </w:r>
          </w:p>
        </w:tc>
        <w:tc>
          <w:tcPr>
            <w:tcW w:w="657" w:type="pct"/>
            <w:shd w:val="clear" w:color="auto" w:fill="auto"/>
            <w:vAlign w:val="center"/>
          </w:tcPr>
          <w:p w14:paraId="261BD962">
            <w:pPr>
              <w:pStyle w:val="24"/>
              <w:bidi w:val="0"/>
              <w:jc w:val="right"/>
            </w:pPr>
            <w:r>
              <w:rPr>
                <w:rFonts w:hint="eastAsia"/>
                <w:lang w:val="en-US" w:eastAsia="zh-CN"/>
              </w:rPr>
              <w:t>23.08%</w:t>
            </w:r>
          </w:p>
        </w:tc>
      </w:tr>
      <w:tr w14:paraId="02A7404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416" w:type="pct"/>
            <w:shd w:val="clear" w:color="auto" w:fill="auto"/>
            <w:vAlign w:val="center"/>
          </w:tcPr>
          <w:p w14:paraId="0E1EBED6">
            <w:pPr>
              <w:pStyle w:val="24"/>
              <w:bidi w:val="0"/>
              <w:jc w:val="center"/>
              <w:rPr>
                <w:rFonts w:hint="default"/>
                <w:lang w:val="en-US" w:eastAsia="zh-CN"/>
              </w:rPr>
            </w:pPr>
            <w:r>
              <w:rPr>
                <w:rFonts w:hint="eastAsia"/>
                <w:lang w:val="en-US" w:eastAsia="zh-CN"/>
              </w:rPr>
              <w:t>2</w:t>
            </w:r>
          </w:p>
        </w:tc>
        <w:tc>
          <w:tcPr>
            <w:tcW w:w="1656" w:type="pct"/>
            <w:shd w:val="clear" w:color="auto" w:fill="auto"/>
            <w:vAlign w:val="center"/>
          </w:tcPr>
          <w:p w14:paraId="1987A5C5">
            <w:pPr>
              <w:pStyle w:val="24"/>
              <w:bidi w:val="0"/>
              <w:rPr>
                <w:rFonts w:hint="eastAsia"/>
                <w:lang w:val="en-US" w:eastAsia="zh-CN"/>
              </w:rPr>
            </w:pPr>
            <w:r>
              <w:rPr>
                <w:rFonts w:hint="default"/>
                <w:lang w:val="en-US" w:eastAsia="zh-CN"/>
              </w:rPr>
              <w:t>鼎耘科技</w:t>
            </w:r>
          </w:p>
        </w:tc>
        <w:tc>
          <w:tcPr>
            <w:tcW w:w="793" w:type="pct"/>
            <w:shd w:val="clear" w:color="auto" w:fill="auto"/>
            <w:vAlign w:val="center"/>
          </w:tcPr>
          <w:p w14:paraId="3A9448A8">
            <w:pPr>
              <w:pStyle w:val="24"/>
              <w:bidi w:val="0"/>
              <w:jc w:val="right"/>
              <w:rPr>
                <w:rFonts w:hint="eastAsia"/>
                <w:lang w:val="en-US" w:eastAsia="zh-CN"/>
              </w:rPr>
            </w:pPr>
            <w:r>
              <w:rPr>
                <w:rFonts w:hint="default"/>
                <w:lang w:val="en-US" w:eastAsia="zh-CN"/>
              </w:rPr>
              <w:t>27,273,330</w:t>
            </w:r>
          </w:p>
        </w:tc>
        <w:tc>
          <w:tcPr>
            <w:tcW w:w="657" w:type="pct"/>
            <w:shd w:val="clear" w:color="auto" w:fill="auto"/>
            <w:vAlign w:val="center"/>
          </w:tcPr>
          <w:p w14:paraId="26797A19">
            <w:pPr>
              <w:pStyle w:val="24"/>
              <w:bidi w:val="0"/>
              <w:jc w:val="right"/>
              <w:rPr>
                <w:rFonts w:hint="default"/>
                <w:lang w:val="en-US"/>
              </w:rPr>
            </w:pPr>
            <w:r>
              <w:rPr>
                <w:rFonts w:hint="default"/>
                <w:lang w:val="en-US" w:eastAsia="zh-CN"/>
              </w:rPr>
              <w:t>14.10%</w:t>
            </w:r>
          </w:p>
        </w:tc>
        <w:tc>
          <w:tcPr>
            <w:tcW w:w="819" w:type="pct"/>
            <w:shd w:val="clear" w:color="auto" w:fill="auto"/>
            <w:vAlign w:val="center"/>
          </w:tcPr>
          <w:p w14:paraId="72DB3D44">
            <w:pPr>
              <w:pStyle w:val="24"/>
              <w:bidi w:val="0"/>
              <w:jc w:val="right"/>
            </w:pPr>
            <w:r>
              <w:rPr>
                <w:rFonts w:hint="default"/>
                <w:lang w:val="en-US" w:eastAsia="zh-CN"/>
              </w:rPr>
              <w:t>27,273,330</w:t>
            </w:r>
          </w:p>
        </w:tc>
        <w:tc>
          <w:tcPr>
            <w:tcW w:w="657" w:type="pct"/>
            <w:shd w:val="clear" w:color="auto" w:fill="auto"/>
            <w:vAlign w:val="center"/>
          </w:tcPr>
          <w:p w14:paraId="4DF7E081">
            <w:pPr>
              <w:pStyle w:val="24"/>
              <w:bidi w:val="0"/>
              <w:jc w:val="right"/>
            </w:pPr>
            <w:r>
              <w:rPr>
                <w:rFonts w:hint="eastAsia"/>
                <w:lang w:val="en-US" w:eastAsia="zh-CN"/>
              </w:rPr>
              <w:t>10.85%</w:t>
            </w:r>
          </w:p>
        </w:tc>
      </w:tr>
      <w:tr w14:paraId="7DEF344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2072" w:type="pct"/>
            <w:gridSpan w:val="2"/>
            <w:shd w:val="clear" w:color="auto" w:fill="auto"/>
            <w:vAlign w:val="center"/>
          </w:tcPr>
          <w:p w14:paraId="1C9650E1">
            <w:pPr>
              <w:pStyle w:val="24"/>
              <w:bidi w:val="0"/>
              <w:jc w:val="center"/>
              <w:rPr>
                <w:rFonts w:hint="default"/>
                <w:b/>
                <w:bCs/>
                <w:lang w:val="en-US" w:eastAsia="zh-CN"/>
              </w:rPr>
            </w:pPr>
            <w:r>
              <w:rPr>
                <w:rFonts w:hint="eastAsia"/>
                <w:b/>
                <w:bCs/>
                <w:lang w:val="en-US" w:eastAsia="zh-CN"/>
              </w:rPr>
              <w:t>收购人与其一致行动人合计</w:t>
            </w:r>
          </w:p>
        </w:tc>
        <w:tc>
          <w:tcPr>
            <w:tcW w:w="793" w:type="pct"/>
            <w:shd w:val="clear" w:color="auto" w:fill="auto"/>
            <w:vAlign w:val="center"/>
          </w:tcPr>
          <w:p w14:paraId="0CEF3FF2">
            <w:pPr>
              <w:pStyle w:val="24"/>
              <w:bidi w:val="0"/>
              <w:jc w:val="right"/>
              <w:rPr>
                <w:rFonts w:hint="default" w:ascii="Times New Roman" w:hAnsi="Times New Roman" w:eastAsia="宋体" w:cs="Times New Roman"/>
                <w:b/>
                <w:bCs/>
                <w:kern w:val="2"/>
                <w:sz w:val="21"/>
                <w:szCs w:val="24"/>
                <w:lang w:val="en-US" w:eastAsia="zh-CN" w:bidi="ar-SA"/>
              </w:rPr>
            </w:pPr>
            <w:r>
              <w:rPr>
                <w:rFonts w:hint="default"/>
                <w:b/>
                <w:bCs/>
                <w:lang w:val="en-US" w:eastAsia="zh-CN"/>
              </w:rPr>
              <w:t>27,273,330</w:t>
            </w:r>
          </w:p>
        </w:tc>
        <w:tc>
          <w:tcPr>
            <w:tcW w:w="657" w:type="pct"/>
            <w:shd w:val="clear" w:color="auto" w:fill="auto"/>
            <w:vAlign w:val="center"/>
          </w:tcPr>
          <w:p w14:paraId="161B8BEF">
            <w:pPr>
              <w:pStyle w:val="24"/>
              <w:bidi w:val="0"/>
              <w:jc w:val="right"/>
              <w:rPr>
                <w:rFonts w:hint="default" w:ascii="Times New Roman" w:hAnsi="Times New Roman" w:eastAsia="宋体" w:cs="Times New Roman"/>
                <w:b/>
                <w:bCs/>
                <w:kern w:val="2"/>
                <w:sz w:val="21"/>
                <w:szCs w:val="24"/>
                <w:lang w:val="en-US" w:eastAsia="zh-CN" w:bidi="ar-SA"/>
              </w:rPr>
            </w:pPr>
            <w:r>
              <w:rPr>
                <w:rFonts w:hint="default"/>
                <w:b/>
                <w:bCs/>
                <w:lang w:val="en-US" w:eastAsia="zh-CN"/>
              </w:rPr>
              <w:t>14.10%</w:t>
            </w:r>
          </w:p>
        </w:tc>
        <w:tc>
          <w:tcPr>
            <w:tcW w:w="1396" w:type="dxa"/>
            <w:shd w:val="clear" w:color="auto" w:fill="auto"/>
            <w:vAlign w:val="center"/>
          </w:tcPr>
          <w:p w14:paraId="36DCA8DC">
            <w:pPr>
              <w:pStyle w:val="24"/>
              <w:bidi w:val="0"/>
              <w:jc w:val="right"/>
              <w:rPr>
                <w:rFonts w:hint="default"/>
                <w:b/>
                <w:bCs/>
                <w:lang w:val="en-US" w:eastAsia="zh-CN"/>
              </w:rPr>
            </w:pPr>
            <w:r>
              <w:rPr>
                <w:rFonts w:hint="default"/>
                <w:b/>
                <w:bCs/>
                <w:lang w:val="en-US" w:eastAsia="zh-CN"/>
              </w:rPr>
              <w:t xml:space="preserve"> 85,305,330 </w:t>
            </w:r>
          </w:p>
        </w:tc>
        <w:tc>
          <w:tcPr>
            <w:tcW w:w="1120" w:type="dxa"/>
            <w:shd w:val="clear" w:color="auto" w:fill="auto"/>
            <w:vAlign w:val="center"/>
          </w:tcPr>
          <w:p w14:paraId="502FBECC">
            <w:pPr>
              <w:pStyle w:val="24"/>
              <w:bidi w:val="0"/>
              <w:jc w:val="right"/>
              <w:rPr>
                <w:rFonts w:hint="eastAsia"/>
                <w:b/>
                <w:bCs/>
                <w:lang w:val="en-US" w:eastAsia="zh-CN"/>
              </w:rPr>
            </w:pPr>
            <w:r>
              <w:rPr>
                <w:rFonts w:hint="eastAsia"/>
                <w:b/>
                <w:bCs/>
                <w:lang w:val="en-US" w:eastAsia="zh-CN"/>
              </w:rPr>
              <w:t>33.92%</w:t>
            </w:r>
          </w:p>
        </w:tc>
      </w:tr>
      <w:tr w14:paraId="0F39131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6" w:type="pct"/>
            <w:shd w:val="clear" w:color="auto" w:fill="auto"/>
            <w:vAlign w:val="center"/>
          </w:tcPr>
          <w:p w14:paraId="1C1B1B67">
            <w:pPr>
              <w:pStyle w:val="24"/>
              <w:bidi w:val="0"/>
              <w:jc w:val="center"/>
              <w:rPr>
                <w:rFonts w:hint="default"/>
                <w:lang w:val="en-US" w:eastAsia="zh-CN"/>
              </w:rPr>
            </w:pPr>
            <w:r>
              <w:rPr>
                <w:rFonts w:hint="eastAsia"/>
                <w:lang w:val="en-US" w:eastAsia="zh-CN"/>
              </w:rPr>
              <w:t>3</w:t>
            </w:r>
          </w:p>
        </w:tc>
        <w:tc>
          <w:tcPr>
            <w:tcW w:w="1656" w:type="pct"/>
            <w:shd w:val="clear" w:color="auto" w:fill="auto"/>
            <w:vAlign w:val="center"/>
          </w:tcPr>
          <w:p w14:paraId="296613FA">
            <w:pPr>
              <w:pStyle w:val="24"/>
              <w:bidi w:val="0"/>
              <w:rPr>
                <w:lang w:val="en-US" w:eastAsia="zh-CN"/>
              </w:rPr>
            </w:pPr>
            <w:r>
              <w:rPr>
                <w:rFonts w:hint="default"/>
                <w:lang w:val="en-US" w:eastAsia="zh-CN"/>
              </w:rPr>
              <w:t>广州蕙富骐骥投资合伙企业</w:t>
            </w:r>
            <w:r>
              <w:rPr>
                <w:rFonts w:hint="eastAsia"/>
                <w:lang w:val="en-US" w:eastAsia="zh-CN"/>
              </w:rPr>
              <w:t>（</w:t>
            </w:r>
            <w:r>
              <w:rPr>
                <w:rFonts w:hint="default"/>
                <w:lang w:val="en-US" w:eastAsia="zh-CN"/>
              </w:rPr>
              <w:t>有限合伙</w:t>
            </w:r>
            <w:r>
              <w:rPr>
                <w:rFonts w:hint="eastAsia"/>
                <w:lang w:val="en-US" w:eastAsia="zh-CN"/>
              </w:rPr>
              <w:t>）</w:t>
            </w:r>
          </w:p>
        </w:tc>
        <w:tc>
          <w:tcPr>
            <w:tcW w:w="793" w:type="pct"/>
            <w:shd w:val="clear" w:color="auto" w:fill="auto"/>
            <w:vAlign w:val="center"/>
          </w:tcPr>
          <w:p w14:paraId="4932E73F">
            <w:pPr>
              <w:pStyle w:val="24"/>
              <w:bidi w:val="0"/>
              <w:jc w:val="right"/>
            </w:pPr>
            <w:r>
              <w:rPr>
                <w:rFonts w:hint="default"/>
                <w:lang w:val="en-US" w:eastAsia="zh-CN"/>
              </w:rPr>
              <w:t>26,600,000</w:t>
            </w:r>
          </w:p>
        </w:tc>
        <w:tc>
          <w:tcPr>
            <w:tcW w:w="657" w:type="pct"/>
            <w:shd w:val="clear" w:color="auto" w:fill="auto"/>
            <w:vAlign w:val="center"/>
          </w:tcPr>
          <w:p w14:paraId="62332B7C">
            <w:pPr>
              <w:pStyle w:val="24"/>
              <w:bidi w:val="0"/>
              <w:jc w:val="right"/>
            </w:pPr>
            <w:r>
              <w:rPr>
                <w:rFonts w:hint="default"/>
                <w:lang w:val="en-US" w:eastAsia="zh-CN"/>
              </w:rPr>
              <w:t>13.75%</w:t>
            </w:r>
          </w:p>
        </w:tc>
        <w:tc>
          <w:tcPr>
            <w:tcW w:w="819" w:type="pct"/>
            <w:shd w:val="clear" w:color="auto" w:fill="auto"/>
            <w:vAlign w:val="center"/>
          </w:tcPr>
          <w:p w14:paraId="02216075">
            <w:pPr>
              <w:pStyle w:val="24"/>
              <w:bidi w:val="0"/>
              <w:jc w:val="right"/>
            </w:pPr>
            <w:r>
              <w:rPr>
                <w:rFonts w:hint="default"/>
                <w:lang w:val="en-US" w:eastAsia="zh-CN"/>
              </w:rPr>
              <w:t>26,600,000</w:t>
            </w:r>
          </w:p>
        </w:tc>
        <w:tc>
          <w:tcPr>
            <w:tcW w:w="657" w:type="pct"/>
            <w:shd w:val="clear" w:color="auto" w:fill="auto"/>
            <w:vAlign w:val="center"/>
          </w:tcPr>
          <w:p w14:paraId="2190601E">
            <w:pPr>
              <w:pStyle w:val="24"/>
              <w:bidi w:val="0"/>
              <w:jc w:val="right"/>
            </w:pPr>
            <w:r>
              <w:rPr>
                <w:rFonts w:hint="eastAsia"/>
                <w:lang w:val="en-US" w:eastAsia="zh-CN"/>
              </w:rPr>
              <w:t>10.58%</w:t>
            </w:r>
          </w:p>
        </w:tc>
      </w:tr>
    </w:tbl>
    <w:p w14:paraId="7E9C9473">
      <w:pPr>
        <w:pStyle w:val="22"/>
        <w:bidi w:val="0"/>
        <w:rPr>
          <w:rFonts w:hint="default"/>
          <w:lang w:val="en-US" w:eastAsia="zh-CN"/>
        </w:rPr>
      </w:pPr>
      <w:r>
        <w:rPr>
          <w:rFonts w:hint="eastAsia"/>
          <w:lang w:val="en-US" w:eastAsia="zh-CN"/>
        </w:rPr>
        <w:t>2、</w:t>
      </w:r>
      <w:r>
        <w:rPr>
          <w:rFonts w:hint="eastAsia"/>
          <w:b/>
          <w:bCs/>
          <w:lang w:val="en-US" w:eastAsia="zh-CN"/>
        </w:rPr>
        <w:t>本次收购前后上市公司控制权变更情况</w:t>
      </w:r>
    </w:p>
    <w:p w14:paraId="11A194A4">
      <w:pPr>
        <w:pStyle w:val="20"/>
        <w:spacing w:before="156" w:after="156"/>
        <w:ind w:firstLine="480"/>
        <w:jc w:val="both"/>
        <w:rPr>
          <w:rFonts w:hint="default"/>
          <w:lang w:val="en-US" w:eastAsia="zh-CN"/>
        </w:rPr>
      </w:pPr>
      <w:r>
        <w:rPr>
          <w:rFonts w:hint="eastAsia"/>
          <w:lang w:val="en-US" w:eastAsia="zh-CN"/>
        </w:rPr>
        <w:t>本次收购前，上市公司无控股股东、无实际控制人。本次收购后，上市公司控股股东变更为鼎耘产业，实际控制人变更为李红星先生。</w:t>
      </w:r>
    </w:p>
    <w:p w14:paraId="2C23F6C8">
      <w:pPr>
        <w:pStyle w:val="22"/>
        <w:bidi w:val="0"/>
        <w:rPr>
          <w:rFonts w:hint="default"/>
          <w:lang w:val="en-US" w:eastAsia="zh-CN"/>
        </w:rPr>
      </w:pPr>
      <w:r>
        <w:rPr>
          <w:rFonts w:hint="eastAsia"/>
          <w:lang w:val="en-US" w:eastAsia="zh-CN"/>
        </w:rPr>
        <w:t>3、</w:t>
      </w:r>
      <w:r>
        <w:rPr>
          <w:rFonts w:hint="eastAsia"/>
          <w:b/>
          <w:bCs/>
        </w:rPr>
        <w:t>本次</w:t>
      </w:r>
      <w:r>
        <w:rPr>
          <w:rFonts w:hint="eastAsia"/>
          <w:b/>
          <w:bCs/>
          <w:lang w:val="en-US" w:eastAsia="zh-CN"/>
        </w:rPr>
        <w:t>收购</w:t>
      </w:r>
      <w:r>
        <w:rPr>
          <w:rFonts w:hint="eastAsia"/>
          <w:b/>
          <w:bCs/>
        </w:rPr>
        <w:t>前后</w:t>
      </w:r>
      <w:r>
        <w:rPr>
          <w:rFonts w:hint="eastAsia"/>
          <w:b/>
          <w:bCs/>
          <w:lang w:val="en-US" w:eastAsia="zh-CN"/>
        </w:rPr>
        <w:t>实际控制人</w:t>
      </w:r>
      <w:r>
        <w:rPr>
          <w:rFonts w:hint="eastAsia"/>
          <w:b/>
          <w:bCs/>
        </w:rPr>
        <w:t>拥有上市公司权益的情况</w:t>
      </w:r>
    </w:p>
    <w:p w14:paraId="61D09FF0">
      <w:pPr>
        <w:pStyle w:val="20"/>
        <w:spacing w:before="156" w:after="156"/>
        <w:ind w:firstLine="480"/>
        <w:jc w:val="both"/>
        <w:rPr>
          <w:rFonts w:hint="default"/>
          <w:lang w:val="en-US" w:eastAsia="zh-CN"/>
        </w:rPr>
      </w:pPr>
      <w:r>
        <w:rPr>
          <w:rFonts w:hint="eastAsia"/>
          <w:lang w:val="en-US" w:eastAsia="zh-CN"/>
        </w:rPr>
        <w:t>本次收购前，李红星持有</w:t>
      </w:r>
      <w:r>
        <w:rPr>
          <w:rFonts w:hint="default"/>
          <w:lang w:val="en-US" w:eastAsia="zh-CN"/>
        </w:rPr>
        <w:t>鼎耘科技4.2</w:t>
      </w:r>
      <w:r>
        <w:rPr>
          <w:rFonts w:hint="eastAsia"/>
          <w:lang w:val="en-US" w:eastAsia="zh-CN"/>
        </w:rPr>
        <w:t>9</w:t>
      </w:r>
      <w:r>
        <w:rPr>
          <w:rFonts w:hint="default"/>
          <w:lang w:val="en-US" w:eastAsia="zh-CN"/>
        </w:rPr>
        <w:t>%</w:t>
      </w:r>
      <w:r>
        <w:rPr>
          <w:rFonts w:hint="eastAsia"/>
          <w:lang w:val="en-US" w:eastAsia="zh-CN"/>
        </w:rPr>
        <w:t>股份，因此李红星通过</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鼎耘科技</w:t>
      </w:r>
      <w:r>
        <w:rPr>
          <w:rFonts w:hint="default" w:ascii="Times New Roman" w:hAnsi="Times New Roman" w:eastAsia="宋体" w:cs="Times New Roman"/>
          <w:kern w:val="2"/>
          <w:sz w:val="24"/>
          <w:szCs w:val="24"/>
          <w:lang w:val="en-US" w:eastAsia="zh-CN" w:bidi="ar-SA"/>
        </w:rPr>
        <w:fldChar w:fldCharType="end"/>
      </w:r>
      <w:r>
        <w:rPr>
          <w:rFonts w:hint="eastAsia" w:cs="Times New Roman"/>
          <w:kern w:val="2"/>
          <w:sz w:val="24"/>
          <w:szCs w:val="24"/>
          <w:lang w:val="en-US" w:eastAsia="zh-CN" w:bidi="ar-SA"/>
        </w:rPr>
        <w:t>间接享有上市公司0.60%股份的权益。</w:t>
      </w:r>
    </w:p>
    <w:p w14:paraId="1A365B6A">
      <w:pPr>
        <w:pStyle w:val="20"/>
        <w:spacing w:before="156" w:after="156"/>
        <w:ind w:firstLine="480"/>
        <w:jc w:val="both"/>
        <w:rPr>
          <w:rFonts w:hint="eastAsia"/>
          <w:lang w:val="en-US" w:eastAsia="zh-CN"/>
        </w:rPr>
      </w:pPr>
      <w:r>
        <w:rPr>
          <w:rFonts w:hint="eastAsia"/>
          <w:lang w:val="en-US" w:eastAsia="zh-CN"/>
        </w:rPr>
        <w:t>本次收购后，李红星通过收购人鼎耘产业控制上市公司不超过58,032,000股（含）股票，占上市公司本次发行后总股本的比例为不超过23.08%（含），为上市公司实际控制人；此外通过</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鼎耘科技</w:t>
      </w:r>
      <w:r>
        <w:rPr>
          <w:rFonts w:hint="default" w:ascii="Times New Roman" w:hAnsi="Times New Roman" w:eastAsia="宋体" w:cs="Times New Roman"/>
          <w:kern w:val="2"/>
          <w:sz w:val="24"/>
          <w:szCs w:val="24"/>
          <w:lang w:val="en-US" w:eastAsia="zh-CN" w:bidi="ar-SA"/>
        </w:rPr>
        <w:fldChar w:fldCharType="end"/>
      </w:r>
      <w:r>
        <w:rPr>
          <w:rFonts w:hint="eastAsia" w:cs="Times New Roman"/>
          <w:kern w:val="2"/>
          <w:sz w:val="24"/>
          <w:szCs w:val="24"/>
          <w:lang w:val="en-US" w:eastAsia="zh-CN" w:bidi="ar-SA"/>
        </w:rPr>
        <w:t>间接享有上市公司</w:t>
      </w:r>
      <w:r>
        <w:rPr>
          <w:rFonts w:hint="eastAsia"/>
          <w:lang w:val="en-US" w:eastAsia="zh-CN"/>
        </w:rPr>
        <w:t>本次发行后总股本0.46%</w:t>
      </w:r>
      <w:r>
        <w:rPr>
          <w:rFonts w:hint="eastAsia" w:cs="Times New Roman"/>
          <w:kern w:val="2"/>
          <w:sz w:val="24"/>
          <w:szCs w:val="24"/>
          <w:lang w:val="en-US" w:eastAsia="zh-CN" w:bidi="ar-SA"/>
        </w:rPr>
        <w:t>股份的权益</w:t>
      </w:r>
      <w:r>
        <w:rPr>
          <w:rFonts w:hint="eastAsia"/>
          <w:lang w:val="en-US" w:eastAsia="zh-CN"/>
        </w:rPr>
        <w:t>。</w:t>
      </w:r>
    </w:p>
    <w:p w14:paraId="61BDFD16">
      <w:pPr>
        <w:pStyle w:val="21"/>
        <w:bidi w:val="0"/>
        <w:rPr>
          <w:rFonts w:hint="default" w:eastAsia="宋体"/>
          <w:lang w:val="en-US" w:eastAsia="zh-CN"/>
        </w:rPr>
      </w:pPr>
      <w:r>
        <w:rPr>
          <w:rFonts w:hint="eastAsia"/>
          <w:lang w:eastAsia="zh-CN"/>
        </w:rPr>
        <w:t>（</w:t>
      </w:r>
      <w:r>
        <w:rPr>
          <w:rFonts w:hint="eastAsia"/>
          <w:lang w:val="en-US" w:eastAsia="zh-CN"/>
        </w:rPr>
        <w:t>二</w:t>
      </w:r>
      <w:r>
        <w:rPr>
          <w:rFonts w:hint="eastAsia"/>
          <w:lang w:eastAsia="zh-CN"/>
        </w:rPr>
        <w:t>）</w:t>
      </w:r>
      <w:r>
        <w:rPr>
          <w:rFonts w:hint="eastAsia"/>
          <w:lang w:val="en-US" w:eastAsia="zh-CN"/>
        </w:rPr>
        <w:t>对</w:t>
      </w:r>
      <w:r>
        <w:rPr>
          <w:rFonts w:hint="eastAsia"/>
        </w:rPr>
        <w:t>收购人拥有权益的上市公司股份存在权利限制情况</w:t>
      </w:r>
      <w:r>
        <w:rPr>
          <w:rFonts w:hint="eastAsia"/>
          <w:lang w:val="en-US" w:eastAsia="zh-CN"/>
        </w:rPr>
        <w:t>的核查</w:t>
      </w:r>
    </w:p>
    <w:p w14:paraId="31CC1F69">
      <w:pPr>
        <w:pStyle w:val="20"/>
        <w:spacing w:before="156" w:after="156"/>
        <w:ind w:firstLine="480"/>
        <w:jc w:val="both"/>
        <w:rPr>
          <w:rFonts w:hint="eastAsia"/>
        </w:rPr>
      </w:pPr>
      <w:r>
        <w:rPr>
          <w:rFonts w:hint="eastAsia"/>
          <w:lang w:val="en-US" w:eastAsia="zh-CN"/>
        </w:rPr>
        <w:t>经核查，本次收购前，收购人不持有上市公司股份；一致行动人持有的上市公司股份</w:t>
      </w:r>
      <w:r>
        <w:rPr>
          <w:rFonts w:hint="eastAsia"/>
        </w:rPr>
        <w:t>不存在质押、冻结等权利限制的情况。</w:t>
      </w:r>
    </w:p>
    <w:p w14:paraId="01933FCB">
      <w:pPr>
        <w:pStyle w:val="25"/>
        <w:spacing w:before="234" w:after="234"/>
      </w:pPr>
      <w:bookmarkStart w:id="37" w:name="_Toc21173"/>
      <w:bookmarkStart w:id="38" w:name="_Toc12338"/>
      <w:bookmarkStart w:id="39" w:name="_Toc9265"/>
      <w:r>
        <w:rPr>
          <w:rFonts w:hint="eastAsia"/>
          <w:lang w:val="en-US" w:eastAsia="zh-CN"/>
        </w:rPr>
        <w:t>七</w:t>
      </w:r>
      <w:r>
        <w:rPr>
          <w:rFonts w:hint="eastAsia"/>
        </w:rPr>
        <w:t>、</w:t>
      </w:r>
      <w:bookmarkEnd w:id="37"/>
      <w:r>
        <w:rPr>
          <w:rFonts w:hint="eastAsia"/>
        </w:rPr>
        <w:t>对</w:t>
      </w:r>
      <w:r>
        <w:rPr>
          <w:rFonts w:hint="eastAsia"/>
          <w:lang w:val="en-US" w:eastAsia="zh-CN"/>
        </w:rPr>
        <w:t>收购人</w:t>
      </w:r>
      <w:r>
        <w:rPr>
          <w:rFonts w:hint="eastAsia"/>
        </w:rPr>
        <w:t>资金来源的核查</w:t>
      </w:r>
      <w:bookmarkEnd w:id="38"/>
      <w:bookmarkEnd w:id="39"/>
    </w:p>
    <w:p w14:paraId="22EC12DD">
      <w:pPr>
        <w:pStyle w:val="20"/>
        <w:spacing w:before="156" w:after="156"/>
        <w:ind w:firstLine="480"/>
        <w:jc w:val="both"/>
        <w:rPr>
          <w:rFonts w:hint="default"/>
          <w:lang w:val="en-US" w:eastAsia="zh-CN"/>
        </w:rPr>
      </w:pPr>
      <w:r>
        <w:rPr>
          <w:rFonts w:hint="eastAsia"/>
          <w:lang w:val="en-US" w:eastAsia="zh-CN"/>
        </w:rPr>
        <w:t>根据收购人与上市公司签订的《附条件生效的股份认购协议》，收购人拟以现金方式认购上市公司向特定对象发行的不超过58,032,000股（含）股票，发行股票的价格为【】元/股，认购资金总额不超过人民币【】万元（含）。</w:t>
      </w:r>
    </w:p>
    <w:p w14:paraId="62224742">
      <w:pPr>
        <w:pStyle w:val="20"/>
        <w:spacing w:before="156" w:after="156"/>
        <w:ind w:firstLine="480"/>
        <w:jc w:val="both"/>
        <w:rPr>
          <w:rFonts w:hint="eastAsia"/>
          <w:lang w:val="en-US" w:eastAsia="zh-CN"/>
        </w:rPr>
      </w:pPr>
      <w:r>
        <w:rPr>
          <w:rFonts w:hint="eastAsia"/>
          <w:lang w:val="en-US" w:eastAsia="zh-CN"/>
        </w:rPr>
        <w:t>如本次发行拟募集资金总额或发行股份总数因监管政策变化或根据发行审核文件的要求或协议相关约定等情况予以调整的，则乙方的最终认购金额、认购数量将相应调整。</w:t>
      </w:r>
    </w:p>
    <w:p w14:paraId="4CBCCA01">
      <w:pPr>
        <w:pStyle w:val="20"/>
        <w:spacing w:before="156" w:after="156"/>
        <w:ind w:firstLine="480"/>
        <w:jc w:val="both"/>
        <w:rPr>
          <w:rFonts w:hint="eastAsia"/>
        </w:rPr>
      </w:pPr>
      <w:r>
        <w:rPr>
          <w:rFonts w:hint="eastAsia"/>
          <w:lang w:val="en-US" w:eastAsia="zh-CN"/>
        </w:rPr>
        <w:t>经核查，收购人</w:t>
      </w:r>
      <w:r>
        <w:rPr>
          <w:rFonts w:hint="eastAsia"/>
          <w:b w:val="0"/>
          <w:bCs w:val="0"/>
          <w:lang w:val="en-US" w:eastAsia="zh-CN"/>
        </w:rPr>
        <w:t>认购资金来源为自有资金，即</w:t>
      </w:r>
      <w:r>
        <w:rPr>
          <w:rFonts w:hint="eastAsia"/>
          <w:lang w:val="en-US" w:eastAsia="zh-CN"/>
        </w:rPr>
        <w:t>收购人</w:t>
      </w:r>
      <w:r>
        <w:rPr>
          <w:rFonts w:hint="eastAsia"/>
          <w:b w:val="0"/>
          <w:bCs w:val="0"/>
          <w:lang w:val="en-US" w:eastAsia="zh-CN"/>
        </w:rPr>
        <w:t>的各合伙人对合伙企业的出资。</w:t>
      </w:r>
      <w:r>
        <w:rPr>
          <w:rFonts w:hint="eastAsia"/>
          <w:lang w:val="en-US" w:eastAsia="zh-CN"/>
        </w:rPr>
        <w:t>收购人的收购资金来源合法，不存在利用本次收购的股份向银行等金融机构质押取得融资的情形。</w:t>
      </w:r>
    </w:p>
    <w:p w14:paraId="45C1FEC3">
      <w:pPr>
        <w:pStyle w:val="20"/>
        <w:spacing w:before="156" w:after="156"/>
        <w:ind w:firstLine="480"/>
        <w:jc w:val="both"/>
        <w:rPr>
          <w:rFonts w:hint="eastAsia"/>
        </w:rPr>
      </w:pPr>
      <w:r>
        <w:rPr>
          <w:rFonts w:hint="eastAsia"/>
          <w:lang w:val="en-US" w:eastAsia="zh-CN"/>
        </w:rPr>
        <w:t>收购人已出具承诺，其参与认购本次发行的资金均为合法自有资金，不存在对外募集、代持、结构化安排或者直接间接使用上市公司及其其他关联方资金用于本次认购的情形；不存在上市公司及其其他主要股东直接或通过其利益相关方向收购人提供财务资助、补偿、承诺或变相承诺保底保收益或其他协议安排的情形；不存在认购资金来源于股权质押，发行完成后控股股东、实际控制人股权高比例质押风险的情况</w:t>
      </w:r>
      <w:r>
        <w:rPr>
          <w:rFonts w:hint="eastAsia"/>
        </w:rPr>
        <w:t>。</w:t>
      </w:r>
    </w:p>
    <w:p w14:paraId="5FA0A780">
      <w:pPr>
        <w:pStyle w:val="25"/>
        <w:spacing w:before="234" w:after="234"/>
      </w:pPr>
      <w:bookmarkStart w:id="40" w:name="_Toc3522"/>
      <w:r>
        <w:rPr>
          <w:rFonts w:hint="eastAsia"/>
          <w:lang w:val="en-US" w:eastAsia="zh-CN"/>
        </w:rPr>
        <w:t>八</w:t>
      </w:r>
      <w:r>
        <w:rPr>
          <w:rFonts w:hint="eastAsia"/>
        </w:rPr>
        <w:t>、对免于发出要约的情况的核查</w:t>
      </w:r>
      <w:bookmarkEnd w:id="40"/>
    </w:p>
    <w:p w14:paraId="486EECFE">
      <w:pPr>
        <w:pStyle w:val="21"/>
        <w:spacing w:before="156" w:after="156"/>
      </w:pPr>
      <w:r>
        <w:rPr>
          <w:rFonts w:hint="eastAsia"/>
        </w:rPr>
        <w:t xml:space="preserve">（一）免于发出要约的事项 </w:t>
      </w:r>
    </w:p>
    <w:p w14:paraId="3CC307E9">
      <w:pPr>
        <w:pStyle w:val="20"/>
        <w:spacing w:before="156" w:after="156"/>
        <w:ind w:firstLine="480"/>
        <w:jc w:val="both"/>
        <w:rPr>
          <w:rFonts w:hint="eastAsia"/>
          <w:lang w:val="en-US" w:eastAsia="zh-CN"/>
        </w:rPr>
      </w:pPr>
      <w:r>
        <w:rPr>
          <w:rFonts w:hint="eastAsia"/>
          <w:lang w:val="en-US" w:eastAsia="zh-CN"/>
        </w:rPr>
        <w:t>2025年11月【】日，收购人鼎耘产业与上市公司签订了《附条件生效的股份认购协议》，收购人拟以现金方式认购上市公司本次向特定对象发行的不超过58,032,000股（含）股票（最终认购数量以深交所审核通过以及中国证监会同意注册的批复为准，下同）。</w:t>
      </w:r>
    </w:p>
    <w:p w14:paraId="6ECE8768">
      <w:pPr>
        <w:pStyle w:val="20"/>
        <w:spacing w:before="156" w:after="156"/>
        <w:ind w:firstLine="480"/>
        <w:jc w:val="both"/>
      </w:pPr>
      <w:r>
        <w:rPr>
          <w:rFonts w:hint="eastAsia"/>
          <w:lang w:val="en-US" w:eastAsia="zh-CN"/>
        </w:rPr>
        <w:t>按照发行股份数量上限计算，本次发行后，收购人将直接持有上市公司不超过58,032,000股（含）股票，占上市公司本次发行后总股本的比例为不超过23.08%（含）；一致行动人鼎耘科技直接持有上市公司27,273,330股股票，占上市公司本次发行后总股本的比例为10.85%。本次收购后，收购人及其一致行动人合计持有公司不超过85,305,330股（含）股票，占上市公司本次发行后总股本的比例为不超过33.92%（含）。</w:t>
      </w:r>
      <w:r>
        <w:rPr>
          <w:rFonts w:hint="eastAsia"/>
        </w:rPr>
        <w:t>根据《证券法》《收购办法》等有关规定，本次收购的实施将触发对</w:t>
      </w:r>
      <w:r>
        <w:rPr>
          <w:rFonts w:hint="eastAsia"/>
          <w:lang w:val="en-US" w:eastAsia="zh-CN"/>
        </w:rPr>
        <w:t>上市公司</w:t>
      </w:r>
      <w:r>
        <w:rPr>
          <w:rFonts w:hint="eastAsia"/>
        </w:rPr>
        <w:t>的要约收购义务。</w:t>
      </w:r>
    </w:p>
    <w:p w14:paraId="378804E1">
      <w:pPr>
        <w:pStyle w:val="21"/>
        <w:spacing w:before="156" w:after="156"/>
      </w:pPr>
      <w:r>
        <w:rPr>
          <w:rFonts w:hint="eastAsia"/>
        </w:rPr>
        <w:t xml:space="preserve">（二）免于发出要约的法律依据 </w:t>
      </w:r>
    </w:p>
    <w:p w14:paraId="5A6BC7CF">
      <w:pPr>
        <w:pStyle w:val="20"/>
        <w:spacing w:before="156" w:after="156"/>
        <w:ind w:firstLine="480"/>
        <w:jc w:val="both"/>
        <w:rPr>
          <w:rFonts w:hint="eastAsia" w:eastAsia="宋体"/>
          <w:lang w:eastAsia="zh-CN"/>
        </w:rPr>
      </w:pPr>
      <w:r>
        <w:rPr>
          <w:rFonts w:hint="eastAsia"/>
        </w:rPr>
        <w:t>根据《收购办法》第六十</w:t>
      </w:r>
      <w:r>
        <w:rPr>
          <w:rFonts w:hint="eastAsia"/>
          <w:lang w:val="en-US" w:eastAsia="zh-CN"/>
        </w:rPr>
        <w:t>三</w:t>
      </w:r>
      <w:r>
        <w:rPr>
          <w:rFonts w:hint="eastAsia"/>
        </w:rPr>
        <w:t>条第</w:t>
      </w:r>
      <w:r>
        <w:rPr>
          <w:rFonts w:hint="eastAsia"/>
          <w:lang w:val="en-US" w:eastAsia="zh-CN"/>
        </w:rPr>
        <w:t>三款</w:t>
      </w:r>
      <w:r>
        <w:rPr>
          <w:rFonts w:hint="eastAsia"/>
        </w:rPr>
        <w:t>规定“</w:t>
      </w:r>
      <w:r>
        <w:rPr>
          <w:rFonts w:hint="eastAsia"/>
          <w:lang w:val="en-US" w:eastAsia="zh-CN"/>
        </w:rPr>
        <w:t>有下列情形之一的，投资者可以免于发出要约</w:t>
      </w:r>
      <w:r>
        <w:rPr>
          <w:rFonts w:hint="eastAsia"/>
        </w:rPr>
        <w:t>：</w:t>
      </w:r>
      <w:r>
        <w:rPr>
          <w:rFonts w:hint="eastAsia"/>
          <w:lang w:eastAsia="zh-CN"/>
        </w:rPr>
        <w:t>……</w:t>
      </w:r>
      <w:r>
        <w:rPr>
          <w:rFonts w:hint="eastAsia"/>
        </w:rPr>
        <w:t>（三）经上市公司股东会非关联股东批准，投资者取得上市公司向其发行的新股，导致其在该公司拥有权益的股份超过该公司已发行股份的30%，投资者承诺3年内不转让本次向其发行的新股，且公司股东会同意投资者免于发出要约。</w:t>
      </w:r>
      <w:r>
        <w:rPr>
          <w:rFonts w:hint="eastAsia"/>
          <w:lang w:eastAsia="zh-CN"/>
        </w:rPr>
        <w:t>……”</w:t>
      </w:r>
    </w:p>
    <w:p w14:paraId="7CDBF3C4">
      <w:pPr>
        <w:pStyle w:val="20"/>
        <w:bidi w:val="0"/>
        <w:spacing w:before="156" w:after="156"/>
        <w:ind w:firstLine="480"/>
        <w:jc w:val="both"/>
        <w:rPr>
          <w:rFonts w:hint="eastAsia"/>
          <w:lang w:eastAsia="zh-CN"/>
        </w:rPr>
      </w:pPr>
      <w:r>
        <w:rPr>
          <w:rFonts w:hint="eastAsia"/>
          <w:lang w:val="en-US" w:eastAsia="zh-CN"/>
        </w:rPr>
        <w:t>经核查，收购人鼎耘产业已承诺所认购的本次发行的股票自发行结束之日起三十六个月内不进行转让。待公司股东会非关联股东批准后，可</w:t>
      </w:r>
      <w:r>
        <w:rPr>
          <w:rFonts w:hint="eastAsia"/>
          <w:lang w:eastAsia="zh-CN"/>
        </w:rPr>
        <w:t>符合《收购办法》第六十</w:t>
      </w:r>
      <w:r>
        <w:rPr>
          <w:rFonts w:hint="eastAsia"/>
          <w:lang w:val="en-US" w:eastAsia="zh-CN"/>
        </w:rPr>
        <w:t>三</w:t>
      </w:r>
      <w:r>
        <w:rPr>
          <w:rFonts w:hint="eastAsia"/>
          <w:lang w:eastAsia="zh-CN"/>
        </w:rPr>
        <w:t>条第</w:t>
      </w:r>
      <w:r>
        <w:rPr>
          <w:rFonts w:hint="eastAsia"/>
          <w:lang w:val="en-US" w:eastAsia="zh-CN"/>
        </w:rPr>
        <w:t>三款</w:t>
      </w:r>
      <w:r>
        <w:rPr>
          <w:rFonts w:hint="eastAsia"/>
          <w:lang w:eastAsia="zh-CN"/>
        </w:rPr>
        <w:t>规定的</w:t>
      </w:r>
      <w:r>
        <w:rPr>
          <w:rFonts w:hint="eastAsia"/>
          <w:lang w:val="en-US" w:eastAsia="zh-CN"/>
        </w:rPr>
        <w:t>免于发出要约</w:t>
      </w:r>
      <w:r>
        <w:rPr>
          <w:rFonts w:hint="eastAsia"/>
          <w:lang w:eastAsia="zh-CN"/>
        </w:rPr>
        <w:t>的条件。</w:t>
      </w:r>
    </w:p>
    <w:p w14:paraId="6D1FFF61">
      <w:pPr>
        <w:pStyle w:val="25"/>
        <w:spacing w:before="234" w:after="234"/>
      </w:pPr>
      <w:bookmarkStart w:id="41" w:name="_Toc21263"/>
      <w:bookmarkStart w:id="42" w:name="_Toc27526"/>
      <w:r>
        <w:rPr>
          <w:rFonts w:hint="eastAsia"/>
          <w:lang w:val="en-US" w:eastAsia="zh-CN"/>
        </w:rPr>
        <w:t>九</w:t>
      </w:r>
      <w:r>
        <w:rPr>
          <w:rFonts w:hint="eastAsia"/>
        </w:rPr>
        <w:t>、对本次收购完成后的后续计划的核查</w:t>
      </w:r>
      <w:bookmarkEnd w:id="41"/>
      <w:bookmarkEnd w:id="42"/>
    </w:p>
    <w:p w14:paraId="133B4C8D">
      <w:pPr>
        <w:pStyle w:val="21"/>
        <w:bidi w:val="0"/>
      </w:pPr>
      <w:bookmarkStart w:id="43" w:name="_Toc46376166"/>
      <w:bookmarkStart w:id="44" w:name="_Toc28472"/>
      <w:bookmarkStart w:id="45" w:name="_Toc14736"/>
      <w:r>
        <w:rPr>
          <w:rFonts w:hint="eastAsia"/>
          <w:lang w:eastAsia="zh-CN"/>
        </w:rPr>
        <w:t>（</w:t>
      </w:r>
      <w:r>
        <w:rPr>
          <w:rFonts w:hint="eastAsia"/>
          <w:lang w:val="en-US" w:eastAsia="zh-CN"/>
        </w:rPr>
        <w:t>一</w:t>
      </w:r>
      <w:r>
        <w:rPr>
          <w:rFonts w:hint="eastAsia"/>
          <w:lang w:eastAsia="zh-CN"/>
        </w:rPr>
        <w:t>）</w:t>
      </w:r>
      <w:r>
        <w:rPr>
          <w:rFonts w:hint="eastAsia"/>
        </w:rPr>
        <w:t>未来12个月内改变上市公司主营业务或</w:t>
      </w:r>
      <w:bookmarkEnd w:id="43"/>
      <w:r>
        <w:rPr>
          <w:rFonts w:hint="eastAsia"/>
        </w:rPr>
        <w:t>者对上市公司主营业务作出重大调整</w:t>
      </w:r>
      <w:bookmarkEnd w:id="44"/>
      <w:bookmarkEnd w:id="45"/>
    </w:p>
    <w:p w14:paraId="3B47F688">
      <w:pPr>
        <w:spacing w:before="156"/>
        <w:ind w:firstLine="480"/>
        <w:rPr>
          <w:rFonts w:hint="eastAsia"/>
          <w:lang w:val="en-US" w:eastAsia="zh-CN"/>
        </w:rPr>
      </w:pPr>
      <w:bookmarkStart w:id="46" w:name="_Toc5096"/>
      <w:bookmarkStart w:id="47" w:name="_Toc7452"/>
      <w:bookmarkStart w:id="48" w:name="_Toc46376167"/>
      <w:r>
        <w:rPr>
          <w:rFonts w:hint="eastAsia"/>
          <w:lang w:val="en-US" w:eastAsia="zh-CN"/>
        </w:rPr>
        <w:t>经核查，截至本报告书签署日，收购人及一致行动人暂无未来12个月内改变上市公司主营业务或者对上市公司主营业务作出重大调整的具体计划。</w:t>
      </w:r>
    </w:p>
    <w:p w14:paraId="715AFB84">
      <w:pPr>
        <w:pStyle w:val="20"/>
        <w:spacing w:before="156" w:after="156"/>
        <w:ind w:firstLine="480"/>
        <w:jc w:val="both"/>
      </w:pPr>
      <w:r>
        <w:rPr>
          <w:rFonts w:hint="eastAsia"/>
          <w:lang w:val="en-US" w:eastAsia="zh-CN"/>
        </w:rPr>
        <w:t>如未来基于上市公司发展需要，或因市场、行业情况变化导致需要对上市公司主营业务做出重大调整的，收购人及一致行动人将严格遵照上市公司治理规则及法律法规要求履行相应程序，并及时履行信息披露义务</w:t>
      </w:r>
      <w:r>
        <w:rPr>
          <w:rFonts w:hint="eastAsia"/>
        </w:rPr>
        <w:t>。</w:t>
      </w:r>
    </w:p>
    <w:p w14:paraId="454A34A1">
      <w:pPr>
        <w:pStyle w:val="21"/>
        <w:bidi w:val="0"/>
      </w:pPr>
      <w:r>
        <w:rPr>
          <w:rFonts w:hint="eastAsia"/>
          <w:lang w:eastAsia="zh-CN"/>
        </w:rPr>
        <w:t>（</w:t>
      </w:r>
      <w:r>
        <w:rPr>
          <w:rFonts w:hint="eastAsia"/>
          <w:lang w:val="en-US" w:eastAsia="zh-CN"/>
        </w:rPr>
        <w:t>二</w:t>
      </w:r>
      <w:r>
        <w:rPr>
          <w:rFonts w:hint="eastAsia"/>
          <w:lang w:eastAsia="zh-CN"/>
        </w:rPr>
        <w:t>）</w:t>
      </w:r>
      <w:r>
        <w:rPr>
          <w:rFonts w:hint="eastAsia"/>
        </w:rPr>
        <w:t>未来12个月内对上市公司的重组计划</w:t>
      </w:r>
      <w:bookmarkEnd w:id="46"/>
      <w:bookmarkEnd w:id="47"/>
      <w:bookmarkEnd w:id="48"/>
    </w:p>
    <w:p w14:paraId="3C5A8647">
      <w:pPr>
        <w:pStyle w:val="20"/>
        <w:spacing w:before="156" w:after="156"/>
        <w:ind w:firstLine="480"/>
        <w:jc w:val="both"/>
        <w:rPr>
          <w:rFonts w:hint="eastAsia"/>
        </w:rPr>
      </w:pPr>
      <w:bookmarkStart w:id="49" w:name="_Toc46376168"/>
      <w:bookmarkStart w:id="50" w:name="_Toc13241"/>
      <w:bookmarkStart w:id="51" w:name="_Toc295"/>
      <w:r>
        <w:rPr>
          <w:rFonts w:hint="eastAsia"/>
          <w:lang w:val="en-US" w:eastAsia="zh-CN"/>
        </w:rPr>
        <w:t>经核查，截至本报告书签署日，收购人及一致行动人暂无在未来12个月对上市公司或其子公司的资产和业务进行出售、合并、与他人合资或合作的具体计划，暂无对上市公司拟购买或置换资产重组的具体计划。</w:t>
      </w:r>
    </w:p>
    <w:p w14:paraId="33395C46">
      <w:pPr>
        <w:pStyle w:val="20"/>
        <w:spacing w:before="156" w:after="156"/>
        <w:ind w:firstLine="480"/>
        <w:jc w:val="both"/>
        <w:rPr>
          <w:rFonts w:hint="eastAsia"/>
        </w:rPr>
      </w:pPr>
      <w:r>
        <w:rPr>
          <w:rFonts w:hint="eastAsia"/>
          <w:lang w:val="en-US" w:eastAsia="zh-CN"/>
        </w:rPr>
        <w:t>如果未来根据上市公司实际情况，需要筹划相关事项，收购人及一致行动人届时将严格按照相关法律法规的要求，履行相应的法律程序以及信息披露义务。</w:t>
      </w:r>
    </w:p>
    <w:p w14:paraId="40C9FE37">
      <w:pPr>
        <w:pStyle w:val="21"/>
        <w:bidi w:val="0"/>
      </w:pPr>
      <w:r>
        <w:rPr>
          <w:rFonts w:hint="eastAsia"/>
          <w:lang w:eastAsia="zh-CN"/>
        </w:rPr>
        <w:t>（</w:t>
      </w:r>
      <w:r>
        <w:rPr>
          <w:rFonts w:hint="eastAsia"/>
          <w:lang w:val="en-US" w:eastAsia="zh-CN"/>
        </w:rPr>
        <w:t>三</w:t>
      </w:r>
      <w:r>
        <w:rPr>
          <w:rFonts w:hint="eastAsia"/>
          <w:lang w:eastAsia="zh-CN"/>
        </w:rPr>
        <w:t>）</w:t>
      </w:r>
      <w:r>
        <w:rPr>
          <w:rFonts w:hint="eastAsia"/>
        </w:rPr>
        <w:t>改变上市公司现任董事会或高级管理人员的变更计划</w:t>
      </w:r>
      <w:bookmarkEnd w:id="49"/>
      <w:bookmarkEnd w:id="50"/>
      <w:bookmarkEnd w:id="51"/>
    </w:p>
    <w:p w14:paraId="5A0F4C3E">
      <w:pPr>
        <w:pStyle w:val="20"/>
        <w:spacing w:before="156" w:after="156"/>
        <w:ind w:firstLine="480"/>
        <w:jc w:val="both"/>
        <w:rPr>
          <w:rFonts w:hint="eastAsia"/>
          <w:lang w:val="en-US" w:eastAsia="zh-CN"/>
        </w:rPr>
      </w:pPr>
      <w:bookmarkStart w:id="52" w:name="_Toc2038"/>
      <w:r>
        <w:rPr>
          <w:rFonts w:hint="eastAsia"/>
          <w:lang w:val="en-US" w:eastAsia="zh-CN"/>
        </w:rPr>
        <w:t>经核查，截至本报告书签署日，收购人及一致行动人暂无调整上市公司现任董事、高级管理人员的具体计划。</w:t>
      </w:r>
    </w:p>
    <w:p w14:paraId="376BF5E5">
      <w:pPr>
        <w:pStyle w:val="20"/>
        <w:spacing w:before="156" w:after="156"/>
        <w:ind w:firstLine="480"/>
        <w:jc w:val="both"/>
        <w:rPr>
          <w:rFonts w:hint="eastAsia"/>
        </w:rPr>
      </w:pPr>
      <w:r>
        <w:rPr>
          <w:rFonts w:hint="eastAsia"/>
          <w:lang w:val="en-US" w:eastAsia="zh-CN"/>
        </w:rPr>
        <w:t xml:space="preserve">如果未来根据上市公司实际情况需要进行调整的，收购人及一致行动人届时将严格按照相关法律法规的要求，履行相应的法律程序以及信息披露义务。 </w:t>
      </w:r>
    </w:p>
    <w:p w14:paraId="208EAB17">
      <w:pPr>
        <w:pStyle w:val="21"/>
        <w:bidi w:val="0"/>
      </w:pPr>
      <w:r>
        <w:rPr>
          <w:rFonts w:hint="eastAsia"/>
          <w:lang w:eastAsia="zh-CN"/>
        </w:rPr>
        <w:t>（</w:t>
      </w:r>
      <w:r>
        <w:rPr>
          <w:rFonts w:hint="eastAsia"/>
          <w:lang w:val="en-US" w:eastAsia="zh-CN"/>
        </w:rPr>
        <w:t>四</w:t>
      </w:r>
      <w:r>
        <w:rPr>
          <w:rFonts w:hint="eastAsia"/>
          <w:lang w:eastAsia="zh-CN"/>
        </w:rPr>
        <w:t>）</w:t>
      </w:r>
      <w:r>
        <w:rPr>
          <w:rFonts w:hint="eastAsia"/>
        </w:rPr>
        <w:t>对可能阻碍收购上市公司控制权的公司章程条款进行修改的计划</w:t>
      </w:r>
      <w:bookmarkEnd w:id="52"/>
    </w:p>
    <w:p w14:paraId="55A0B7FE">
      <w:pPr>
        <w:pStyle w:val="20"/>
        <w:spacing w:before="156" w:after="156"/>
        <w:ind w:firstLine="480"/>
        <w:jc w:val="both"/>
      </w:pPr>
      <w:bookmarkStart w:id="53" w:name="_Toc6197"/>
      <w:bookmarkStart w:id="54" w:name="_Toc15178"/>
      <w:bookmarkStart w:id="55" w:name="_Toc46376170"/>
      <w:r>
        <w:rPr>
          <w:rFonts w:hint="eastAsia"/>
          <w:lang w:val="en-US" w:eastAsia="zh-CN"/>
        </w:rPr>
        <w:t>经核查，</w:t>
      </w:r>
      <w:r>
        <w:rPr>
          <w:rFonts w:hint="eastAsia"/>
        </w:rPr>
        <w:t>截至本报告书签署日，</w:t>
      </w:r>
      <w:r>
        <w:rPr>
          <w:rFonts w:hint="eastAsia"/>
          <w:lang w:val="en-US" w:eastAsia="zh-CN"/>
        </w:rPr>
        <w:t>收购人及一致行动人</w:t>
      </w:r>
      <w:r>
        <w:rPr>
          <w:rFonts w:hint="eastAsia"/>
        </w:rPr>
        <w:t>尚无拟对可能阻碍收购上市公司控制权的公司章程条款进行修改及修改的</w:t>
      </w:r>
      <w:r>
        <w:rPr>
          <w:rFonts w:hint="eastAsia"/>
          <w:lang w:val="en-US" w:eastAsia="zh-CN"/>
        </w:rPr>
        <w:t>计划</w:t>
      </w:r>
      <w:r>
        <w:rPr>
          <w:rFonts w:hint="eastAsia"/>
        </w:rPr>
        <w:t>。</w:t>
      </w:r>
    </w:p>
    <w:p w14:paraId="53590803">
      <w:pPr>
        <w:pStyle w:val="20"/>
        <w:spacing w:before="156" w:after="156"/>
        <w:ind w:firstLine="480"/>
        <w:jc w:val="both"/>
      </w:pPr>
      <w:r>
        <w:rPr>
          <w:rFonts w:hint="eastAsia"/>
        </w:rPr>
        <w:t>若未来基于上市公司的发展需求拟对上市公司章程条款进行调整，</w:t>
      </w:r>
      <w:r>
        <w:rPr>
          <w:rFonts w:hint="eastAsia"/>
          <w:lang w:val="en-US" w:eastAsia="zh-CN"/>
        </w:rPr>
        <w:t>收购人及一致行动人</w:t>
      </w:r>
      <w:r>
        <w:rPr>
          <w:rFonts w:hint="eastAsia"/>
        </w:rPr>
        <w:t>将严格按照相关法律法规要求，履行相应的法律程序以及信息披露义务。</w:t>
      </w:r>
    </w:p>
    <w:p w14:paraId="288DDE4E">
      <w:pPr>
        <w:pStyle w:val="21"/>
        <w:bidi w:val="0"/>
      </w:pPr>
      <w:r>
        <w:rPr>
          <w:rFonts w:hint="eastAsia"/>
          <w:lang w:eastAsia="zh-CN"/>
        </w:rPr>
        <w:t>（</w:t>
      </w:r>
      <w:r>
        <w:rPr>
          <w:rFonts w:hint="eastAsia"/>
          <w:lang w:val="en-US" w:eastAsia="zh-CN"/>
        </w:rPr>
        <w:t>五</w:t>
      </w:r>
      <w:r>
        <w:rPr>
          <w:rFonts w:hint="eastAsia"/>
          <w:lang w:eastAsia="zh-CN"/>
        </w:rPr>
        <w:t>）</w:t>
      </w:r>
      <w:r>
        <w:rPr>
          <w:rFonts w:hint="eastAsia"/>
        </w:rPr>
        <w:t>对上市公司现有员工聘用</w:t>
      </w:r>
      <w:r>
        <w:rPr>
          <w:rFonts w:hint="eastAsia"/>
          <w:lang w:val="en-US" w:eastAsia="zh-CN"/>
        </w:rPr>
        <w:t>计划</w:t>
      </w:r>
      <w:r>
        <w:rPr>
          <w:rFonts w:hint="eastAsia"/>
        </w:rPr>
        <w:t>作重大变动的计划</w:t>
      </w:r>
      <w:bookmarkEnd w:id="53"/>
      <w:bookmarkEnd w:id="54"/>
      <w:bookmarkEnd w:id="55"/>
    </w:p>
    <w:p w14:paraId="04B76658">
      <w:pPr>
        <w:pStyle w:val="20"/>
        <w:spacing w:before="156" w:after="156"/>
        <w:ind w:firstLine="480"/>
        <w:jc w:val="both"/>
        <w:rPr>
          <w:rFonts w:hint="eastAsia"/>
          <w:lang w:val="en-US" w:eastAsia="zh-CN"/>
        </w:rPr>
      </w:pPr>
      <w:bookmarkStart w:id="56" w:name="_Toc6731"/>
      <w:bookmarkStart w:id="57" w:name="_Toc46376171"/>
      <w:bookmarkStart w:id="58" w:name="_Toc263"/>
      <w:r>
        <w:rPr>
          <w:rFonts w:hint="eastAsia"/>
          <w:lang w:val="en-US" w:eastAsia="zh-CN"/>
        </w:rPr>
        <w:t>经核查，</w:t>
      </w:r>
      <w:r>
        <w:rPr>
          <w:rFonts w:hint="eastAsia"/>
        </w:rPr>
        <w:t>截至本报告书签署日，</w:t>
      </w:r>
      <w:r>
        <w:rPr>
          <w:rFonts w:hint="eastAsia"/>
          <w:lang w:val="en-US" w:eastAsia="zh-CN"/>
        </w:rPr>
        <w:t>收购人及一致行动人不存在对上市公司现有员工聘用计划作重大变动的具体计划。</w:t>
      </w:r>
    </w:p>
    <w:p w14:paraId="60FA62F4">
      <w:pPr>
        <w:pStyle w:val="20"/>
        <w:spacing w:before="156" w:after="156"/>
        <w:ind w:firstLine="480"/>
        <w:jc w:val="both"/>
        <w:rPr>
          <w:rFonts w:hint="eastAsia"/>
        </w:rPr>
      </w:pPr>
      <w:r>
        <w:rPr>
          <w:rFonts w:hint="eastAsia"/>
        </w:rPr>
        <w:t>若未来基于上市公司的发展需求拟对员工聘用计划进行重大调整，</w:t>
      </w:r>
      <w:r>
        <w:rPr>
          <w:rFonts w:hint="eastAsia"/>
          <w:lang w:val="en-US" w:eastAsia="zh-CN"/>
        </w:rPr>
        <w:t xml:space="preserve">收购人及一致行动人将严格按照有关法律、法规相关规定的要求，依法履行相关批准程序和信息披露义务。 </w:t>
      </w:r>
    </w:p>
    <w:p w14:paraId="10A54AD7">
      <w:pPr>
        <w:pStyle w:val="21"/>
        <w:bidi w:val="0"/>
      </w:pPr>
      <w:r>
        <w:rPr>
          <w:rFonts w:hint="eastAsia"/>
          <w:lang w:eastAsia="zh-CN"/>
        </w:rPr>
        <w:t>（</w:t>
      </w:r>
      <w:r>
        <w:rPr>
          <w:rFonts w:hint="eastAsia"/>
          <w:lang w:val="en-US" w:eastAsia="zh-CN"/>
        </w:rPr>
        <w:t>六</w:t>
      </w:r>
      <w:r>
        <w:rPr>
          <w:rFonts w:hint="eastAsia"/>
          <w:lang w:eastAsia="zh-CN"/>
        </w:rPr>
        <w:t>）</w:t>
      </w:r>
      <w:r>
        <w:rPr>
          <w:rFonts w:hint="eastAsia"/>
        </w:rPr>
        <w:t>对上市公司分红政策</w:t>
      </w:r>
      <w:r>
        <w:rPr>
          <w:rFonts w:hint="eastAsia"/>
          <w:lang w:val="en-US" w:eastAsia="zh-CN"/>
        </w:rPr>
        <w:t>的重大</w:t>
      </w:r>
      <w:r>
        <w:rPr>
          <w:rFonts w:hint="eastAsia"/>
        </w:rPr>
        <w:t>调整计划</w:t>
      </w:r>
      <w:bookmarkEnd w:id="56"/>
      <w:bookmarkEnd w:id="57"/>
      <w:bookmarkEnd w:id="58"/>
    </w:p>
    <w:p w14:paraId="3FCCC61E">
      <w:pPr>
        <w:pStyle w:val="20"/>
        <w:spacing w:before="156" w:after="156"/>
        <w:ind w:firstLine="480"/>
        <w:jc w:val="both"/>
      </w:pPr>
      <w:bookmarkStart w:id="59" w:name="_Toc46376172"/>
      <w:bookmarkStart w:id="60" w:name="_Toc24974"/>
      <w:bookmarkStart w:id="61" w:name="_Toc30866"/>
      <w:r>
        <w:rPr>
          <w:rFonts w:hint="eastAsia"/>
          <w:lang w:val="en-US" w:eastAsia="zh-CN"/>
        </w:rPr>
        <w:t>经核查，</w:t>
      </w:r>
      <w:r>
        <w:rPr>
          <w:rFonts w:hint="eastAsia"/>
        </w:rPr>
        <w:t>截至本报告书签署日，</w:t>
      </w:r>
      <w:r>
        <w:rPr>
          <w:rFonts w:hint="eastAsia"/>
          <w:lang w:val="en-US" w:eastAsia="zh-CN"/>
        </w:rPr>
        <w:t>收购人及一致行动人不存在</w:t>
      </w:r>
      <w:r>
        <w:rPr>
          <w:rFonts w:hint="eastAsia"/>
        </w:rPr>
        <w:t>对上市公司</w:t>
      </w:r>
      <w:r>
        <w:rPr>
          <w:rFonts w:hint="eastAsia"/>
          <w:lang w:val="en-US" w:eastAsia="zh-CN"/>
        </w:rPr>
        <w:t>现有</w:t>
      </w:r>
      <w:r>
        <w:rPr>
          <w:rFonts w:hint="eastAsia"/>
        </w:rPr>
        <w:t>分红政策进行重大调整的</w:t>
      </w:r>
      <w:r>
        <w:rPr>
          <w:rFonts w:hint="eastAsia"/>
          <w:lang w:val="en-US" w:eastAsia="zh-CN"/>
        </w:rPr>
        <w:t>具体</w:t>
      </w:r>
      <w:r>
        <w:rPr>
          <w:rFonts w:hint="eastAsia"/>
        </w:rPr>
        <w:t>计划。</w:t>
      </w:r>
    </w:p>
    <w:p w14:paraId="3B4F0F16">
      <w:pPr>
        <w:pStyle w:val="20"/>
        <w:spacing w:before="156" w:after="156"/>
        <w:ind w:firstLine="480"/>
        <w:jc w:val="both"/>
      </w:pPr>
      <w:r>
        <w:rPr>
          <w:rFonts w:hint="eastAsia"/>
        </w:rPr>
        <w:t>若未来基于上市公司的发展需求拟对上市公司分红政策进行重大调整，</w:t>
      </w:r>
      <w:r>
        <w:rPr>
          <w:rFonts w:hint="eastAsia"/>
          <w:lang w:val="en-US" w:eastAsia="zh-CN"/>
        </w:rPr>
        <w:t>收购人及一致行动人</w:t>
      </w:r>
      <w:r>
        <w:rPr>
          <w:rFonts w:hint="eastAsia"/>
        </w:rPr>
        <w:t>将严格按照相关法律法规要求，履行相应的法律程序以及信息披露义务。</w:t>
      </w:r>
    </w:p>
    <w:p w14:paraId="2816F884">
      <w:pPr>
        <w:pStyle w:val="21"/>
        <w:bidi w:val="0"/>
      </w:pPr>
      <w:r>
        <w:rPr>
          <w:rFonts w:hint="eastAsia"/>
          <w:lang w:eastAsia="zh-CN"/>
        </w:rPr>
        <w:t>（</w:t>
      </w:r>
      <w:r>
        <w:rPr>
          <w:rFonts w:hint="eastAsia"/>
          <w:lang w:val="en-US" w:eastAsia="zh-CN"/>
        </w:rPr>
        <w:t>七</w:t>
      </w:r>
      <w:r>
        <w:rPr>
          <w:rFonts w:hint="eastAsia"/>
          <w:lang w:eastAsia="zh-CN"/>
        </w:rPr>
        <w:t>）</w:t>
      </w:r>
      <w:r>
        <w:rPr>
          <w:rFonts w:hint="eastAsia"/>
        </w:rPr>
        <w:t>其他对上市公司业务和组织结构有重大影响的计划</w:t>
      </w:r>
      <w:bookmarkEnd w:id="59"/>
      <w:bookmarkEnd w:id="60"/>
      <w:bookmarkEnd w:id="61"/>
    </w:p>
    <w:p w14:paraId="57399853">
      <w:pPr>
        <w:pStyle w:val="20"/>
        <w:spacing w:before="156" w:after="156"/>
        <w:ind w:firstLine="480"/>
        <w:jc w:val="both"/>
      </w:pPr>
      <w:r>
        <w:rPr>
          <w:rFonts w:hint="eastAsia"/>
          <w:lang w:val="en-US" w:eastAsia="zh-CN"/>
        </w:rPr>
        <w:t>经核查，</w:t>
      </w:r>
      <w:r>
        <w:rPr>
          <w:rFonts w:hint="eastAsia"/>
        </w:rPr>
        <w:t>截至本报告书签署日，</w:t>
      </w:r>
      <w:r>
        <w:rPr>
          <w:rFonts w:hint="eastAsia"/>
          <w:lang w:val="en-US" w:eastAsia="zh-CN"/>
        </w:rPr>
        <w:t>收购人及一致行动人不存在</w:t>
      </w:r>
      <w:r>
        <w:rPr>
          <w:rFonts w:hint="eastAsia"/>
        </w:rPr>
        <w:t>其他对上市公司的业务和组织结构有重大影响的</w:t>
      </w:r>
      <w:r>
        <w:rPr>
          <w:rFonts w:hint="eastAsia"/>
          <w:lang w:val="en-US" w:eastAsia="zh-CN"/>
        </w:rPr>
        <w:t>具体</w:t>
      </w:r>
      <w:r>
        <w:rPr>
          <w:rFonts w:hint="eastAsia"/>
        </w:rPr>
        <w:t>计划。</w:t>
      </w:r>
    </w:p>
    <w:p w14:paraId="284DCA6F">
      <w:pPr>
        <w:pStyle w:val="20"/>
        <w:spacing w:before="156" w:after="156"/>
        <w:ind w:firstLine="480"/>
        <w:jc w:val="both"/>
      </w:pPr>
      <w:r>
        <w:rPr>
          <w:rFonts w:hint="eastAsia"/>
        </w:rPr>
        <w:t>若未来基于上市公司的发展需求拟进行其他对上市公司业务和组织结构有重大影响的调整，</w:t>
      </w:r>
      <w:r>
        <w:rPr>
          <w:rFonts w:hint="eastAsia"/>
          <w:lang w:val="en-US" w:eastAsia="zh-CN"/>
        </w:rPr>
        <w:t>收购人及一致行动人</w:t>
      </w:r>
      <w:r>
        <w:rPr>
          <w:rFonts w:hint="eastAsia"/>
        </w:rPr>
        <w:t>将严格按照相关法律法规要求，履行相应的法律程序以及信息披露义务。</w:t>
      </w:r>
    </w:p>
    <w:p w14:paraId="3CAE8A18">
      <w:pPr>
        <w:pStyle w:val="25"/>
        <w:spacing w:before="234" w:after="234"/>
      </w:pPr>
      <w:bookmarkStart w:id="62" w:name="_Toc8574"/>
      <w:bookmarkStart w:id="63" w:name="_Toc12830"/>
      <w:r>
        <w:rPr>
          <w:rFonts w:hint="eastAsia"/>
          <w:lang w:val="en-US" w:eastAsia="zh-CN"/>
        </w:rPr>
        <w:t>十</w:t>
      </w:r>
      <w:r>
        <w:rPr>
          <w:rFonts w:hint="eastAsia"/>
        </w:rPr>
        <w:t>、关于本次</w:t>
      </w:r>
      <w:r>
        <w:rPr>
          <w:rFonts w:hint="eastAsia"/>
          <w:lang w:val="en-US" w:eastAsia="zh-CN"/>
        </w:rPr>
        <w:t>收购</w:t>
      </w:r>
      <w:r>
        <w:rPr>
          <w:rFonts w:hint="eastAsia"/>
        </w:rPr>
        <w:t>对上市公司影响的核查</w:t>
      </w:r>
      <w:bookmarkEnd w:id="62"/>
      <w:bookmarkEnd w:id="63"/>
    </w:p>
    <w:p w14:paraId="02E362DC">
      <w:pPr>
        <w:pStyle w:val="21"/>
        <w:bidi w:val="0"/>
      </w:pPr>
      <w:bookmarkStart w:id="64" w:name="_Toc6059"/>
      <w:bookmarkStart w:id="65" w:name="_Toc46376174"/>
      <w:bookmarkStart w:id="66" w:name="_Toc21593"/>
      <w:r>
        <w:rPr>
          <w:rFonts w:hint="eastAsia"/>
          <w:lang w:eastAsia="zh-CN"/>
        </w:rPr>
        <w:t>（</w:t>
      </w:r>
      <w:r>
        <w:rPr>
          <w:rFonts w:hint="eastAsia"/>
          <w:lang w:val="en-US" w:eastAsia="zh-CN"/>
        </w:rPr>
        <w:t>一</w:t>
      </w:r>
      <w:r>
        <w:rPr>
          <w:rFonts w:hint="eastAsia"/>
          <w:lang w:eastAsia="zh-CN"/>
        </w:rPr>
        <w:t>）</w:t>
      </w:r>
      <w:r>
        <w:rPr>
          <w:rFonts w:hint="eastAsia"/>
        </w:rPr>
        <w:t>对上市公司独立性的影响</w:t>
      </w:r>
      <w:bookmarkEnd w:id="64"/>
      <w:bookmarkEnd w:id="65"/>
      <w:bookmarkEnd w:id="66"/>
    </w:p>
    <w:p w14:paraId="089D42C1">
      <w:pPr>
        <w:pStyle w:val="20"/>
        <w:spacing w:before="156" w:after="156"/>
        <w:ind w:firstLine="480"/>
        <w:jc w:val="both"/>
        <w:rPr>
          <w:rFonts w:hint="eastAsia"/>
        </w:rPr>
      </w:pPr>
      <w:bookmarkStart w:id="67" w:name="_Toc15159"/>
      <w:bookmarkStart w:id="68" w:name="_Toc19174"/>
      <w:r>
        <w:rPr>
          <w:rFonts w:hint="eastAsia"/>
          <w:lang w:val="en-US" w:eastAsia="zh-CN"/>
        </w:rPr>
        <w:t>经核查，</w:t>
      </w:r>
      <w:r>
        <w:rPr>
          <w:rFonts w:hint="eastAsia"/>
        </w:rPr>
        <w:t>本次</w:t>
      </w:r>
      <w:r>
        <w:rPr>
          <w:rFonts w:hint="eastAsia"/>
          <w:lang w:val="en-US" w:eastAsia="zh-CN"/>
        </w:rPr>
        <w:t>收购</w:t>
      </w:r>
      <w:r>
        <w:rPr>
          <w:rFonts w:hint="eastAsia"/>
        </w:rPr>
        <w:t>完成后，</w:t>
      </w:r>
      <w:r>
        <w:rPr>
          <w:rFonts w:hint="eastAsia"/>
          <w:lang w:val="en-US" w:eastAsia="zh-CN"/>
        </w:rPr>
        <w:t>收购人及其实际控制人、一致行动人</w:t>
      </w:r>
      <w:r>
        <w:rPr>
          <w:rFonts w:hint="eastAsia"/>
        </w:rPr>
        <w:t>将按照有关法律法规及上市公司《公司章程》的规定行使权利并履行相应的股东义务，上市公司仍将具有独立的法人资格，具有较为完善的法人治理结构，在人员、资产、财务、机构、业务等方面保持独立</w:t>
      </w:r>
      <w:r>
        <w:rPr>
          <w:rFonts w:hint="eastAsia"/>
          <w:lang w:eastAsia="zh-CN"/>
        </w:rPr>
        <w:t>；</w:t>
      </w:r>
      <w:r>
        <w:rPr>
          <w:rFonts w:hint="eastAsia"/>
        </w:rPr>
        <w:t>具有面向市场独立经营的能力，</w:t>
      </w:r>
      <w:r>
        <w:rPr>
          <w:rFonts w:hint="eastAsia"/>
          <w:lang w:eastAsia="zh-CN"/>
        </w:rPr>
        <w:t>在采购、生产、销售、知识产权等方面保持独立</w:t>
      </w:r>
      <w:r>
        <w:rPr>
          <w:rFonts w:hint="eastAsia"/>
        </w:rPr>
        <w:t>。</w:t>
      </w:r>
    </w:p>
    <w:p w14:paraId="24FCC36F">
      <w:pPr>
        <w:pStyle w:val="20"/>
        <w:spacing w:before="156" w:after="156"/>
        <w:ind w:firstLine="480"/>
        <w:jc w:val="both"/>
        <w:rPr>
          <w:rFonts w:hint="eastAsia"/>
        </w:rPr>
      </w:pPr>
      <w:r>
        <w:rPr>
          <w:rFonts w:hint="eastAsia"/>
          <w:lang w:val="en-US" w:eastAsia="zh-CN"/>
        </w:rPr>
        <w:t>为保持上市公司独立性，收购人及其实际控制人、一致行动人已出具《关于保持上市公司独立性的承诺函》，承诺在本次收购完成后保证上市公司的独立性，具体承诺如下：</w:t>
      </w:r>
    </w:p>
    <w:p w14:paraId="3F7AAB4A">
      <w:pPr>
        <w:pStyle w:val="20"/>
        <w:spacing w:before="156" w:after="156"/>
        <w:ind w:firstLine="480"/>
      </w:pPr>
      <w:r>
        <w:rPr>
          <w:rFonts w:hint="eastAsia"/>
        </w:rPr>
        <w:t>“一</w:t>
      </w:r>
      <w:r>
        <w:rPr>
          <w:rFonts w:hint="eastAsia"/>
          <w:lang w:eastAsia="zh-CN"/>
        </w:rPr>
        <w:t>、</w:t>
      </w:r>
      <w:r>
        <w:rPr>
          <w:rFonts w:hint="eastAsia"/>
        </w:rPr>
        <w:t>保证</w:t>
      </w:r>
      <w:r>
        <w:rPr>
          <w:rFonts w:hint="eastAsia"/>
          <w:sz w:val="24"/>
        </w:rPr>
        <w:t>上市公司</w:t>
      </w:r>
      <w:r>
        <w:rPr>
          <w:rFonts w:hint="eastAsia"/>
        </w:rPr>
        <w:t>人员独立</w:t>
      </w:r>
    </w:p>
    <w:p w14:paraId="62760ECD">
      <w:pPr>
        <w:pStyle w:val="20"/>
        <w:spacing w:before="156" w:after="156"/>
        <w:ind w:firstLine="480"/>
        <w:rPr>
          <w:rFonts w:hint="eastAsia"/>
        </w:rPr>
      </w:pPr>
      <w:r>
        <w:rPr>
          <w:rFonts w:hint="eastAsia"/>
        </w:rPr>
        <w:t>1、保证上市公司的总经理、副总经理、财务总监、董事会秘书等高级管理人员不在</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控制的其他企业担任除董事、监事以外的其他职务，且不在</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控制的其他企业领薪；保证上市公司的财务人员不在</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控制的其他企业中兼职、领薪；</w:t>
      </w:r>
    </w:p>
    <w:p w14:paraId="0E3109EC">
      <w:pPr>
        <w:pStyle w:val="20"/>
        <w:spacing w:before="156" w:after="156"/>
        <w:ind w:firstLine="480"/>
        <w:rPr>
          <w:rFonts w:hint="eastAsia"/>
        </w:rPr>
      </w:pPr>
      <w:r>
        <w:rPr>
          <w:rFonts w:hint="eastAsia"/>
        </w:rPr>
        <w:t>2、保证上市公司的劳动、人事关系及薪酬管理体系与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控制的其他企业之间独立；</w:t>
      </w:r>
    </w:p>
    <w:p w14:paraId="50B10749">
      <w:pPr>
        <w:pStyle w:val="20"/>
        <w:spacing w:before="156" w:after="156"/>
        <w:ind w:firstLine="480"/>
      </w:pPr>
      <w:r>
        <w:rPr>
          <w:rFonts w:hint="eastAsia"/>
        </w:rPr>
        <w:t>3、</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控制的其他企业向上市公司推荐董事、监事、总经理等高级管理人员人选均通过合法程序进行，不会超越上市公司董事会和股东会作出人事任免决定。</w:t>
      </w:r>
    </w:p>
    <w:p w14:paraId="63C08904">
      <w:pPr>
        <w:pStyle w:val="20"/>
        <w:spacing w:before="156" w:after="156"/>
        <w:ind w:firstLine="480"/>
      </w:pPr>
      <w:r>
        <w:rPr>
          <w:rFonts w:hint="eastAsia"/>
        </w:rPr>
        <w:t>二</w:t>
      </w:r>
      <w:r>
        <w:rPr>
          <w:rFonts w:hint="eastAsia"/>
          <w:lang w:eastAsia="zh-CN"/>
        </w:rPr>
        <w:t>、</w:t>
      </w:r>
      <w:r>
        <w:rPr>
          <w:rFonts w:hint="eastAsia"/>
        </w:rPr>
        <w:t>保证</w:t>
      </w:r>
      <w:r>
        <w:rPr>
          <w:rFonts w:hint="eastAsia"/>
          <w:sz w:val="24"/>
        </w:rPr>
        <w:t>上市公司</w:t>
      </w:r>
      <w:r>
        <w:rPr>
          <w:rFonts w:hint="eastAsia"/>
        </w:rPr>
        <w:t>资产独立完整</w:t>
      </w:r>
    </w:p>
    <w:p w14:paraId="61A0D9B9">
      <w:pPr>
        <w:pStyle w:val="20"/>
        <w:spacing w:before="156" w:after="156"/>
        <w:ind w:firstLine="480"/>
      </w:pPr>
      <w:r>
        <w:t>1</w:t>
      </w:r>
      <w:r>
        <w:rPr>
          <w:rFonts w:hint="eastAsia"/>
        </w:rPr>
        <w:t>、保证上市公司具有与经营有关的业务体系和相关的独立完整的资产；</w:t>
      </w:r>
    </w:p>
    <w:p w14:paraId="1DD24014">
      <w:pPr>
        <w:pStyle w:val="20"/>
        <w:spacing w:before="156" w:after="156"/>
        <w:ind w:firstLine="480"/>
      </w:pPr>
      <w:r>
        <w:t>2</w:t>
      </w:r>
      <w:r>
        <w:rPr>
          <w:rFonts w:hint="eastAsia"/>
        </w:rPr>
        <w:t>、保证</w:t>
      </w:r>
      <w:r>
        <w:rPr>
          <w:rFonts w:hint="eastAsia"/>
          <w:sz w:val="24"/>
        </w:rPr>
        <w:t>上市公司</w:t>
      </w:r>
      <w:r>
        <w:rPr>
          <w:rFonts w:hint="eastAsia"/>
        </w:rPr>
        <w:t>不存在资金、资产被</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下属企业占用的情形。</w:t>
      </w:r>
    </w:p>
    <w:p w14:paraId="6394865C">
      <w:pPr>
        <w:pStyle w:val="20"/>
        <w:spacing w:before="156" w:after="156"/>
        <w:ind w:firstLine="480"/>
      </w:pPr>
      <w:r>
        <w:rPr>
          <w:rFonts w:hint="eastAsia"/>
        </w:rPr>
        <w:t>三</w:t>
      </w:r>
      <w:r>
        <w:rPr>
          <w:rFonts w:hint="eastAsia"/>
          <w:lang w:eastAsia="zh-CN"/>
        </w:rPr>
        <w:t>、</w:t>
      </w:r>
      <w:r>
        <w:rPr>
          <w:rFonts w:hint="eastAsia"/>
        </w:rPr>
        <w:t>保证</w:t>
      </w:r>
      <w:r>
        <w:rPr>
          <w:rFonts w:hint="eastAsia"/>
          <w:sz w:val="24"/>
        </w:rPr>
        <w:t>上市公司</w:t>
      </w:r>
      <w:r>
        <w:rPr>
          <w:rFonts w:hint="eastAsia"/>
        </w:rPr>
        <w:t>的财务独立</w:t>
      </w:r>
    </w:p>
    <w:p w14:paraId="5F5E3AEC">
      <w:pPr>
        <w:pStyle w:val="20"/>
        <w:spacing w:before="156" w:after="156"/>
        <w:ind w:firstLine="480"/>
        <w:rPr>
          <w:rFonts w:hint="eastAsia"/>
          <w:lang w:eastAsia="zh-CN"/>
        </w:rPr>
      </w:pPr>
      <w:r>
        <w:rPr>
          <w:rFonts w:hint="eastAsia"/>
        </w:rPr>
        <w:t>1、保证上市公司建立独立的财务会计部门和独立的财务核算体系</w:t>
      </w:r>
      <w:r>
        <w:rPr>
          <w:rFonts w:hint="eastAsia"/>
          <w:lang w:eastAsia="zh-CN"/>
        </w:rPr>
        <w:t>；</w:t>
      </w:r>
    </w:p>
    <w:p w14:paraId="331F493D">
      <w:pPr>
        <w:pStyle w:val="20"/>
        <w:spacing w:before="156" w:after="156"/>
        <w:ind w:firstLine="480"/>
        <w:rPr>
          <w:rFonts w:hint="eastAsia"/>
          <w:lang w:eastAsia="zh-CN"/>
        </w:rPr>
      </w:pPr>
      <w:r>
        <w:rPr>
          <w:rFonts w:hint="eastAsia"/>
        </w:rPr>
        <w:t>2、保证上市公司具有规范、独立的财务会计制度和对分公司、子公司的财务管理制度</w:t>
      </w:r>
      <w:r>
        <w:rPr>
          <w:rFonts w:hint="eastAsia"/>
          <w:lang w:eastAsia="zh-CN"/>
        </w:rPr>
        <w:t>；</w:t>
      </w:r>
    </w:p>
    <w:p w14:paraId="7B7F7C84">
      <w:pPr>
        <w:pStyle w:val="20"/>
        <w:spacing w:before="156" w:after="156"/>
        <w:ind w:firstLine="480"/>
        <w:rPr>
          <w:rFonts w:hint="eastAsia"/>
          <w:lang w:eastAsia="zh-CN"/>
        </w:rPr>
      </w:pPr>
      <w:r>
        <w:rPr>
          <w:rFonts w:hint="eastAsia"/>
        </w:rPr>
        <w:t>3、保证上市公司及其子公司能够独立做出财务决策，</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w:t>
      </w:r>
      <w:r>
        <w:rPr>
          <w:rFonts w:hint="eastAsia"/>
          <w:lang w:val="en-US" w:eastAsia="zh-CN"/>
        </w:rPr>
        <w:t>其他企业</w:t>
      </w:r>
      <w:r>
        <w:rPr>
          <w:rFonts w:hint="eastAsia"/>
        </w:rPr>
        <w:t>不干预上市公司的资金使用、调度</w:t>
      </w:r>
      <w:r>
        <w:rPr>
          <w:rFonts w:hint="eastAsia"/>
          <w:lang w:eastAsia="zh-CN"/>
        </w:rPr>
        <w:t>；</w:t>
      </w:r>
    </w:p>
    <w:p w14:paraId="4B4F7FB8">
      <w:pPr>
        <w:pStyle w:val="20"/>
        <w:spacing w:before="156" w:after="156"/>
        <w:ind w:firstLine="480"/>
        <w:rPr>
          <w:rFonts w:hint="eastAsia"/>
          <w:lang w:eastAsia="zh-CN"/>
        </w:rPr>
      </w:pPr>
      <w:r>
        <w:rPr>
          <w:rFonts w:hint="eastAsia"/>
        </w:rPr>
        <w:t>4、保证上市公司及其子公司独立在银行开户，不与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控制的其他企业共用一个银行账户</w:t>
      </w:r>
      <w:r>
        <w:rPr>
          <w:rFonts w:hint="eastAsia"/>
          <w:lang w:eastAsia="zh-CN"/>
        </w:rPr>
        <w:t>；</w:t>
      </w:r>
    </w:p>
    <w:p w14:paraId="6C2FEC2D">
      <w:pPr>
        <w:pStyle w:val="20"/>
        <w:spacing w:before="156" w:after="156"/>
        <w:ind w:firstLine="480"/>
      </w:pPr>
      <w:r>
        <w:rPr>
          <w:rFonts w:hint="eastAsia"/>
        </w:rPr>
        <w:t>5、保证上市公司及其子公司依法独立纳税。</w:t>
      </w:r>
    </w:p>
    <w:p w14:paraId="110B7B8E">
      <w:pPr>
        <w:pStyle w:val="20"/>
        <w:spacing w:before="156" w:after="156"/>
        <w:ind w:firstLine="480"/>
      </w:pPr>
      <w:r>
        <w:rPr>
          <w:rFonts w:hint="eastAsia"/>
        </w:rPr>
        <w:t>四</w:t>
      </w:r>
      <w:r>
        <w:rPr>
          <w:rFonts w:hint="eastAsia"/>
          <w:lang w:eastAsia="zh-CN"/>
        </w:rPr>
        <w:t>、</w:t>
      </w:r>
      <w:r>
        <w:rPr>
          <w:rFonts w:hint="eastAsia"/>
        </w:rPr>
        <w:t>保证</w:t>
      </w:r>
      <w:r>
        <w:rPr>
          <w:rFonts w:hint="eastAsia"/>
          <w:sz w:val="24"/>
        </w:rPr>
        <w:t>上市公司</w:t>
      </w:r>
      <w:r>
        <w:rPr>
          <w:rFonts w:hint="eastAsia"/>
        </w:rPr>
        <w:t>机构独立</w:t>
      </w:r>
    </w:p>
    <w:p w14:paraId="31A5CA19">
      <w:pPr>
        <w:pStyle w:val="20"/>
        <w:spacing w:before="156" w:after="156"/>
        <w:ind w:firstLine="480"/>
        <w:rPr>
          <w:rFonts w:hint="eastAsia"/>
        </w:rPr>
      </w:pPr>
      <w:r>
        <w:rPr>
          <w:rFonts w:hint="eastAsia"/>
        </w:rPr>
        <w:t>1、保证上市公司建立健全股份公司法人治理结构，拥有独立、完整的组织机构；</w:t>
      </w:r>
    </w:p>
    <w:p w14:paraId="35616530">
      <w:pPr>
        <w:pStyle w:val="20"/>
        <w:spacing w:before="156" w:after="156"/>
        <w:ind w:firstLine="480"/>
        <w:rPr>
          <w:rFonts w:hint="eastAsia"/>
        </w:rPr>
      </w:pPr>
      <w:r>
        <w:rPr>
          <w:rFonts w:hint="eastAsia"/>
        </w:rPr>
        <w:t>2、保证上市公司的股东会、董事会、独立董事、总经理等依照法律、法规和公司章程独立行使职权；</w:t>
      </w:r>
    </w:p>
    <w:p w14:paraId="7BC273F7">
      <w:pPr>
        <w:pStyle w:val="20"/>
        <w:spacing w:before="156" w:after="156"/>
        <w:ind w:firstLine="480"/>
        <w:rPr>
          <w:rFonts w:hint="eastAsia"/>
        </w:rPr>
      </w:pPr>
      <w:r>
        <w:rPr>
          <w:rFonts w:hint="eastAsia"/>
        </w:rPr>
        <w:t>3、保证上市公司及其子公司与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控制的其他企业之间在办公机构和生产经营场所等方面完全分开，不存在机构混同的情形；</w:t>
      </w:r>
    </w:p>
    <w:p w14:paraId="26656244">
      <w:pPr>
        <w:pStyle w:val="20"/>
        <w:spacing w:before="156" w:after="156"/>
        <w:ind w:firstLine="480"/>
      </w:pPr>
      <w:r>
        <w:rPr>
          <w:rFonts w:hint="eastAsia"/>
        </w:rPr>
        <w:t>4、保证上市公司及其子公司独立自主地运作，</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不会超越股东会直接或间接干预上市公司的决策和经营。</w:t>
      </w:r>
    </w:p>
    <w:p w14:paraId="06547C84">
      <w:pPr>
        <w:pStyle w:val="20"/>
        <w:spacing w:before="156" w:after="156"/>
        <w:ind w:firstLine="480"/>
      </w:pPr>
      <w:r>
        <w:rPr>
          <w:rFonts w:hint="eastAsia"/>
        </w:rPr>
        <w:t>五</w:t>
      </w:r>
      <w:r>
        <w:rPr>
          <w:rFonts w:hint="eastAsia"/>
          <w:lang w:eastAsia="zh-CN"/>
        </w:rPr>
        <w:t>、</w:t>
      </w:r>
      <w:r>
        <w:rPr>
          <w:rFonts w:hint="eastAsia"/>
        </w:rPr>
        <w:t>保证</w:t>
      </w:r>
      <w:r>
        <w:rPr>
          <w:rFonts w:hint="eastAsia"/>
          <w:sz w:val="24"/>
        </w:rPr>
        <w:t>上市公司</w:t>
      </w:r>
      <w:r>
        <w:rPr>
          <w:rFonts w:hint="eastAsia"/>
        </w:rPr>
        <w:t>业务独立</w:t>
      </w:r>
    </w:p>
    <w:p w14:paraId="7EAB1703">
      <w:pPr>
        <w:pStyle w:val="20"/>
        <w:spacing w:before="156" w:after="156"/>
        <w:ind w:firstLine="480"/>
        <w:rPr>
          <w:rFonts w:hint="eastAsia" w:eastAsia="宋体"/>
          <w:lang w:eastAsia="zh-CN"/>
        </w:rPr>
      </w:pPr>
      <w:r>
        <w:rPr>
          <w:rFonts w:hint="eastAsia"/>
        </w:rPr>
        <w:t>1、保证上市公司继续拥有独立开展经营活动的资产、人员、资质和能力,具有面向市场独立自主持续经营的能力</w:t>
      </w:r>
      <w:r>
        <w:rPr>
          <w:rFonts w:hint="eastAsia"/>
          <w:lang w:eastAsia="zh-CN"/>
        </w:rPr>
        <w:t>；</w:t>
      </w:r>
    </w:p>
    <w:p w14:paraId="37F21124">
      <w:pPr>
        <w:pStyle w:val="20"/>
        <w:spacing w:before="156" w:after="156"/>
        <w:ind w:firstLine="480"/>
        <w:rPr>
          <w:rFonts w:hint="eastAsia" w:eastAsia="宋体"/>
          <w:lang w:eastAsia="zh-CN"/>
        </w:rPr>
      </w:pPr>
      <w:r>
        <w:rPr>
          <w:rFonts w:hint="eastAsia"/>
        </w:rPr>
        <w:t>2、保证</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控制的其他企业避免从事与上市公司主营业务具有实质性同业竟争的业务</w:t>
      </w:r>
      <w:r>
        <w:rPr>
          <w:rFonts w:hint="eastAsia"/>
          <w:lang w:eastAsia="zh-CN"/>
        </w:rPr>
        <w:t>；</w:t>
      </w:r>
    </w:p>
    <w:p w14:paraId="35373FEB">
      <w:pPr>
        <w:pStyle w:val="20"/>
        <w:spacing w:before="156" w:after="156"/>
        <w:ind w:firstLine="480"/>
        <w:jc w:val="both"/>
      </w:pPr>
      <w:r>
        <w:rPr>
          <w:rFonts w:hint="eastAsia"/>
        </w:rPr>
        <w:t>3、保证尽量减少</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控制的其他企业与上市公司的关联交易</w:t>
      </w:r>
      <w:r>
        <w:rPr>
          <w:rFonts w:hint="eastAsia"/>
          <w:lang w:eastAsia="zh-CN"/>
        </w:rPr>
        <w:t>；</w:t>
      </w:r>
      <w:r>
        <w:rPr>
          <w:rFonts w:hint="eastAsia"/>
        </w:rPr>
        <w:t>在进行确有必要且无法避免的关联交易时,将依法签订协议</w:t>
      </w:r>
      <w:r>
        <w:rPr>
          <w:rFonts w:hint="eastAsia"/>
          <w:lang w:eastAsia="zh-CN"/>
        </w:rPr>
        <w:t>，</w:t>
      </w:r>
      <w:r>
        <w:rPr>
          <w:rFonts w:hint="eastAsia"/>
        </w:rPr>
        <w:t>并将按照有关法律</w:t>
      </w:r>
      <w:r>
        <w:rPr>
          <w:rFonts w:hint="eastAsia"/>
          <w:lang w:eastAsia="zh-CN"/>
        </w:rPr>
        <w:t>、</w:t>
      </w:r>
      <w:r>
        <w:rPr>
          <w:rFonts w:hint="eastAsia"/>
        </w:rPr>
        <w:t>法规、上市公司的公司章程等规定</w:t>
      </w:r>
      <w:r>
        <w:rPr>
          <w:rFonts w:hint="eastAsia"/>
          <w:lang w:eastAsia="zh-CN"/>
        </w:rPr>
        <w:t>，</w:t>
      </w:r>
      <w:r>
        <w:rPr>
          <w:rFonts w:hint="eastAsia"/>
        </w:rPr>
        <w:t>履行必要的法定程序。”</w:t>
      </w:r>
    </w:p>
    <w:p w14:paraId="2816CBE3">
      <w:pPr>
        <w:pStyle w:val="21"/>
        <w:bidi w:val="0"/>
      </w:pPr>
      <w:r>
        <w:rPr>
          <w:rFonts w:hint="eastAsia"/>
          <w:lang w:eastAsia="zh-CN"/>
        </w:rPr>
        <w:t>（</w:t>
      </w:r>
      <w:r>
        <w:rPr>
          <w:rFonts w:hint="eastAsia"/>
          <w:lang w:val="en-US" w:eastAsia="zh-CN"/>
        </w:rPr>
        <w:t>二</w:t>
      </w:r>
      <w:r>
        <w:rPr>
          <w:rFonts w:hint="eastAsia"/>
          <w:lang w:eastAsia="zh-CN"/>
        </w:rPr>
        <w:t>）</w:t>
      </w:r>
      <w:r>
        <w:rPr>
          <w:rFonts w:hint="eastAsia"/>
        </w:rPr>
        <w:t>对同业竞争的影响</w:t>
      </w:r>
      <w:bookmarkEnd w:id="67"/>
      <w:bookmarkEnd w:id="68"/>
    </w:p>
    <w:p w14:paraId="231FE79A">
      <w:pPr>
        <w:pStyle w:val="20"/>
        <w:spacing w:before="156" w:after="156"/>
        <w:ind w:firstLine="480"/>
        <w:jc w:val="both"/>
        <w:rPr>
          <w:rFonts w:hint="eastAsia"/>
          <w:lang w:val="en-US" w:eastAsia="zh-CN"/>
        </w:rPr>
      </w:pPr>
      <w:bookmarkStart w:id="69" w:name="_Toc2243"/>
      <w:bookmarkStart w:id="70" w:name="_Toc12144"/>
      <w:r>
        <w:rPr>
          <w:rFonts w:hint="eastAsia"/>
          <w:lang w:val="en-US" w:eastAsia="zh-CN"/>
        </w:rPr>
        <w:t>经核查，汇源通信及其子公司主要从事光纤光缆、光通信设备及配套产品研发、制造、销售和通信及信息系统软件开发、工程设计、系统集成及相关服务。收购人鼎耘产业成立于2025年8月27日，其设立至今尚未开展实际经营业务；一致行动人鼎耘科技为持股平台，暂无实际业务经营活动，上述企业/公司与上市公司均不存在同业竞争。收购人及一致行动人的控股股东、实际控制人控制的企业中，其中湖北芯映光电有限公司专注于第五代显示器件Mini&amp;Micro LED的研发、制造与销售，致力于发展全球先进的显示封装技术；其控制的</w:t>
      </w:r>
      <w:r>
        <w:t>武汉芯享光电科技有限公司</w:t>
      </w:r>
      <w:r>
        <w:rPr>
          <w:rFonts w:hint="eastAsia"/>
          <w:lang w:val="en-US" w:eastAsia="zh-CN"/>
        </w:rPr>
        <w:t>目前未开展实际经营；其他企业主要从事私募基金及投资管理业务、物业、地产、酒店管理、餐饮、商超、小额贷款等领域，上述企业与上市公司之间不存在同业竞争的情形。</w:t>
      </w:r>
    </w:p>
    <w:p w14:paraId="2B2DDD0D">
      <w:pPr>
        <w:pStyle w:val="20"/>
        <w:spacing w:before="156" w:after="156"/>
        <w:ind w:firstLine="480"/>
        <w:jc w:val="both"/>
      </w:pPr>
      <w:r>
        <w:rPr>
          <w:rFonts w:hint="eastAsia"/>
        </w:rPr>
        <w:t>为维护上市公司全体股东利益，保证上市公司的长期稳定发展，</w:t>
      </w:r>
      <w:r>
        <w:rPr>
          <w:rFonts w:hint="eastAsia"/>
          <w:lang w:val="en-US" w:eastAsia="zh-CN"/>
        </w:rPr>
        <w:t>收购人及其实际控制人、一致行动人</w:t>
      </w:r>
      <w:r>
        <w:rPr>
          <w:rFonts w:hint="eastAsia"/>
        </w:rPr>
        <w:t>就同业竞争事宜已出具《关于避免同业竞争的承诺函》，承诺如下：</w:t>
      </w:r>
    </w:p>
    <w:p w14:paraId="78557AB0">
      <w:pPr>
        <w:pStyle w:val="39"/>
        <w:numPr>
          <w:ilvl w:val="0"/>
          <w:numId w:val="0"/>
        </w:numPr>
        <w:ind w:firstLine="480" w:firstLineChars="200"/>
        <w:rPr>
          <w:rFonts w:hint="eastAsia" w:ascii="Times New Roman" w:hAnsi="Times New Roman" w:eastAsia="宋体" w:cs="Times New Roman"/>
          <w:kern w:val="2"/>
          <w:sz w:val="24"/>
          <w:szCs w:val="24"/>
          <w:lang w:val="en-US" w:eastAsia="zh-CN" w:bidi="ar-SA"/>
        </w:rPr>
      </w:pPr>
      <w:r>
        <w:rPr>
          <w:rFonts w:hint="eastAsia"/>
        </w:rPr>
        <w:t>“</w:t>
      </w:r>
      <w:r>
        <w:rPr>
          <w:rFonts w:hint="eastAsia" w:ascii="Times New Roman" w:hAnsi="Times New Roman" w:eastAsia="宋体" w:cs="Times New Roman"/>
          <w:kern w:val="2"/>
          <w:sz w:val="24"/>
          <w:szCs w:val="24"/>
          <w:lang w:val="en-US" w:eastAsia="zh-CN" w:bidi="ar-SA"/>
        </w:rPr>
        <w:t>1、截至本承诺函签署之日，</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控制的企业与上市公司及其控股子公司间不存在同业竞争；</w:t>
      </w:r>
    </w:p>
    <w:p w14:paraId="2B5221BE">
      <w:pPr>
        <w:pStyle w:val="39"/>
        <w:numPr>
          <w:ilvl w:val="0"/>
          <w:numId w:val="0"/>
        </w:numPr>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保证严格遵守法律、法规、规章、规范性文件以及上市公司章程及其相关管理制度的规定，不利用上市公司第一大股东的地位谋求不正当利益，损害上市公司及其股东尤其是中小股东的合法权益；</w:t>
      </w:r>
    </w:p>
    <w:p w14:paraId="1E665059">
      <w:pPr>
        <w:pStyle w:val="39"/>
        <w:numPr>
          <w:ilvl w:val="0"/>
          <w:numId w:val="0"/>
        </w:numPr>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将采取积极措施避免发生与上市公司及其控股子公司主营业务有竞争或可能构成竞争的业务或活动，并促使</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控制企业避免发生与上市公司及其控股子公司主营业务有竞争或可能构成竞争的业务或活动；</w:t>
      </w:r>
    </w:p>
    <w:p w14:paraId="4B948A3B">
      <w:pPr>
        <w:pStyle w:val="39"/>
        <w:numPr>
          <w:ilvl w:val="0"/>
          <w:numId w:val="0"/>
        </w:numPr>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4、如因违反前述承诺而给上市公司造成实际损失的，则</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依法承担赔偿责任；</w:t>
      </w:r>
    </w:p>
    <w:p w14:paraId="004BD238">
      <w:pPr>
        <w:pStyle w:val="39"/>
        <w:numPr>
          <w:ilvl w:val="0"/>
          <w:numId w:val="0"/>
        </w:numPr>
        <w:ind w:firstLine="480" w:firstLineChars="200"/>
      </w:pPr>
      <w:r>
        <w:rPr>
          <w:rFonts w:hint="eastAsia" w:ascii="Times New Roman" w:hAnsi="Times New Roman" w:eastAsia="宋体" w:cs="Times New Roman"/>
          <w:kern w:val="2"/>
          <w:sz w:val="24"/>
          <w:szCs w:val="24"/>
          <w:lang w:val="en-US" w:eastAsia="zh-CN" w:bidi="ar-SA"/>
        </w:rPr>
        <w:t>5、上述承诺于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w:t>
      </w:r>
      <w:r>
        <w:rPr>
          <w:rFonts w:hint="eastAsia" w:ascii="Times New Roman" w:hAnsi="Times New Roman" w:eastAsia="宋体" w:cs="Times New Roman"/>
          <w:kern w:val="2"/>
          <w:sz w:val="24"/>
          <w:szCs w:val="24"/>
          <w:lang w:val="en-US" w:eastAsia="zh-CN" w:bidi="ar-SA"/>
        </w:rPr>
        <w:t>直接或间接控制上市公司且上市公司保持上市地位期间持续有效</w:t>
      </w:r>
      <w:r>
        <w:rPr>
          <w:rFonts w:hint="eastAsia" w:ascii="Times New Roman" w:hAnsi="Times New Roman" w:cs="Times New Roman"/>
          <w:kern w:val="2"/>
          <w:sz w:val="24"/>
          <w:szCs w:val="24"/>
          <w:lang w:val="en-US" w:eastAsia="zh-CN" w:bidi="ar-SA"/>
        </w:rPr>
        <w:t>/</w:t>
      </w:r>
      <w:r>
        <w:rPr>
          <w:rFonts w:hint="eastAsia"/>
          <w:lang w:val="en-US" w:eastAsia="zh-CN"/>
        </w:rPr>
        <w:t>本公司作为鼎耘产业的一致行动人、且鼎耘产业直接或间接控制上市公司且上市公司保持上市地位期间持续有效</w:t>
      </w:r>
      <w:r>
        <w:rPr>
          <w:rFonts w:hint="eastAsia" w:ascii="Times New Roman" w:hAnsi="Times New Roman" w:eastAsia="宋体" w:cs="Times New Roman"/>
          <w:kern w:val="2"/>
          <w:sz w:val="24"/>
          <w:szCs w:val="24"/>
          <w:lang w:val="en-US" w:eastAsia="zh-CN" w:bidi="ar-SA"/>
        </w:rPr>
        <w:t>。</w:t>
      </w:r>
      <w:r>
        <w:rPr>
          <w:rFonts w:hint="eastAsia"/>
        </w:rPr>
        <w:t>”</w:t>
      </w:r>
    </w:p>
    <w:p w14:paraId="3B9F4BCE">
      <w:pPr>
        <w:pStyle w:val="21"/>
        <w:bidi w:val="0"/>
      </w:pPr>
      <w:r>
        <w:rPr>
          <w:rFonts w:hint="eastAsia"/>
          <w:lang w:eastAsia="zh-CN"/>
        </w:rPr>
        <w:t>（</w:t>
      </w:r>
      <w:r>
        <w:rPr>
          <w:rFonts w:hint="eastAsia"/>
          <w:lang w:val="en-US" w:eastAsia="zh-CN"/>
        </w:rPr>
        <w:t>三</w:t>
      </w:r>
      <w:r>
        <w:rPr>
          <w:rFonts w:hint="eastAsia"/>
          <w:lang w:eastAsia="zh-CN"/>
        </w:rPr>
        <w:t>）</w:t>
      </w:r>
      <w:r>
        <w:rPr>
          <w:rFonts w:hint="eastAsia"/>
        </w:rPr>
        <w:t>对关联交易的影响</w:t>
      </w:r>
      <w:bookmarkEnd w:id="69"/>
      <w:bookmarkEnd w:id="70"/>
    </w:p>
    <w:p w14:paraId="0E113F84">
      <w:pPr>
        <w:pStyle w:val="20"/>
        <w:spacing w:before="156" w:after="156"/>
        <w:ind w:firstLine="480"/>
        <w:jc w:val="both"/>
        <w:rPr>
          <w:rFonts w:hint="eastAsia"/>
          <w:lang w:val="en-US" w:eastAsia="zh-CN"/>
        </w:rPr>
      </w:pPr>
      <w:r>
        <w:rPr>
          <w:rFonts w:hint="eastAsia"/>
          <w:lang w:val="en-US" w:eastAsia="zh-CN"/>
        </w:rPr>
        <w:t>经核查，李红星先生为上市公司董事长，拟通过其控制的企业认购上市公司本次向特定对象发行的股份。本次发行完成后，李红星先生将成为上市公司的实际控制人。因此，李红星先生通过收购人认购上市公司向特定对象发行股份构成关联交易。</w:t>
      </w:r>
    </w:p>
    <w:p w14:paraId="56F3CDFB">
      <w:pPr>
        <w:pStyle w:val="20"/>
        <w:spacing w:before="156" w:after="156"/>
        <w:ind w:firstLine="480"/>
        <w:jc w:val="both"/>
      </w:pPr>
      <w:r>
        <w:rPr>
          <w:rFonts w:hint="eastAsia"/>
          <w:lang w:val="en-US" w:eastAsia="zh-CN"/>
        </w:rPr>
        <w:t>汇源通信</w:t>
      </w:r>
      <w:r>
        <w:rPr>
          <w:rFonts w:hint="eastAsia"/>
        </w:rPr>
        <w:t>已在《公司章程》《关联交易管理制度》和《</w:t>
      </w:r>
      <w:r>
        <w:rPr>
          <w:rFonts w:hint="eastAsia"/>
        </w:rPr>
        <w:fldChar w:fldCharType="begin"/>
      </w:r>
      <w:r>
        <w:rPr>
          <w:rFonts w:hint="eastAsia"/>
        </w:rPr>
        <w:instrText xml:space="preserve"> HYPERLINK "https://114.80.154.45/EquitySalesF9Web/F9/NewsAndFilings/CompanyBulletin.html?lan=cn&amp;Remarks=smartreader&amp;WindCode=000586.SZ&amp;stockname=%E6%B1%87%E6%BA%90%E9%80%9A%E4%BF%A1" \l "A45B0533FE14CC3E75962E979E04ED4E" </w:instrText>
      </w:r>
      <w:r>
        <w:rPr>
          <w:rFonts w:hint="eastAsia"/>
        </w:rPr>
        <w:fldChar w:fldCharType="separate"/>
      </w:r>
      <w:r>
        <w:rPr>
          <w:rFonts w:hint="eastAsia"/>
        </w:rPr>
        <w:t>独立董事工作制度</w:t>
      </w:r>
      <w:r>
        <w:rPr>
          <w:rFonts w:hint="eastAsia"/>
        </w:rPr>
        <w:fldChar w:fldCharType="end"/>
      </w:r>
      <w:r>
        <w:rPr>
          <w:rFonts w:hint="eastAsia"/>
        </w:rPr>
        <w:t>》</w:t>
      </w:r>
      <w:r>
        <w:rPr>
          <w:rFonts w:hint="eastAsia"/>
          <w:lang w:val="en-US" w:eastAsia="zh-CN"/>
        </w:rPr>
        <w:t>等制度</w:t>
      </w:r>
      <w:r>
        <w:rPr>
          <w:rFonts w:hint="eastAsia"/>
        </w:rPr>
        <w:t>中就规范关联交易决策程序做出了规定。为保障</w:t>
      </w:r>
      <w:r>
        <w:rPr>
          <w:rFonts w:hint="eastAsia"/>
          <w:lang w:val="en-US" w:eastAsia="zh-CN"/>
        </w:rPr>
        <w:t>汇源通信</w:t>
      </w:r>
      <w:r>
        <w:rPr>
          <w:rFonts w:hint="eastAsia"/>
        </w:rPr>
        <w:t>及其股东的合法权益，</w:t>
      </w:r>
      <w:r>
        <w:rPr>
          <w:rFonts w:hint="eastAsia"/>
          <w:lang w:val="en-US" w:eastAsia="zh-CN"/>
        </w:rPr>
        <w:t>收购人及其实际控制人、一致行动人</w:t>
      </w:r>
      <w:r>
        <w:rPr>
          <w:rFonts w:hint="eastAsia"/>
        </w:rPr>
        <w:t>已出具《关于减少和规范关联交易的承诺函》，承诺如下：</w:t>
      </w:r>
    </w:p>
    <w:p w14:paraId="6248D985">
      <w:pPr>
        <w:pStyle w:val="20"/>
        <w:spacing w:before="156" w:after="156"/>
        <w:ind w:firstLine="480"/>
        <w:jc w:val="both"/>
        <w:rPr>
          <w:rFonts w:hint="eastAsia"/>
        </w:rPr>
      </w:pPr>
      <w:r>
        <w:rPr>
          <w:rFonts w:hint="eastAsia"/>
        </w:rPr>
        <w:t>“</w:t>
      </w:r>
      <w:r>
        <w:rPr>
          <w:rFonts w:hint="eastAsia"/>
          <w:lang w:val="en-US" w:eastAsia="zh-CN"/>
        </w:rPr>
        <w:t>1、</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保证将严格遵守</w:t>
      </w:r>
      <w:r>
        <w:rPr>
          <w:rFonts w:hint="eastAsia"/>
          <w:lang w:val="en-US" w:eastAsia="zh-CN"/>
        </w:rPr>
        <w:t>相关法律法规</w:t>
      </w:r>
      <w:r>
        <w:rPr>
          <w:rFonts w:hint="eastAsia"/>
        </w:rPr>
        <w:t>以及</w:t>
      </w:r>
      <w:r>
        <w:rPr>
          <w:rFonts w:hint="eastAsia"/>
          <w:lang w:val="en-US" w:eastAsia="zh-CN"/>
        </w:rPr>
        <w:t>汇源通信</w:t>
      </w:r>
      <w:r>
        <w:rPr>
          <w:rFonts w:hint="eastAsia"/>
        </w:rPr>
        <w:t>的《公司章程》《关联交易管理制度》等各项规定。</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及包括</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控股股东、实际控制人等在内的关联方（以下简称“关联方”）与上市公司及其合并报表范围内各级控股公司将尽可能的避免和减少关联交易</w:t>
      </w:r>
      <w:r>
        <w:rPr>
          <w:rFonts w:hint="eastAsia"/>
          <w:lang w:eastAsia="zh-CN"/>
        </w:rPr>
        <w:t>；</w:t>
      </w:r>
    </w:p>
    <w:p w14:paraId="451A91C0">
      <w:pPr>
        <w:pStyle w:val="20"/>
        <w:spacing w:before="156" w:after="156"/>
        <w:ind w:firstLine="480"/>
        <w:jc w:val="both"/>
        <w:rPr>
          <w:rFonts w:hint="eastAsia"/>
        </w:rPr>
      </w:pPr>
      <w:r>
        <w:rPr>
          <w:rFonts w:hint="eastAsia"/>
          <w:lang w:val="en-US" w:eastAsia="zh-CN"/>
        </w:rPr>
        <w:t>2、</w:t>
      </w:r>
      <w:r>
        <w:rPr>
          <w:rFonts w:hint="eastAsia"/>
        </w:rPr>
        <w:t>对确有必要且无法避免的关联交易，</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的关联方将遵循市场化的公正、公平、公开的原则，按照有关法律法规、规范关规定，履行包括回避表决等合法程序</w:t>
      </w:r>
      <w:r>
        <w:rPr>
          <w:rFonts w:hint="eastAsia"/>
          <w:lang w:eastAsia="zh-CN"/>
        </w:rPr>
        <w:t>，</w:t>
      </w:r>
      <w:r>
        <w:rPr>
          <w:rFonts w:hint="eastAsia"/>
        </w:rPr>
        <w:t>不通过关联关系谋求特殊的利益，不利用控股股东及实际控制人的地位进行有损上市公司和上市公司其他股东利益、特别是中小股东利益的关联交易</w:t>
      </w:r>
      <w:r>
        <w:rPr>
          <w:rFonts w:hint="eastAsia"/>
          <w:lang w:eastAsia="zh-CN"/>
        </w:rPr>
        <w:t>；</w:t>
      </w:r>
    </w:p>
    <w:p w14:paraId="16C2B0B3">
      <w:pPr>
        <w:pStyle w:val="20"/>
        <w:spacing w:before="156" w:after="156"/>
        <w:ind w:firstLine="480"/>
        <w:jc w:val="both"/>
        <w:rPr>
          <w:rFonts w:hint="eastAsia"/>
        </w:rPr>
      </w:pPr>
      <w:r>
        <w:rPr>
          <w:rFonts w:hint="eastAsia"/>
          <w:lang w:val="en-US" w:eastAsia="zh-CN"/>
        </w:rPr>
        <w:t>3、</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的关联方将不以任何方式违法违规占用上市公司及其合并报表范围内各级控股公司的资金、资产，亦不要求上市公司及其合并报表范围内各级控股公司为</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的关联方进行违规担保</w:t>
      </w:r>
      <w:r>
        <w:rPr>
          <w:rFonts w:hint="eastAsia"/>
          <w:lang w:eastAsia="zh-CN"/>
        </w:rPr>
        <w:t>。</w:t>
      </w:r>
    </w:p>
    <w:p w14:paraId="34FFF052">
      <w:pPr>
        <w:pStyle w:val="20"/>
        <w:spacing w:before="156" w:after="156"/>
        <w:ind w:firstLine="480"/>
        <w:jc w:val="both"/>
        <w:rPr>
          <w:rFonts w:hint="eastAsia"/>
          <w:lang w:val="en-US" w:eastAsia="zh-CN"/>
        </w:rPr>
      </w:pPr>
      <w:r>
        <w:rPr>
          <w:rFonts w:hint="eastAsia"/>
          <w:lang w:val="en-US" w:eastAsia="zh-CN"/>
        </w:rPr>
        <w:t>4、如因违反前述承诺而给上市公司造成实际损失的，则</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人/本公司依法承担赔偿责任。</w:t>
      </w:r>
    </w:p>
    <w:p w14:paraId="734CC838">
      <w:pPr>
        <w:pStyle w:val="20"/>
        <w:spacing w:before="156" w:after="156"/>
        <w:ind w:firstLine="480"/>
        <w:jc w:val="both"/>
        <w:rPr>
          <w:rFonts w:hint="eastAsia"/>
        </w:rPr>
      </w:pPr>
      <w:r>
        <w:rPr>
          <w:rFonts w:hint="eastAsia"/>
          <w:lang w:val="en-US" w:eastAsia="zh-CN"/>
        </w:rPr>
        <w:t>5、上述承诺于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w:t>
      </w:r>
      <w:r>
        <w:rPr>
          <w:rFonts w:hint="eastAsia" w:ascii="Times New Roman" w:hAnsi="Times New Roman" w:cs="Times New Roman"/>
          <w:lang w:val="en-US" w:eastAsia="zh-CN"/>
        </w:rPr>
        <w:t>直接或间接控制上市公司且上市公司保持上市地位期间持续有效</w:t>
      </w:r>
      <w:r>
        <w:rPr>
          <w:rFonts w:hint="eastAsia"/>
          <w:lang w:val="en-US" w:eastAsia="zh-CN"/>
        </w:rPr>
        <w:t>/本公司作为鼎耘产业的一致行动人、且鼎耘产业直接或间接控制上市公司且上市公司保持上市地位期间持续有效</w:t>
      </w:r>
      <w:r>
        <w:rPr>
          <w:rFonts w:hint="eastAsia"/>
          <w:lang w:eastAsia="zh-CN"/>
        </w:rPr>
        <w:t>。</w:t>
      </w:r>
      <w:r>
        <w:rPr>
          <w:rFonts w:hint="eastAsia"/>
        </w:rPr>
        <w:t>”</w:t>
      </w:r>
    </w:p>
    <w:p w14:paraId="0E7F827C">
      <w:pPr>
        <w:pStyle w:val="25"/>
        <w:spacing w:before="234" w:after="234"/>
      </w:pPr>
      <w:bookmarkStart w:id="71" w:name="_Toc27962"/>
      <w:bookmarkStart w:id="72" w:name="_Toc20635"/>
      <w:r>
        <w:rPr>
          <w:rFonts w:hint="eastAsia"/>
          <w:lang w:val="en-US" w:eastAsia="zh-CN"/>
        </w:rPr>
        <w:t>十一</w:t>
      </w:r>
      <w:r>
        <w:rPr>
          <w:rFonts w:hint="eastAsia"/>
        </w:rPr>
        <w:t>、</w:t>
      </w:r>
      <w:r>
        <w:rPr>
          <w:rFonts w:hint="eastAsia"/>
          <w:lang w:val="en-US" w:eastAsia="zh-CN"/>
        </w:rPr>
        <w:t>关于</w:t>
      </w:r>
      <w:r>
        <w:rPr>
          <w:rFonts w:hint="eastAsia"/>
        </w:rPr>
        <w:t>与上市公司之间重大交易</w:t>
      </w:r>
      <w:r>
        <w:rPr>
          <w:rFonts w:hint="eastAsia"/>
          <w:lang w:val="en-US" w:eastAsia="zh-CN"/>
        </w:rPr>
        <w:t>的</w:t>
      </w:r>
      <w:r>
        <w:rPr>
          <w:rFonts w:hint="eastAsia"/>
        </w:rPr>
        <w:t>核查</w:t>
      </w:r>
      <w:bookmarkEnd w:id="71"/>
      <w:bookmarkEnd w:id="72"/>
    </w:p>
    <w:p w14:paraId="4B809180">
      <w:pPr>
        <w:pStyle w:val="21"/>
        <w:bidi w:val="0"/>
      </w:pPr>
      <w:bookmarkStart w:id="73" w:name="_Toc4042"/>
      <w:bookmarkStart w:id="74" w:name="_Toc5543"/>
      <w:r>
        <w:rPr>
          <w:rFonts w:hint="eastAsia"/>
          <w:lang w:eastAsia="zh-CN"/>
        </w:rPr>
        <w:t>（</w:t>
      </w:r>
      <w:r>
        <w:rPr>
          <w:rFonts w:hint="eastAsia"/>
          <w:lang w:val="en-US" w:eastAsia="zh-CN"/>
        </w:rPr>
        <w:t>一</w:t>
      </w:r>
      <w:r>
        <w:rPr>
          <w:rFonts w:hint="eastAsia"/>
          <w:lang w:eastAsia="zh-CN"/>
        </w:rPr>
        <w:t>）</w:t>
      </w:r>
      <w:r>
        <w:rPr>
          <w:rFonts w:hint="eastAsia"/>
        </w:rPr>
        <w:t>与上市公司及其子公司之间的交易</w:t>
      </w:r>
      <w:bookmarkEnd w:id="73"/>
      <w:bookmarkEnd w:id="74"/>
    </w:p>
    <w:p w14:paraId="0AE916C1">
      <w:pPr>
        <w:pStyle w:val="20"/>
        <w:spacing w:before="156" w:after="156"/>
        <w:ind w:firstLine="480"/>
        <w:jc w:val="both"/>
      </w:pPr>
      <w:r>
        <w:rPr>
          <w:rFonts w:hint="eastAsia"/>
          <w:lang w:val="en-US" w:eastAsia="zh-CN"/>
        </w:rPr>
        <w:t>经核查，</w:t>
      </w:r>
      <w:r>
        <w:rPr>
          <w:rFonts w:hint="eastAsia"/>
        </w:rPr>
        <w:t>截至本报告书签署日前24个月内，收购人及一致行动人及其董事、监事、高级管理人员不存在与上市公司及其子公司进行资产交易的合计金额超过3,000万元或者高于上市公司最近一期经审计的合并财务报表净资产5%以上的交易。</w:t>
      </w:r>
    </w:p>
    <w:p w14:paraId="4F88A63F">
      <w:pPr>
        <w:pStyle w:val="21"/>
        <w:bidi w:val="0"/>
      </w:pPr>
      <w:bookmarkStart w:id="75" w:name="_Toc8322"/>
      <w:bookmarkStart w:id="76" w:name="_Toc12143"/>
      <w:r>
        <w:rPr>
          <w:rFonts w:hint="eastAsia"/>
          <w:lang w:eastAsia="zh-CN"/>
        </w:rPr>
        <w:t>（</w:t>
      </w:r>
      <w:r>
        <w:rPr>
          <w:rFonts w:hint="eastAsia"/>
          <w:lang w:val="en-US" w:eastAsia="zh-CN"/>
        </w:rPr>
        <w:t>二</w:t>
      </w:r>
      <w:r>
        <w:rPr>
          <w:rFonts w:hint="eastAsia"/>
          <w:lang w:eastAsia="zh-CN"/>
        </w:rPr>
        <w:t>）</w:t>
      </w:r>
      <w:r>
        <w:rPr>
          <w:rFonts w:hint="eastAsia"/>
        </w:rPr>
        <w:t>与上市公司的董事、监事、高级管理人员之间的交易</w:t>
      </w:r>
      <w:bookmarkEnd w:id="75"/>
      <w:bookmarkEnd w:id="76"/>
    </w:p>
    <w:p w14:paraId="19839DCD">
      <w:pPr>
        <w:pStyle w:val="20"/>
        <w:spacing w:before="156" w:after="156"/>
        <w:ind w:firstLine="480"/>
        <w:jc w:val="both"/>
        <w:rPr>
          <w:rFonts w:hint="eastAsia"/>
        </w:rPr>
      </w:pPr>
      <w:r>
        <w:rPr>
          <w:rFonts w:hint="eastAsia"/>
          <w:lang w:val="en-US" w:eastAsia="zh-CN"/>
        </w:rPr>
        <w:t>经核查，一致行动人鼎耘科技与上市公司董事长李红星于2022年11月签订代付款合同，鼎耘科技向李红星出借合计110,000,000元，代付（2021）最高法民终612号民事判决书项下的连带责任支付款项，李红星将按照约定的期限偿还该款项。</w:t>
      </w:r>
    </w:p>
    <w:p w14:paraId="64E8A8F2">
      <w:pPr>
        <w:pStyle w:val="20"/>
        <w:spacing w:before="156" w:after="156"/>
        <w:ind w:firstLine="480"/>
        <w:jc w:val="both"/>
      </w:pPr>
      <w:r>
        <w:rPr>
          <w:rFonts w:hint="eastAsia"/>
          <w:lang w:val="en-US" w:eastAsia="zh-CN"/>
        </w:rPr>
        <w:t>除上述情况外，截至本报告出具日前24个月内，收购人及一致行动人其</w:t>
      </w:r>
      <w:r>
        <w:rPr>
          <w:rFonts w:hint="eastAsia"/>
        </w:rPr>
        <w:t>董事、监事、高级管理人员不存在与上市公司的董事、高级管理人员之间</w:t>
      </w:r>
      <w:r>
        <w:rPr>
          <w:rFonts w:hint="eastAsia"/>
          <w:lang w:val="en-US" w:eastAsia="zh-CN"/>
        </w:rPr>
        <w:t>进行</w:t>
      </w:r>
      <w:r>
        <w:rPr>
          <w:rFonts w:hint="eastAsia"/>
        </w:rPr>
        <w:t>合计金额超过人民币5万元以上的交易。</w:t>
      </w:r>
    </w:p>
    <w:p w14:paraId="054BDB82">
      <w:pPr>
        <w:pStyle w:val="21"/>
        <w:bidi w:val="0"/>
      </w:pPr>
      <w:bookmarkStart w:id="77" w:name="_Toc3136"/>
      <w:bookmarkStart w:id="78" w:name="_Toc16282"/>
      <w:r>
        <w:rPr>
          <w:rFonts w:hint="eastAsia"/>
          <w:lang w:eastAsia="zh-CN"/>
        </w:rPr>
        <w:t>（</w:t>
      </w:r>
      <w:r>
        <w:rPr>
          <w:rFonts w:hint="eastAsia"/>
          <w:lang w:val="en-US" w:eastAsia="zh-CN"/>
        </w:rPr>
        <w:t>三</w:t>
      </w:r>
      <w:r>
        <w:rPr>
          <w:rFonts w:hint="eastAsia"/>
          <w:lang w:eastAsia="zh-CN"/>
        </w:rPr>
        <w:t>）</w:t>
      </w:r>
      <w:r>
        <w:rPr>
          <w:rFonts w:hint="eastAsia"/>
        </w:rPr>
        <w:t>对拟更换上市公司董事、监事、高级管理人员的补偿或类似安排</w:t>
      </w:r>
      <w:bookmarkEnd w:id="77"/>
      <w:bookmarkEnd w:id="78"/>
    </w:p>
    <w:p w14:paraId="6A4BD24C">
      <w:pPr>
        <w:pStyle w:val="20"/>
        <w:spacing w:before="156" w:after="156"/>
        <w:ind w:firstLine="480"/>
        <w:jc w:val="both"/>
        <w:rPr>
          <w:rFonts w:hint="eastAsia" w:eastAsia="宋体"/>
          <w:lang w:eastAsia="zh-CN"/>
        </w:rPr>
      </w:pPr>
      <w:r>
        <w:rPr>
          <w:rFonts w:hint="eastAsia"/>
          <w:lang w:val="en-US" w:eastAsia="zh-CN"/>
        </w:rPr>
        <w:t>经核查，</w:t>
      </w:r>
      <w:r>
        <w:rPr>
          <w:rFonts w:hint="eastAsia"/>
        </w:rPr>
        <w:t>截至本报告书签署日前24个月内，收购人及一致行动人不存在对拟更换的上市公司董事、高级管理人员进行补偿或其他类似安排的情形。</w:t>
      </w:r>
    </w:p>
    <w:p w14:paraId="6BE4ECC0">
      <w:pPr>
        <w:pStyle w:val="21"/>
        <w:bidi w:val="0"/>
      </w:pPr>
      <w:bookmarkStart w:id="79" w:name="_Toc24584"/>
      <w:bookmarkStart w:id="80" w:name="_Toc8324"/>
      <w:r>
        <w:rPr>
          <w:rFonts w:hint="eastAsia"/>
          <w:lang w:eastAsia="zh-CN"/>
        </w:rPr>
        <w:t>（</w:t>
      </w:r>
      <w:r>
        <w:rPr>
          <w:rFonts w:hint="eastAsia"/>
          <w:lang w:val="en-US" w:eastAsia="zh-CN"/>
        </w:rPr>
        <w:t>四</w:t>
      </w:r>
      <w:r>
        <w:rPr>
          <w:rFonts w:hint="eastAsia"/>
          <w:lang w:eastAsia="zh-CN"/>
        </w:rPr>
        <w:t>）</w:t>
      </w:r>
      <w:r>
        <w:rPr>
          <w:rFonts w:hint="eastAsia"/>
        </w:rPr>
        <w:t>对上市公司有重大影响的其他正在签署或者谈判的合同、默契或者安排</w:t>
      </w:r>
      <w:bookmarkEnd w:id="79"/>
      <w:bookmarkEnd w:id="80"/>
    </w:p>
    <w:p w14:paraId="7014E4B7">
      <w:pPr>
        <w:pStyle w:val="20"/>
        <w:spacing w:before="156" w:after="156"/>
        <w:ind w:firstLine="480"/>
        <w:jc w:val="both"/>
        <w:rPr>
          <w:rFonts w:hint="eastAsia"/>
        </w:rPr>
      </w:pPr>
      <w:r>
        <w:rPr>
          <w:rFonts w:hint="eastAsia"/>
          <w:lang w:val="en-US" w:eastAsia="zh-CN"/>
        </w:rPr>
        <w:t>经核查，截至本报告书签署日前24个月内，除本次收购涉及的相关</w:t>
      </w:r>
      <w:r>
        <w:rPr>
          <w:rFonts w:hint="default"/>
          <w:lang w:val="en-US" w:eastAsia="zh-CN"/>
        </w:rPr>
        <w:t>协议</w:t>
      </w:r>
      <w:r>
        <w:rPr>
          <w:rFonts w:hint="eastAsia"/>
          <w:lang w:val="en-US" w:eastAsia="zh-CN"/>
        </w:rPr>
        <w:t>安排及上市公司信息披露事项之外，收购人及一致行动人</w:t>
      </w:r>
      <w:r>
        <w:rPr>
          <w:rFonts w:hint="eastAsia"/>
        </w:rPr>
        <w:t>不存在对上市公司有重大影响的其他正在签署或谈判的合同、默契或者其他安排。</w:t>
      </w:r>
    </w:p>
    <w:p w14:paraId="347A0EF4">
      <w:pPr>
        <w:pStyle w:val="25"/>
        <w:spacing w:before="234" w:after="234"/>
      </w:pPr>
      <w:bookmarkStart w:id="81" w:name="_Toc17276"/>
      <w:bookmarkStart w:id="82" w:name="_Toc12641"/>
      <w:r>
        <w:rPr>
          <w:rFonts w:hint="eastAsia"/>
          <w:lang w:val="en-US" w:eastAsia="zh-CN"/>
        </w:rPr>
        <w:t>十二</w:t>
      </w:r>
      <w:r>
        <w:rPr>
          <w:rFonts w:hint="eastAsia"/>
        </w:rPr>
        <w:t>、</w:t>
      </w:r>
      <w:r>
        <w:rPr>
          <w:rFonts w:hint="eastAsia"/>
          <w:lang w:val="en-US" w:eastAsia="zh-CN"/>
        </w:rPr>
        <w:t>关于</w:t>
      </w:r>
      <w:r>
        <w:rPr>
          <w:rFonts w:hint="eastAsia"/>
        </w:rPr>
        <w:t>前六个月内买卖上市交易股份情况</w:t>
      </w:r>
      <w:r>
        <w:rPr>
          <w:rFonts w:hint="eastAsia"/>
          <w:lang w:val="en-US" w:eastAsia="zh-CN"/>
        </w:rPr>
        <w:t>的</w:t>
      </w:r>
      <w:r>
        <w:rPr>
          <w:rFonts w:hint="eastAsia"/>
        </w:rPr>
        <w:t>核查</w:t>
      </w:r>
      <w:bookmarkEnd w:id="81"/>
      <w:bookmarkEnd w:id="82"/>
    </w:p>
    <w:p w14:paraId="28E380AC">
      <w:pPr>
        <w:pStyle w:val="21"/>
        <w:bidi w:val="0"/>
        <w:rPr>
          <w:rFonts w:hint="eastAsia"/>
          <w:lang w:eastAsia="zh-CN"/>
        </w:rPr>
      </w:pPr>
      <w:bookmarkStart w:id="83" w:name="_Toc101"/>
      <w:bookmarkStart w:id="84" w:name="_Toc6595"/>
      <w:bookmarkStart w:id="85" w:name="_Toc46376182"/>
      <w:r>
        <w:rPr>
          <w:rFonts w:hint="eastAsia"/>
          <w:lang w:eastAsia="zh-CN"/>
        </w:rPr>
        <w:t>（</w:t>
      </w:r>
      <w:r>
        <w:rPr>
          <w:rFonts w:hint="eastAsia"/>
          <w:lang w:val="en-US" w:eastAsia="zh-CN"/>
        </w:rPr>
        <w:t>一</w:t>
      </w:r>
      <w:r>
        <w:rPr>
          <w:rFonts w:hint="eastAsia"/>
          <w:lang w:eastAsia="zh-CN"/>
        </w:rPr>
        <w:t>）</w:t>
      </w:r>
      <w:bookmarkEnd w:id="83"/>
      <w:bookmarkEnd w:id="84"/>
      <w:bookmarkEnd w:id="85"/>
      <w:r>
        <w:rPr>
          <w:rFonts w:hint="eastAsia"/>
          <w:lang w:val="en-US" w:eastAsia="zh-CN"/>
        </w:rPr>
        <w:t>收购人及一致行动人前6个月内买卖上市公司股份的情况</w:t>
      </w:r>
    </w:p>
    <w:p w14:paraId="349193C9">
      <w:pPr>
        <w:pStyle w:val="20"/>
        <w:spacing w:before="156" w:after="156"/>
        <w:ind w:firstLine="480"/>
        <w:jc w:val="both"/>
        <w:rPr>
          <w:rFonts w:hint="eastAsia"/>
        </w:rPr>
      </w:pPr>
      <w:bookmarkStart w:id="86" w:name="_Toc4863"/>
      <w:bookmarkStart w:id="87" w:name="_Toc21607"/>
      <w:bookmarkStart w:id="88" w:name="_Toc46376183"/>
      <w:r>
        <w:rPr>
          <w:rFonts w:hint="eastAsia"/>
          <w:lang w:val="en-US" w:eastAsia="zh-CN"/>
        </w:rPr>
        <w:t>经自查，在本次收购事实发生之日的前六个月内，收购人及一致行动人不存在通过证券交易所的证券交易买卖汇源通信股票的情况。</w:t>
      </w:r>
    </w:p>
    <w:p w14:paraId="407303DA">
      <w:pPr>
        <w:pStyle w:val="21"/>
        <w:bidi w:val="0"/>
      </w:pPr>
      <w:r>
        <w:rPr>
          <w:rFonts w:hint="eastAsia"/>
          <w:lang w:eastAsia="zh-CN"/>
        </w:rPr>
        <w:t>（</w:t>
      </w:r>
      <w:r>
        <w:rPr>
          <w:rFonts w:hint="eastAsia"/>
          <w:lang w:val="en-US" w:eastAsia="zh-CN"/>
        </w:rPr>
        <w:t>二</w:t>
      </w:r>
      <w:r>
        <w:rPr>
          <w:rFonts w:hint="eastAsia"/>
          <w:lang w:eastAsia="zh-CN"/>
        </w:rPr>
        <w:t>）</w:t>
      </w:r>
      <w:bookmarkEnd w:id="86"/>
      <w:bookmarkEnd w:id="87"/>
      <w:bookmarkEnd w:id="88"/>
      <w:r>
        <w:rPr>
          <w:rFonts w:hint="eastAsia"/>
          <w:lang w:val="en-US" w:eastAsia="zh-CN"/>
        </w:rPr>
        <w:t>收购人及一致行动人</w:t>
      </w:r>
      <w:r>
        <w:rPr>
          <w:rFonts w:hint="eastAsia"/>
        </w:rPr>
        <w:t>的董事、监事、高级管理人员及其直系亲属买卖上市公司股份的情况</w:t>
      </w:r>
    </w:p>
    <w:p w14:paraId="2336BF11">
      <w:pPr>
        <w:pStyle w:val="20"/>
        <w:spacing w:before="156" w:after="156"/>
        <w:ind w:firstLine="480"/>
        <w:jc w:val="both"/>
        <w:rPr>
          <w:rFonts w:hint="eastAsia"/>
          <w:lang w:val="en-US" w:eastAsia="zh-CN"/>
        </w:rPr>
      </w:pPr>
      <w:r>
        <w:rPr>
          <w:rFonts w:hint="eastAsia"/>
          <w:lang w:val="en-US" w:eastAsia="zh-CN"/>
        </w:rPr>
        <w:t>经自查，在本次收购事实发生之日的前六个月内</w:t>
      </w:r>
      <w:r>
        <w:rPr>
          <w:rFonts w:hint="eastAsia"/>
        </w:rPr>
        <w:t>，</w:t>
      </w:r>
      <w:r>
        <w:rPr>
          <w:rFonts w:hint="eastAsia"/>
          <w:lang w:val="en-US" w:eastAsia="zh-CN"/>
        </w:rPr>
        <w:t>收购人及一致行动人</w:t>
      </w:r>
      <w:r>
        <w:rPr>
          <w:rFonts w:hint="eastAsia"/>
        </w:rPr>
        <w:t>的董事、监事、高级管理人员</w:t>
      </w:r>
      <w:r>
        <w:rPr>
          <w:rFonts w:hint="eastAsia"/>
          <w:lang w:val="en-US" w:eastAsia="zh-CN"/>
        </w:rPr>
        <w:t>（或者主要负责人）</w:t>
      </w:r>
      <w:r>
        <w:rPr>
          <w:rFonts w:hint="eastAsia"/>
        </w:rPr>
        <w:t>及其直系亲属不存在通过证券交易所的证券交易买卖</w:t>
      </w:r>
      <w:r>
        <w:rPr>
          <w:rFonts w:hint="eastAsia"/>
          <w:lang w:val="en-US" w:eastAsia="zh-CN"/>
        </w:rPr>
        <w:t>汇源通信</w:t>
      </w:r>
      <w:r>
        <w:rPr>
          <w:rFonts w:hint="eastAsia"/>
        </w:rPr>
        <w:t>股票的情况</w:t>
      </w:r>
      <w:r>
        <w:rPr>
          <w:rFonts w:hint="eastAsia"/>
          <w:lang w:val="en-US" w:eastAsia="zh-CN"/>
        </w:rPr>
        <w:t>。</w:t>
      </w:r>
    </w:p>
    <w:p w14:paraId="4B6D27A2">
      <w:pPr>
        <w:pStyle w:val="25"/>
        <w:spacing w:before="234" w:after="234"/>
        <w:rPr>
          <w:rFonts w:hint="eastAsia"/>
          <w:lang w:val="en-US" w:eastAsia="zh-CN"/>
        </w:rPr>
      </w:pPr>
      <w:bookmarkStart w:id="89" w:name="_Toc14505"/>
      <w:r>
        <w:rPr>
          <w:rFonts w:hint="eastAsia"/>
          <w:lang w:val="en-US" w:eastAsia="zh-CN"/>
        </w:rPr>
        <w:t>十三、对收购过渡期间保持上市公司稳定经营做出安排以及该安排是否符合有关规定的核查</w:t>
      </w:r>
      <w:bookmarkEnd w:id="89"/>
    </w:p>
    <w:p w14:paraId="00D1C6B0">
      <w:pPr>
        <w:pStyle w:val="20"/>
        <w:spacing w:before="156" w:after="156"/>
        <w:ind w:firstLine="480"/>
        <w:jc w:val="both"/>
        <w:rPr>
          <w:rFonts w:hint="eastAsia"/>
          <w:lang w:val="en-US" w:eastAsia="zh-CN"/>
        </w:rPr>
      </w:pPr>
      <w:r>
        <w:rPr>
          <w:rFonts w:hint="eastAsia"/>
          <w:lang w:val="en-US" w:eastAsia="zh-CN"/>
        </w:rPr>
        <w:t>本次收购方式为收购方通过</w:t>
      </w:r>
      <w:r>
        <w:rPr>
          <w:rFonts w:hint="default"/>
          <w:lang w:val="en-US" w:eastAsia="zh-CN"/>
        </w:rPr>
        <w:t>认购上市公司本次向特定对象发行的全部股票</w:t>
      </w:r>
      <w:r>
        <w:rPr>
          <w:rFonts w:hint="eastAsia"/>
          <w:lang w:val="en-US" w:eastAsia="zh-CN"/>
        </w:rPr>
        <w:t>获得上市公司控制权。过渡期内，收购人及一致行动人暂无对上市公司业务、资产、董事会、高级管理人员、章程、人员聘用计划、分红政策等进行重大调整的计划。如未来基于需要拟做出重大调整的，收购人及一致行动人将严格遵照上市公司治理规则及法律法规要求履行相应程序，并及时履行信息披露义务。</w:t>
      </w:r>
    </w:p>
    <w:p w14:paraId="4AE66C5E">
      <w:pPr>
        <w:pStyle w:val="20"/>
        <w:spacing w:before="156" w:after="156"/>
        <w:ind w:firstLine="480"/>
        <w:jc w:val="both"/>
        <w:rPr>
          <w:rFonts w:hint="eastAsia"/>
          <w:lang w:val="en-US" w:eastAsia="zh-CN"/>
        </w:rPr>
      </w:pPr>
      <w:r>
        <w:rPr>
          <w:rFonts w:hint="eastAsia"/>
          <w:lang w:val="en-US" w:eastAsia="zh-CN"/>
        </w:rPr>
        <w:t>经核查，本财务顾问认为，上述安排有利于保持上市公司的业务发展和稳定，有利于维护上市公司及全体股东的利益。</w:t>
      </w:r>
    </w:p>
    <w:p w14:paraId="5D899CC8">
      <w:pPr>
        <w:pStyle w:val="25"/>
        <w:spacing w:before="234" w:after="234"/>
        <w:rPr>
          <w:rFonts w:hint="eastAsia"/>
          <w:lang w:val="en-US" w:eastAsia="zh-CN"/>
        </w:rPr>
      </w:pPr>
      <w:bookmarkStart w:id="90" w:name="_Toc1335"/>
      <w:r>
        <w:rPr>
          <w:rFonts w:hint="eastAsia"/>
          <w:lang w:val="en-US" w:eastAsia="zh-CN"/>
        </w:rPr>
        <w:t>十四、关于对在收购标的是否设定其他权利，是否在收购价款之外还作出其他补偿安排的核查</w:t>
      </w:r>
      <w:bookmarkEnd w:id="90"/>
    </w:p>
    <w:p w14:paraId="388F3D26">
      <w:pPr>
        <w:pStyle w:val="20"/>
        <w:spacing w:before="156" w:after="156"/>
        <w:ind w:firstLine="480"/>
        <w:jc w:val="both"/>
        <w:rPr>
          <w:rFonts w:hint="default"/>
          <w:lang w:val="en-US" w:eastAsia="zh-CN"/>
        </w:rPr>
      </w:pPr>
      <w:r>
        <w:rPr>
          <w:rFonts w:hint="eastAsia"/>
          <w:lang w:val="en-US" w:eastAsia="zh-CN"/>
        </w:rPr>
        <w:t>经核查，本财务顾问认为，除本次收购涉及的相关协议安排及上市公司信息披露事项之外，本次收购不涉及在收购标的设定其他权利，在收购价款之外还作出其他补偿安排的情况。</w:t>
      </w:r>
    </w:p>
    <w:p w14:paraId="143BC293">
      <w:pPr>
        <w:pStyle w:val="25"/>
        <w:spacing w:before="234" w:after="234"/>
        <w:rPr>
          <w:rFonts w:hint="default"/>
          <w:lang w:val="en-US" w:eastAsia="zh-CN"/>
        </w:rPr>
      </w:pPr>
      <w:bookmarkStart w:id="91" w:name="_Toc8067"/>
      <w:r>
        <w:rPr>
          <w:rFonts w:hint="eastAsia"/>
          <w:lang w:val="en-US" w:eastAsia="zh-CN"/>
        </w:rPr>
        <w:t>十五、关于上市公司原控股股东、实际控制人及其关联方是否存在未清偿对公司的负债、未解除公司为其负债提供的担保或者损害公司利益的其他情形的核查</w:t>
      </w:r>
      <w:bookmarkEnd w:id="91"/>
    </w:p>
    <w:p w14:paraId="15B70AA1">
      <w:pPr>
        <w:pStyle w:val="20"/>
        <w:spacing w:before="156" w:after="156"/>
        <w:ind w:firstLine="480"/>
        <w:jc w:val="both"/>
        <w:rPr>
          <w:rFonts w:hint="eastAsia"/>
          <w:lang w:val="en-US" w:eastAsia="zh-CN"/>
        </w:rPr>
      </w:pPr>
      <w:r>
        <w:rPr>
          <w:rFonts w:hint="eastAsia"/>
          <w:lang w:val="en-US" w:eastAsia="zh-CN"/>
        </w:rPr>
        <w:t>经核查，截至本报告书签署日，本次收购前上市公司无控股股东、无实际控制人。上市公司不存在资金或资产被关联方占用的情况，亦不存在上市公司为关联方提供担保或其他损害上市公司利益之情形。</w:t>
      </w:r>
    </w:p>
    <w:p w14:paraId="56496FDD">
      <w:pPr>
        <w:pStyle w:val="25"/>
        <w:spacing w:before="234" w:after="234"/>
        <w:jc w:val="both"/>
        <w:rPr>
          <w:rFonts w:hint="eastAsia"/>
          <w:lang w:val="en-US" w:eastAsia="zh-CN"/>
        </w:rPr>
      </w:pPr>
      <w:bookmarkStart w:id="92" w:name="_Toc1068"/>
      <w:r>
        <w:rPr>
          <w:rFonts w:hint="eastAsia" w:ascii="Times New Roman" w:hAnsi="Times New Roman" w:eastAsia="宋体" w:cs="Times New Roman"/>
          <w:kern w:val="2"/>
          <w:sz w:val="28"/>
          <w:szCs w:val="24"/>
          <w:lang w:val="en-US" w:eastAsia="zh-CN" w:bidi="ar-SA"/>
        </w:rPr>
        <w:t>十</w:t>
      </w:r>
      <w:r>
        <w:rPr>
          <w:rFonts w:hint="eastAsia" w:cs="Times New Roman"/>
          <w:kern w:val="2"/>
          <w:sz w:val="28"/>
          <w:szCs w:val="24"/>
          <w:lang w:val="en-US" w:eastAsia="zh-CN" w:bidi="ar-SA"/>
        </w:rPr>
        <w:t>六</w:t>
      </w:r>
      <w:r>
        <w:rPr>
          <w:rFonts w:hint="eastAsia" w:ascii="Times New Roman" w:hAnsi="Times New Roman" w:eastAsia="宋体" w:cs="Times New Roman"/>
          <w:kern w:val="2"/>
          <w:sz w:val="28"/>
          <w:szCs w:val="24"/>
          <w:lang w:val="en-US" w:eastAsia="zh-CN" w:bidi="ar-SA"/>
        </w:rPr>
        <w:t>、</w:t>
      </w:r>
      <w:r>
        <w:rPr>
          <w:rFonts w:hint="eastAsia"/>
        </w:rPr>
        <w:t>关于本次交易符合《关于加强证券公司在投资银行类业务中聘请第三方等廉洁从业风险防控的意见》相关规定的核查</w:t>
      </w:r>
      <w:bookmarkEnd w:id="92"/>
    </w:p>
    <w:p w14:paraId="6FD7AE19">
      <w:pPr>
        <w:pStyle w:val="20"/>
        <w:numPr>
          <w:ilvl w:val="0"/>
          <w:numId w:val="0"/>
        </w:numPr>
        <w:spacing w:before="156" w:after="156"/>
        <w:ind w:firstLine="480"/>
        <w:jc w:val="both"/>
        <w:rPr>
          <w:rFonts w:hint="eastAsia"/>
          <w:lang w:val="en-US" w:eastAsia="zh-CN"/>
        </w:rPr>
      </w:pPr>
      <w:r>
        <w:rPr>
          <w:rFonts w:hint="eastAsia"/>
          <w:lang w:val="en-US" w:eastAsia="zh-CN"/>
        </w:rPr>
        <w:t>经核查，本次收购中，本财务顾问不存在直接或间接有偿聘请第三方机构或个人的行为；收购人除聘请财务顾问、律师事务所等依法需聘请的证券服务机构以外，不存在直接或间接有偿聘请其他第三方机构或个人的行为，符合《</w:t>
      </w:r>
      <w:r>
        <w:rPr>
          <w:rFonts w:hint="eastAsia"/>
        </w:rPr>
        <w:t>关于加强证券公司在投资银行类业务中聘请第三方等廉洁从业风险防控的意见</w:t>
      </w:r>
      <w:r>
        <w:rPr>
          <w:rFonts w:hint="eastAsia"/>
          <w:lang w:val="en-US" w:eastAsia="zh-CN"/>
        </w:rPr>
        <w:t>》的相关规定。</w:t>
      </w:r>
    </w:p>
    <w:p w14:paraId="510B84CB">
      <w:pPr>
        <w:pStyle w:val="25"/>
        <w:spacing w:before="234" w:after="234"/>
      </w:pPr>
      <w:bookmarkStart w:id="93" w:name="_Toc24874"/>
      <w:bookmarkStart w:id="94" w:name="_Toc24888"/>
      <w:r>
        <w:rPr>
          <w:rFonts w:hint="eastAsia"/>
          <w:lang w:val="en-US" w:eastAsia="zh-CN"/>
        </w:rPr>
        <w:t>十七</w:t>
      </w:r>
      <w:r>
        <w:rPr>
          <w:rFonts w:hint="eastAsia"/>
        </w:rPr>
        <w:t>、</w:t>
      </w:r>
      <w:r>
        <w:rPr>
          <w:rFonts w:hint="eastAsia"/>
          <w:lang w:val="en-US" w:eastAsia="zh-CN"/>
        </w:rPr>
        <w:t>对收购人是否存在其他重大事项的核查</w:t>
      </w:r>
      <w:bookmarkEnd w:id="93"/>
      <w:bookmarkEnd w:id="94"/>
    </w:p>
    <w:p w14:paraId="1BAD6386">
      <w:pPr>
        <w:pStyle w:val="20"/>
        <w:spacing w:before="156" w:after="156"/>
        <w:ind w:firstLine="480"/>
        <w:jc w:val="both"/>
        <w:rPr>
          <w:rFonts w:hint="eastAsia"/>
          <w:lang w:val="en-US" w:eastAsia="zh-CN"/>
        </w:rPr>
      </w:pPr>
      <w:r>
        <w:rPr>
          <w:rFonts w:hint="eastAsia"/>
          <w:lang w:val="en-US" w:eastAsia="zh-CN"/>
        </w:rPr>
        <w:t>经核查，截至本报告书签署日，收购人及一致行动人不存在《收购办法》第六条规定的情形，能够按照《收购办法》第五十条的规定提供相关文件。收购人及一致行动人已按有关规定对本次收购的相关信息进行了如实披露，不存在根据法律及相关规定收购人应当披露而未披露的其他重大信息。</w:t>
      </w:r>
    </w:p>
    <w:p w14:paraId="6922A0F3">
      <w:pPr>
        <w:pStyle w:val="25"/>
        <w:bidi w:val="0"/>
        <w:rPr>
          <w:rFonts w:hint="eastAsia"/>
          <w:lang w:val="en-US" w:eastAsia="zh-CN"/>
        </w:rPr>
      </w:pPr>
      <w:bookmarkStart w:id="95" w:name="_Toc17967"/>
      <w:bookmarkStart w:id="96" w:name="_Toc30701"/>
      <w:r>
        <w:rPr>
          <w:rFonts w:hint="eastAsia"/>
          <w:lang w:val="en-US" w:eastAsia="zh-CN"/>
        </w:rPr>
        <w:t>十八、财务顾问意见</w:t>
      </w:r>
      <w:bookmarkEnd w:id="95"/>
      <w:bookmarkEnd w:id="96"/>
    </w:p>
    <w:p w14:paraId="15FE008B">
      <w:pPr>
        <w:pStyle w:val="20"/>
        <w:numPr>
          <w:ilvl w:val="0"/>
          <w:numId w:val="0"/>
        </w:numPr>
        <w:spacing w:before="156" w:after="156"/>
        <w:ind w:firstLine="480" w:firstLineChars="200"/>
        <w:jc w:val="both"/>
        <w:rPr>
          <w:rFonts w:hint="eastAsia"/>
        </w:rPr>
      </w:pPr>
      <w:r>
        <w:rPr>
          <w:rFonts w:hint="eastAsia"/>
          <w:lang w:val="en-US" w:eastAsia="zh-CN"/>
        </w:rPr>
        <w:t>经核查，本财务顾问认为，收购人的本次收购符合相关法律、法规的相关规定，收购报告书的编制符合法律、法规和中国证监会及深交所的相关规定，所披露的信息不存在虚假记载、误导性陈述或者重大遗漏。</w:t>
      </w:r>
    </w:p>
    <w:p w14:paraId="0490AF8E">
      <w:pPr>
        <w:pStyle w:val="20"/>
        <w:spacing w:before="156" w:after="156"/>
        <w:ind w:firstLine="0" w:firstLineChars="0"/>
        <w:jc w:val="both"/>
        <w:sectPr>
          <w:headerReference r:id="rId13" w:type="first"/>
          <w:footerReference r:id="rId16" w:type="first"/>
          <w:headerReference r:id="rId11" w:type="default"/>
          <w:footerReference r:id="rId14" w:type="default"/>
          <w:headerReference r:id="rId12" w:type="even"/>
          <w:footerReference r:id="rId15" w:type="even"/>
          <w:pgSz w:w="11906" w:h="16838"/>
          <w:pgMar w:top="1440" w:right="1800" w:bottom="1440" w:left="1800" w:header="851" w:footer="992" w:gutter="0"/>
          <w:pgNumType w:start="1"/>
          <w:cols w:space="425" w:num="1"/>
          <w:docGrid w:type="lines" w:linePitch="312" w:charSpace="0"/>
        </w:sectPr>
      </w:pPr>
      <w:r>
        <w:rPr>
          <w:rFonts w:hint="eastAsia"/>
        </w:rPr>
        <w:t>（以下无正文）</w:t>
      </w:r>
    </w:p>
    <w:p w14:paraId="1CEEC19A">
      <w:pPr>
        <w:pStyle w:val="20"/>
        <w:spacing w:before="156" w:after="156"/>
        <w:ind w:firstLine="0" w:firstLineChars="0"/>
        <w:jc w:val="both"/>
      </w:pPr>
      <w:r>
        <w:rPr>
          <w:rFonts w:hint="eastAsia"/>
        </w:rPr>
        <w:t>（本页无正文，为《中国银河证券股份有限公司关于四川汇源光通信股份有限公司收购报告书之财务顾问报告》之签字盖章页）</w:t>
      </w:r>
    </w:p>
    <w:p w14:paraId="7FDF72A1">
      <w:pPr>
        <w:pStyle w:val="20"/>
        <w:spacing w:before="156" w:after="156"/>
        <w:ind w:firstLine="480"/>
      </w:pPr>
    </w:p>
    <w:p w14:paraId="2CAE0EED">
      <w:pPr>
        <w:pStyle w:val="20"/>
        <w:spacing w:before="156" w:after="156"/>
        <w:ind w:firstLine="480"/>
      </w:pPr>
    </w:p>
    <w:tbl>
      <w:tblPr>
        <w:tblStyle w:val="1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1"/>
        <w:gridCol w:w="1646"/>
        <w:gridCol w:w="651"/>
        <w:gridCol w:w="1646"/>
        <w:gridCol w:w="634"/>
        <w:gridCol w:w="1701"/>
      </w:tblGrid>
      <w:tr w14:paraId="5E5E6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6ECB6D7B">
            <w:pPr>
              <w:pStyle w:val="20"/>
              <w:spacing w:before="156" w:after="156"/>
              <w:ind w:firstLine="480"/>
              <w:jc w:val="both"/>
            </w:pPr>
          </w:p>
        </w:tc>
        <w:tc>
          <w:tcPr>
            <w:tcW w:w="1646" w:type="dxa"/>
            <w:shd w:val="clear" w:color="auto" w:fill="auto"/>
          </w:tcPr>
          <w:p w14:paraId="3F856534">
            <w:pPr>
              <w:pStyle w:val="20"/>
              <w:spacing w:before="156" w:after="156"/>
              <w:ind w:firstLine="480"/>
              <w:jc w:val="both"/>
            </w:pPr>
          </w:p>
        </w:tc>
        <w:tc>
          <w:tcPr>
            <w:tcW w:w="651" w:type="dxa"/>
            <w:shd w:val="clear" w:color="auto" w:fill="auto"/>
          </w:tcPr>
          <w:p w14:paraId="49178672">
            <w:pPr>
              <w:pStyle w:val="20"/>
              <w:spacing w:before="156" w:after="156"/>
              <w:ind w:firstLine="480"/>
              <w:jc w:val="both"/>
            </w:pPr>
          </w:p>
        </w:tc>
        <w:tc>
          <w:tcPr>
            <w:tcW w:w="1646" w:type="dxa"/>
            <w:shd w:val="clear" w:color="auto" w:fill="auto"/>
          </w:tcPr>
          <w:p w14:paraId="6A3F71CE">
            <w:pPr>
              <w:pStyle w:val="20"/>
              <w:spacing w:before="156" w:after="156"/>
              <w:ind w:firstLine="480"/>
              <w:jc w:val="both"/>
            </w:pPr>
          </w:p>
        </w:tc>
        <w:tc>
          <w:tcPr>
            <w:tcW w:w="634" w:type="dxa"/>
            <w:tcBorders>
              <w:bottom w:val="nil"/>
            </w:tcBorders>
            <w:shd w:val="clear" w:color="auto" w:fill="auto"/>
            <w:vAlign w:val="center"/>
          </w:tcPr>
          <w:p w14:paraId="439E7171">
            <w:pPr>
              <w:pStyle w:val="20"/>
              <w:spacing w:before="156" w:after="156"/>
              <w:ind w:firstLine="480"/>
              <w:jc w:val="both"/>
            </w:pPr>
          </w:p>
        </w:tc>
        <w:tc>
          <w:tcPr>
            <w:tcW w:w="1701" w:type="dxa"/>
            <w:shd w:val="clear" w:color="auto" w:fill="auto"/>
            <w:vAlign w:val="center"/>
          </w:tcPr>
          <w:p w14:paraId="41367012">
            <w:pPr>
              <w:pStyle w:val="20"/>
              <w:spacing w:before="156" w:after="156"/>
              <w:ind w:firstLine="480"/>
              <w:jc w:val="both"/>
            </w:pPr>
          </w:p>
        </w:tc>
      </w:tr>
      <w:tr w14:paraId="2FAD4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68CB9A3C">
            <w:pPr>
              <w:pStyle w:val="20"/>
              <w:spacing w:before="156" w:after="156"/>
              <w:ind w:firstLine="0" w:firstLineChars="0"/>
              <w:jc w:val="both"/>
            </w:pPr>
            <w:r>
              <w:t>财务顾问主办人</w:t>
            </w:r>
            <w:r>
              <w:rPr>
                <w:rFonts w:hint="eastAsia"/>
              </w:rPr>
              <w:t>：</w:t>
            </w:r>
          </w:p>
        </w:tc>
        <w:tc>
          <w:tcPr>
            <w:tcW w:w="1646" w:type="dxa"/>
            <w:tcBorders>
              <w:bottom w:val="single" w:color="auto" w:sz="4" w:space="0"/>
            </w:tcBorders>
            <w:shd w:val="clear" w:color="auto" w:fill="auto"/>
          </w:tcPr>
          <w:p w14:paraId="3ED7A2EF">
            <w:pPr>
              <w:pStyle w:val="20"/>
              <w:spacing w:before="156" w:after="156"/>
              <w:ind w:firstLine="480"/>
              <w:jc w:val="both"/>
            </w:pPr>
          </w:p>
        </w:tc>
        <w:tc>
          <w:tcPr>
            <w:tcW w:w="651" w:type="dxa"/>
            <w:shd w:val="clear" w:color="auto" w:fill="auto"/>
          </w:tcPr>
          <w:p w14:paraId="764344C8">
            <w:pPr>
              <w:pStyle w:val="20"/>
              <w:spacing w:before="156" w:after="156"/>
              <w:ind w:firstLine="480"/>
              <w:jc w:val="both"/>
            </w:pPr>
          </w:p>
        </w:tc>
        <w:tc>
          <w:tcPr>
            <w:tcW w:w="1646" w:type="dxa"/>
            <w:tcBorders>
              <w:bottom w:val="single" w:color="auto" w:sz="4" w:space="0"/>
            </w:tcBorders>
            <w:shd w:val="clear" w:color="auto" w:fill="auto"/>
          </w:tcPr>
          <w:p w14:paraId="7B86BDFD">
            <w:pPr>
              <w:pStyle w:val="20"/>
              <w:spacing w:before="156" w:after="156"/>
              <w:ind w:firstLine="480"/>
              <w:jc w:val="both"/>
            </w:pPr>
          </w:p>
        </w:tc>
        <w:tc>
          <w:tcPr>
            <w:tcW w:w="634" w:type="dxa"/>
            <w:tcBorders>
              <w:top w:val="nil"/>
              <w:bottom w:val="nil"/>
            </w:tcBorders>
            <w:shd w:val="clear" w:color="auto" w:fill="auto"/>
            <w:vAlign w:val="center"/>
          </w:tcPr>
          <w:p w14:paraId="2183AB01">
            <w:pPr>
              <w:pStyle w:val="20"/>
              <w:spacing w:before="156" w:after="156"/>
              <w:ind w:firstLine="480"/>
              <w:jc w:val="both"/>
            </w:pPr>
          </w:p>
        </w:tc>
        <w:tc>
          <w:tcPr>
            <w:tcW w:w="1701" w:type="dxa"/>
            <w:tcBorders>
              <w:bottom w:val="single" w:color="auto" w:sz="4" w:space="0"/>
            </w:tcBorders>
            <w:shd w:val="clear" w:color="auto" w:fill="auto"/>
            <w:vAlign w:val="center"/>
          </w:tcPr>
          <w:p w14:paraId="05A72075">
            <w:pPr>
              <w:pStyle w:val="20"/>
              <w:spacing w:before="156" w:after="156"/>
              <w:ind w:firstLine="480"/>
              <w:jc w:val="both"/>
            </w:pPr>
          </w:p>
        </w:tc>
      </w:tr>
      <w:tr w14:paraId="6A51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3DA00FBB">
            <w:pPr>
              <w:pStyle w:val="20"/>
              <w:spacing w:before="156" w:after="156"/>
              <w:ind w:firstLine="480"/>
              <w:jc w:val="both"/>
            </w:pPr>
          </w:p>
        </w:tc>
        <w:tc>
          <w:tcPr>
            <w:tcW w:w="1646" w:type="dxa"/>
            <w:tcBorders>
              <w:top w:val="single" w:color="auto" w:sz="4" w:space="0"/>
              <w:bottom w:val="nil"/>
            </w:tcBorders>
            <w:shd w:val="clear" w:color="auto" w:fill="auto"/>
            <w:vAlign w:val="center"/>
          </w:tcPr>
          <w:p w14:paraId="39D97E5F">
            <w:pPr>
              <w:pStyle w:val="20"/>
              <w:spacing w:before="156" w:after="156"/>
              <w:ind w:firstLine="480"/>
              <w:jc w:val="both"/>
              <w:rPr>
                <w:rFonts w:hint="eastAsia" w:eastAsia="宋体"/>
                <w:lang w:val="en-US" w:eastAsia="zh-CN"/>
              </w:rPr>
            </w:pPr>
            <w:r>
              <w:rPr>
                <w:rFonts w:hint="eastAsia"/>
                <w:lang w:val="en-US" w:eastAsia="zh-CN"/>
              </w:rPr>
              <w:t>霍岩</w:t>
            </w:r>
          </w:p>
        </w:tc>
        <w:tc>
          <w:tcPr>
            <w:tcW w:w="651" w:type="dxa"/>
            <w:tcBorders>
              <w:bottom w:val="nil"/>
            </w:tcBorders>
            <w:shd w:val="clear" w:color="auto" w:fill="auto"/>
          </w:tcPr>
          <w:p w14:paraId="1F8B4C85">
            <w:pPr>
              <w:pStyle w:val="20"/>
              <w:spacing w:before="156" w:after="156"/>
              <w:ind w:firstLine="480"/>
              <w:jc w:val="both"/>
            </w:pPr>
          </w:p>
        </w:tc>
        <w:tc>
          <w:tcPr>
            <w:tcW w:w="1646" w:type="dxa"/>
            <w:tcBorders>
              <w:top w:val="single" w:color="auto" w:sz="4" w:space="0"/>
              <w:bottom w:val="nil"/>
            </w:tcBorders>
            <w:shd w:val="clear" w:color="auto" w:fill="auto"/>
          </w:tcPr>
          <w:p w14:paraId="29BA4A0C">
            <w:pPr>
              <w:pStyle w:val="20"/>
              <w:spacing w:before="156" w:after="156"/>
              <w:ind w:firstLine="480"/>
              <w:jc w:val="both"/>
            </w:pPr>
            <w:r>
              <w:rPr>
                <w:rFonts w:hint="eastAsia"/>
              </w:rPr>
              <w:t>潘蔚</w:t>
            </w:r>
          </w:p>
        </w:tc>
        <w:tc>
          <w:tcPr>
            <w:tcW w:w="634" w:type="dxa"/>
            <w:tcBorders>
              <w:top w:val="nil"/>
              <w:bottom w:val="nil"/>
            </w:tcBorders>
            <w:shd w:val="clear" w:color="auto" w:fill="auto"/>
            <w:vAlign w:val="center"/>
          </w:tcPr>
          <w:p w14:paraId="76C1B7B4">
            <w:pPr>
              <w:pStyle w:val="20"/>
              <w:spacing w:before="156" w:after="156"/>
              <w:ind w:firstLine="480"/>
              <w:jc w:val="both"/>
            </w:pPr>
          </w:p>
        </w:tc>
        <w:tc>
          <w:tcPr>
            <w:tcW w:w="1701" w:type="dxa"/>
            <w:tcBorders>
              <w:top w:val="single" w:color="auto" w:sz="4" w:space="0"/>
              <w:bottom w:val="nil"/>
            </w:tcBorders>
            <w:shd w:val="clear" w:color="auto" w:fill="auto"/>
            <w:vAlign w:val="center"/>
          </w:tcPr>
          <w:p w14:paraId="301D0346">
            <w:pPr>
              <w:pStyle w:val="20"/>
              <w:spacing w:before="156" w:after="156"/>
              <w:ind w:firstLine="0" w:firstLineChars="0"/>
              <w:jc w:val="center"/>
              <w:rPr>
                <w:rFonts w:hint="default" w:eastAsia="宋体"/>
                <w:lang w:val="en-US" w:eastAsia="zh-CN"/>
              </w:rPr>
            </w:pPr>
            <w:r>
              <w:rPr>
                <w:rFonts w:hint="eastAsia"/>
                <w:lang w:val="en-US" w:eastAsia="zh-CN"/>
              </w:rPr>
              <w:t>靳红雅</w:t>
            </w:r>
          </w:p>
        </w:tc>
      </w:tr>
      <w:tr w14:paraId="5E618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33AB8464">
            <w:pPr>
              <w:pStyle w:val="20"/>
              <w:spacing w:before="156" w:after="156"/>
              <w:ind w:firstLine="0" w:firstLineChars="0"/>
              <w:jc w:val="both"/>
            </w:pPr>
            <w:r>
              <w:t>财务顾问</w:t>
            </w:r>
            <w:r>
              <w:rPr>
                <w:rFonts w:hint="eastAsia"/>
              </w:rPr>
              <w:t>协办</w:t>
            </w:r>
            <w:r>
              <w:t>人</w:t>
            </w:r>
            <w:r>
              <w:rPr>
                <w:rFonts w:hint="eastAsia"/>
              </w:rPr>
              <w:t>：</w:t>
            </w:r>
          </w:p>
        </w:tc>
        <w:tc>
          <w:tcPr>
            <w:tcW w:w="1646" w:type="dxa"/>
            <w:tcBorders>
              <w:bottom w:val="single" w:color="auto" w:sz="4" w:space="0"/>
            </w:tcBorders>
            <w:shd w:val="clear" w:color="auto" w:fill="auto"/>
          </w:tcPr>
          <w:p w14:paraId="02436350">
            <w:pPr>
              <w:pStyle w:val="20"/>
              <w:spacing w:before="156" w:after="156"/>
              <w:ind w:firstLine="480"/>
              <w:jc w:val="both"/>
            </w:pPr>
          </w:p>
        </w:tc>
        <w:tc>
          <w:tcPr>
            <w:tcW w:w="651" w:type="dxa"/>
            <w:shd w:val="clear" w:color="auto" w:fill="auto"/>
          </w:tcPr>
          <w:p w14:paraId="28B3CB5A">
            <w:pPr>
              <w:pStyle w:val="20"/>
              <w:spacing w:before="156" w:after="156"/>
              <w:ind w:firstLine="480"/>
              <w:jc w:val="both"/>
            </w:pPr>
          </w:p>
        </w:tc>
        <w:tc>
          <w:tcPr>
            <w:tcW w:w="1646" w:type="dxa"/>
            <w:tcBorders>
              <w:bottom w:val="single" w:color="auto" w:sz="4" w:space="0"/>
            </w:tcBorders>
            <w:shd w:val="clear" w:color="auto" w:fill="auto"/>
          </w:tcPr>
          <w:p w14:paraId="1E1A3673">
            <w:pPr>
              <w:pStyle w:val="20"/>
              <w:spacing w:before="156" w:after="156"/>
              <w:ind w:firstLine="480"/>
              <w:jc w:val="both"/>
            </w:pPr>
          </w:p>
        </w:tc>
        <w:tc>
          <w:tcPr>
            <w:tcW w:w="634" w:type="dxa"/>
            <w:tcBorders>
              <w:top w:val="nil"/>
              <w:bottom w:val="nil"/>
            </w:tcBorders>
            <w:shd w:val="clear" w:color="auto" w:fill="auto"/>
            <w:vAlign w:val="center"/>
          </w:tcPr>
          <w:p w14:paraId="1D3DEB5E">
            <w:pPr>
              <w:pStyle w:val="20"/>
              <w:spacing w:before="156" w:after="156"/>
              <w:ind w:firstLine="480"/>
              <w:jc w:val="both"/>
            </w:pPr>
          </w:p>
        </w:tc>
        <w:tc>
          <w:tcPr>
            <w:tcW w:w="1701" w:type="dxa"/>
            <w:tcBorders>
              <w:bottom w:val="nil"/>
            </w:tcBorders>
            <w:shd w:val="clear" w:color="auto" w:fill="auto"/>
            <w:vAlign w:val="top"/>
          </w:tcPr>
          <w:p w14:paraId="0674A7FF">
            <w:pPr>
              <w:pStyle w:val="20"/>
              <w:spacing w:before="156" w:after="156"/>
              <w:ind w:firstLine="480" w:firstLineChars="200"/>
              <w:jc w:val="both"/>
            </w:pPr>
          </w:p>
        </w:tc>
      </w:tr>
      <w:tr w14:paraId="7C086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2B8D8419">
            <w:pPr>
              <w:pStyle w:val="20"/>
              <w:spacing w:before="156" w:after="156"/>
              <w:ind w:firstLine="480"/>
              <w:jc w:val="both"/>
            </w:pPr>
          </w:p>
        </w:tc>
        <w:tc>
          <w:tcPr>
            <w:tcW w:w="1646" w:type="dxa"/>
            <w:tcBorders>
              <w:top w:val="nil"/>
            </w:tcBorders>
            <w:shd w:val="clear" w:color="auto" w:fill="auto"/>
            <w:vAlign w:val="center"/>
          </w:tcPr>
          <w:p w14:paraId="5EE8F685">
            <w:pPr>
              <w:pStyle w:val="20"/>
              <w:spacing w:before="156" w:after="156"/>
              <w:ind w:firstLine="0" w:firstLineChars="0"/>
              <w:jc w:val="center"/>
              <w:rPr>
                <w:rFonts w:hint="default" w:eastAsia="宋体"/>
                <w:lang w:val="en-US" w:eastAsia="zh-CN"/>
              </w:rPr>
            </w:pPr>
            <w:r>
              <w:rPr>
                <w:rFonts w:hint="eastAsia"/>
                <w:lang w:val="en-US" w:eastAsia="zh-CN"/>
              </w:rPr>
              <w:t>王一后</w:t>
            </w:r>
          </w:p>
        </w:tc>
        <w:tc>
          <w:tcPr>
            <w:tcW w:w="651" w:type="dxa"/>
            <w:tcBorders>
              <w:top w:val="nil"/>
            </w:tcBorders>
            <w:shd w:val="clear" w:color="auto" w:fill="auto"/>
          </w:tcPr>
          <w:p w14:paraId="323AAD33">
            <w:pPr>
              <w:pStyle w:val="20"/>
              <w:spacing w:before="156" w:after="156"/>
              <w:ind w:firstLine="480"/>
              <w:jc w:val="both"/>
            </w:pPr>
          </w:p>
        </w:tc>
        <w:tc>
          <w:tcPr>
            <w:tcW w:w="1646" w:type="dxa"/>
            <w:tcBorders>
              <w:top w:val="nil"/>
            </w:tcBorders>
            <w:shd w:val="clear" w:color="auto" w:fill="auto"/>
          </w:tcPr>
          <w:p w14:paraId="61F90928">
            <w:pPr>
              <w:pStyle w:val="20"/>
              <w:spacing w:before="156" w:after="156"/>
              <w:ind w:firstLine="0" w:firstLineChars="0"/>
              <w:jc w:val="center"/>
              <w:rPr>
                <w:rFonts w:hint="eastAsia" w:eastAsia="宋体"/>
                <w:lang w:eastAsia="zh-CN"/>
              </w:rPr>
            </w:pPr>
            <w:r>
              <w:rPr>
                <w:rFonts w:hint="eastAsia"/>
                <w:lang w:val="en-US" w:eastAsia="zh-CN"/>
              </w:rPr>
              <w:t>王红宁</w:t>
            </w:r>
          </w:p>
        </w:tc>
        <w:tc>
          <w:tcPr>
            <w:tcW w:w="634" w:type="dxa"/>
            <w:tcBorders>
              <w:top w:val="nil"/>
              <w:bottom w:val="nil"/>
            </w:tcBorders>
            <w:shd w:val="clear" w:color="auto" w:fill="auto"/>
            <w:vAlign w:val="center"/>
          </w:tcPr>
          <w:p w14:paraId="1D356472">
            <w:pPr>
              <w:pStyle w:val="20"/>
              <w:spacing w:before="156" w:after="156"/>
              <w:ind w:firstLine="480"/>
              <w:jc w:val="both"/>
            </w:pPr>
          </w:p>
        </w:tc>
        <w:tc>
          <w:tcPr>
            <w:tcW w:w="1701" w:type="dxa"/>
            <w:tcBorders>
              <w:top w:val="nil"/>
            </w:tcBorders>
            <w:shd w:val="clear" w:color="auto" w:fill="auto"/>
            <w:vAlign w:val="top"/>
          </w:tcPr>
          <w:p w14:paraId="54250B12">
            <w:pPr>
              <w:pStyle w:val="20"/>
              <w:spacing w:before="156" w:after="156"/>
              <w:ind w:firstLine="0" w:firstLineChars="0"/>
              <w:jc w:val="center"/>
              <w:rPr>
                <w:rFonts w:hint="default"/>
                <w:lang w:val="en-US"/>
              </w:rPr>
            </w:pPr>
          </w:p>
        </w:tc>
      </w:tr>
      <w:tr w14:paraId="4EA25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59FE99AF">
            <w:pPr>
              <w:pStyle w:val="20"/>
              <w:spacing w:before="156" w:after="156"/>
              <w:ind w:firstLine="0" w:firstLineChars="0"/>
              <w:jc w:val="both"/>
              <w:rPr>
                <w:rFonts w:hint="eastAsia"/>
              </w:rPr>
            </w:pPr>
          </w:p>
        </w:tc>
        <w:tc>
          <w:tcPr>
            <w:tcW w:w="1646" w:type="dxa"/>
            <w:tcBorders>
              <w:bottom w:val="single" w:color="000000" w:sz="4" w:space="0"/>
            </w:tcBorders>
            <w:shd w:val="clear" w:color="auto" w:fill="auto"/>
          </w:tcPr>
          <w:p w14:paraId="0BD9A838">
            <w:pPr>
              <w:pStyle w:val="20"/>
              <w:spacing w:before="156" w:after="156"/>
              <w:ind w:firstLine="480"/>
              <w:jc w:val="both"/>
            </w:pPr>
          </w:p>
        </w:tc>
        <w:tc>
          <w:tcPr>
            <w:tcW w:w="651" w:type="dxa"/>
            <w:shd w:val="clear" w:color="auto" w:fill="auto"/>
          </w:tcPr>
          <w:p w14:paraId="16AB73DA">
            <w:pPr>
              <w:pStyle w:val="20"/>
              <w:spacing w:before="156" w:after="156"/>
              <w:ind w:firstLine="480"/>
              <w:jc w:val="both"/>
            </w:pPr>
          </w:p>
        </w:tc>
        <w:tc>
          <w:tcPr>
            <w:tcW w:w="1646" w:type="dxa"/>
            <w:tcBorders>
              <w:bottom w:val="single" w:color="000000" w:sz="4" w:space="0"/>
            </w:tcBorders>
            <w:shd w:val="clear" w:color="auto" w:fill="auto"/>
          </w:tcPr>
          <w:p w14:paraId="42B5A66F">
            <w:pPr>
              <w:pStyle w:val="20"/>
              <w:spacing w:before="156" w:after="156"/>
              <w:ind w:firstLine="480"/>
              <w:jc w:val="both"/>
            </w:pPr>
          </w:p>
        </w:tc>
        <w:tc>
          <w:tcPr>
            <w:tcW w:w="634" w:type="dxa"/>
            <w:tcBorders>
              <w:top w:val="nil"/>
              <w:bottom w:val="nil"/>
            </w:tcBorders>
            <w:shd w:val="clear" w:color="auto" w:fill="auto"/>
            <w:vAlign w:val="center"/>
          </w:tcPr>
          <w:p w14:paraId="1A6D4B6C">
            <w:pPr>
              <w:pStyle w:val="20"/>
              <w:spacing w:before="156" w:after="156"/>
              <w:ind w:firstLine="480"/>
              <w:jc w:val="both"/>
            </w:pPr>
          </w:p>
        </w:tc>
        <w:tc>
          <w:tcPr>
            <w:tcW w:w="1701" w:type="dxa"/>
            <w:shd w:val="clear" w:color="auto" w:fill="auto"/>
            <w:vAlign w:val="center"/>
          </w:tcPr>
          <w:p w14:paraId="52C50A69">
            <w:pPr>
              <w:pStyle w:val="20"/>
              <w:spacing w:before="156" w:after="156"/>
              <w:ind w:firstLine="480"/>
              <w:jc w:val="both"/>
            </w:pPr>
          </w:p>
        </w:tc>
      </w:tr>
      <w:tr w14:paraId="3CE40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5C2F96A1">
            <w:pPr>
              <w:pStyle w:val="20"/>
              <w:spacing w:before="156" w:after="156"/>
              <w:ind w:firstLine="0" w:firstLineChars="0"/>
              <w:jc w:val="both"/>
              <w:rPr>
                <w:rFonts w:hint="eastAsia"/>
              </w:rPr>
            </w:pPr>
          </w:p>
        </w:tc>
        <w:tc>
          <w:tcPr>
            <w:tcW w:w="1646" w:type="dxa"/>
            <w:tcBorders>
              <w:top w:val="single" w:color="000000" w:sz="4" w:space="0"/>
              <w:bottom w:val="nil"/>
            </w:tcBorders>
            <w:shd w:val="clear" w:color="auto" w:fill="auto"/>
          </w:tcPr>
          <w:p w14:paraId="348B2B56">
            <w:pPr>
              <w:pStyle w:val="20"/>
              <w:spacing w:before="156" w:after="156"/>
              <w:ind w:left="0" w:leftChars="0" w:firstLine="240" w:firstLineChars="100"/>
              <w:jc w:val="both"/>
              <w:rPr>
                <w:rFonts w:hint="eastAsia" w:eastAsia="宋体"/>
                <w:lang w:val="en-US" w:eastAsia="zh-CN"/>
              </w:rPr>
            </w:pPr>
            <w:r>
              <w:rPr>
                <w:rFonts w:hint="eastAsia"/>
                <w:lang w:val="en-US" w:eastAsia="zh-CN"/>
              </w:rPr>
              <w:t>王越溪</w:t>
            </w:r>
          </w:p>
        </w:tc>
        <w:tc>
          <w:tcPr>
            <w:tcW w:w="651" w:type="dxa"/>
            <w:shd w:val="clear" w:color="auto" w:fill="auto"/>
          </w:tcPr>
          <w:p w14:paraId="11C93EC7">
            <w:pPr>
              <w:pStyle w:val="20"/>
              <w:spacing w:before="156" w:after="156"/>
              <w:ind w:firstLine="480"/>
              <w:jc w:val="both"/>
            </w:pPr>
          </w:p>
        </w:tc>
        <w:tc>
          <w:tcPr>
            <w:tcW w:w="1646" w:type="dxa"/>
            <w:tcBorders>
              <w:top w:val="single" w:color="000000" w:sz="4" w:space="0"/>
            </w:tcBorders>
            <w:shd w:val="clear" w:color="auto" w:fill="auto"/>
          </w:tcPr>
          <w:p w14:paraId="187AEFB8">
            <w:pPr>
              <w:pStyle w:val="20"/>
              <w:spacing w:before="156" w:after="156"/>
              <w:ind w:left="0" w:leftChars="0" w:firstLine="0" w:firstLineChars="0"/>
              <w:jc w:val="center"/>
            </w:pPr>
            <w:r>
              <w:rPr>
                <w:rFonts w:hint="eastAsia"/>
                <w:lang w:val="en-US" w:eastAsia="zh-CN"/>
              </w:rPr>
              <w:t>关昊天</w:t>
            </w:r>
          </w:p>
        </w:tc>
        <w:tc>
          <w:tcPr>
            <w:tcW w:w="634" w:type="dxa"/>
            <w:tcBorders>
              <w:top w:val="nil"/>
              <w:bottom w:val="nil"/>
            </w:tcBorders>
            <w:shd w:val="clear" w:color="auto" w:fill="auto"/>
            <w:vAlign w:val="center"/>
          </w:tcPr>
          <w:p w14:paraId="6A5AA7DE">
            <w:pPr>
              <w:pStyle w:val="20"/>
              <w:spacing w:before="156" w:after="156"/>
              <w:ind w:firstLine="480"/>
              <w:jc w:val="both"/>
            </w:pPr>
          </w:p>
        </w:tc>
        <w:tc>
          <w:tcPr>
            <w:tcW w:w="1701" w:type="dxa"/>
            <w:shd w:val="clear" w:color="auto" w:fill="auto"/>
            <w:vAlign w:val="center"/>
          </w:tcPr>
          <w:p w14:paraId="32A654EB">
            <w:pPr>
              <w:pStyle w:val="20"/>
              <w:spacing w:before="156" w:after="156"/>
              <w:ind w:firstLine="480"/>
              <w:jc w:val="both"/>
            </w:pPr>
          </w:p>
        </w:tc>
      </w:tr>
      <w:tr w14:paraId="584EA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5C3ACA56">
            <w:pPr>
              <w:pStyle w:val="20"/>
              <w:spacing w:before="156" w:after="156"/>
              <w:ind w:firstLine="0" w:firstLineChars="0"/>
              <w:jc w:val="both"/>
            </w:pPr>
            <w:r>
              <w:rPr>
                <w:rFonts w:hint="eastAsia"/>
              </w:rPr>
              <w:t>法定代表人</w:t>
            </w:r>
          </w:p>
          <w:p w14:paraId="2D2843E9">
            <w:pPr>
              <w:pStyle w:val="20"/>
              <w:spacing w:before="156" w:after="156"/>
              <w:ind w:firstLine="0" w:firstLineChars="0"/>
              <w:jc w:val="both"/>
            </w:pPr>
            <w:r>
              <w:rPr>
                <w:rFonts w:hint="eastAsia"/>
              </w:rPr>
              <w:t>（或授权代表）：</w:t>
            </w:r>
          </w:p>
        </w:tc>
        <w:tc>
          <w:tcPr>
            <w:tcW w:w="1646" w:type="dxa"/>
            <w:tcBorders>
              <w:top w:val="nil"/>
              <w:bottom w:val="single" w:color="000000" w:sz="4" w:space="0"/>
            </w:tcBorders>
            <w:shd w:val="clear" w:color="auto" w:fill="auto"/>
          </w:tcPr>
          <w:p w14:paraId="3DE3CF0F">
            <w:pPr>
              <w:pStyle w:val="20"/>
              <w:spacing w:before="156" w:after="156"/>
              <w:ind w:firstLine="480"/>
              <w:jc w:val="both"/>
            </w:pPr>
          </w:p>
        </w:tc>
        <w:tc>
          <w:tcPr>
            <w:tcW w:w="651" w:type="dxa"/>
            <w:shd w:val="clear" w:color="auto" w:fill="auto"/>
          </w:tcPr>
          <w:p w14:paraId="5626069F">
            <w:pPr>
              <w:pStyle w:val="20"/>
              <w:spacing w:before="156" w:after="156"/>
              <w:ind w:firstLine="480"/>
              <w:jc w:val="both"/>
            </w:pPr>
          </w:p>
        </w:tc>
        <w:tc>
          <w:tcPr>
            <w:tcW w:w="1646" w:type="dxa"/>
            <w:shd w:val="clear" w:color="auto" w:fill="auto"/>
          </w:tcPr>
          <w:p w14:paraId="1A958B6E">
            <w:pPr>
              <w:pStyle w:val="20"/>
              <w:spacing w:before="156" w:after="156"/>
              <w:ind w:firstLine="480"/>
              <w:jc w:val="both"/>
            </w:pPr>
          </w:p>
        </w:tc>
        <w:tc>
          <w:tcPr>
            <w:tcW w:w="634" w:type="dxa"/>
            <w:tcBorders>
              <w:top w:val="nil"/>
              <w:bottom w:val="nil"/>
            </w:tcBorders>
            <w:shd w:val="clear" w:color="auto" w:fill="auto"/>
            <w:vAlign w:val="center"/>
          </w:tcPr>
          <w:p w14:paraId="3CF10060">
            <w:pPr>
              <w:pStyle w:val="20"/>
              <w:spacing w:before="156" w:after="156"/>
              <w:ind w:firstLine="480"/>
              <w:jc w:val="both"/>
            </w:pPr>
          </w:p>
        </w:tc>
        <w:tc>
          <w:tcPr>
            <w:tcW w:w="1701" w:type="dxa"/>
            <w:shd w:val="clear" w:color="auto" w:fill="auto"/>
            <w:vAlign w:val="center"/>
          </w:tcPr>
          <w:p w14:paraId="4C35757C">
            <w:pPr>
              <w:pStyle w:val="20"/>
              <w:spacing w:before="156" w:after="156"/>
              <w:ind w:firstLine="480"/>
              <w:jc w:val="both"/>
            </w:pPr>
          </w:p>
        </w:tc>
      </w:tr>
      <w:tr w14:paraId="6D37E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05E3A31C">
            <w:pPr>
              <w:pStyle w:val="20"/>
              <w:spacing w:before="156" w:after="156"/>
              <w:ind w:firstLine="480"/>
              <w:jc w:val="both"/>
            </w:pPr>
          </w:p>
        </w:tc>
        <w:tc>
          <w:tcPr>
            <w:tcW w:w="1646" w:type="dxa"/>
            <w:tcBorders>
              <w:top w:val="single" w:color="000000" w:sz="4" w:space="0"/>
            </w:tcBorders>
            <w:shd w:val="clear" w:color="auto" w:fill="auto"/>
            <w:vAlign w:val="center"/>
          </w:tcPr>
          <w:p w14:paraId="699DBA3F">
            <w:pPr>
              <w:pStyle w:val="20"/>
              <w:spacing w:before="156" w:after="156"/>
              <w:ind w:firstLine="0" w:firstLineChars="0"/>
              <w:jc w:val="center"/>
              <w:rPr>
                <w:rFonts w:hint="default" w:eastAsia="宋体"/>
                <w:lang w:val="en-US" w:eastAsia="zh-CN"/>
              </w:rPr>
            </w:pPr>
            <w:r>
              <w:rPr>
                <w:rFonts w:hint="eastAsia"/>
                <w:lang w:val="en-US" w:eastAsia="zh-CN"/>
              </w:rPr>
              <w:t>王晟</w:t>
            </w:r>
          </w:p>
        </w:tc>
        <w:tc>
          <w:tcPr>
            <w:tcW w:w="651" w:type="dxa"/>
            <w:shd w:val="clear" w:color="auto" w:fill="auto"/>
          </w:tcPr>
          <w:p w14:paraId="418CB368">
            <w:pPr>
              <w:pStyle w:val="20"/>
              <w:spacing w:before="156" w:after="156"/>
              <w:ind w:firstLine="480"/>
              <w:jc w:val="both"/>
            </w:pPr>
          </w:p>
        </w:tc>
        <w:tc>
          <w:tcPr>
            <w:tcW w:w="1646" w:type="dxa"/>
            <w:shd w:val="clear" w:color="auto" w:fill="auto"/>
          </w:tcPr>
          <w:p w14:paraId="12B8E43C">
            <w:pPr>
              <w:pStyle w:val="20"/>
              <w:spacing w:before="156" w:after="156"/>
              <w:ind w:firstLine="480"/>
              <w:jc w:val="both"/>
            </w:pPr>
          </w:p>
        </w:tc>
        <w:tc>
          <w:tcPr>
            <w:tcW w:w="634" w:type="dxa"/>
            <w:tcBorders>
              <w:top w:val="nil"/>
            </w:tcBorders>
            <w:shd w:val="clear" w:color="auto" w:fill="auto"/>
            <w:vAlign w:val="center"/>
          </w:tcPr>
          <w:p w14:paraId="51804E60">
            <w:pPr>
              <w:pStyle w:val="20"/>
              <w:spacing w:before="156" w:after="156"/>
              <w:ind w:firstLine="480"/>
              <w:jc w:val="both"/>
            </w:pPr>
          </w:p>
        </w:tc>
        <w:tc>
          <w:tcPr>
            <w:tcW w:w="1701" w:type="dxa"/>
            <w:shd w:val="clear" w:color="auto" w:fill="auto"/>
            <w:vAlign w:val="center"/>
          </w:tcPr>
          <w:p w14:paraId="7B7A8215">
            <w:pPr>
              <w:pStyle w:val="20"/>
              <w:spacing w:before="156" w:after="156"/>
              <w:ind w:firstLine="480"/>
              <w:jc w:val="both"/>
            </w:pPr>
          </w:p>
        </w:tc>
      </w:tr>
    </w:tbl>
    <w:p w14:paraId="381491B5">
      <w:pPr>
        <w:pStyle w:val="20"/>
        <w:spacing w:before="156" w:after="156"/>
        <w:ind w:firstLine="480"/>
        <w:jc w:val="both"/>
      </w:pPr>
    </w:p>
    <w:p w14:paraId="1521E958">
      <w:pPr>
        <w:pStyle w:val="20"/>
        <w:spacing w:before="156" w:after="156"/>
        <w:ind w:firstLine="480"/>
        <w:jc w:val="both"/>
      </w:pPr>
    </w:p>
    <w:p w14:paraId="4096BE18">
      <w:pPr>
        <w:pStyle w:val="20"/>
        <w:spacing w:before="156" w:after="156"/>
        <w:ind w:firstLine="480"/>
        <w:jc w:val="both"/>
      </w:pPr>
    </w:p>
    <w:p w14:paraId="72B0AD6E">
      <w:pPr>
        <w:pStyle w:val="20"/>
        <w:spacing w:before="156" w:after="156"/>
        <w:ind w:firstLine="480"/>
        <w:jc w:val="right"/>
      </w:pPr>
      <w:r>
        <w:rPr>
          <w:rFonts w:hint="eastAsia"/>
        </w:rPr>
        <w:t>中国银河证券股份有限公司</w:t>
      </w:r>
    </w:p>
    <w:p w14:paraId="4FD3B188">
      <w:pPr>
        <w:pStyle w:val="20"/>
        <w:spacing w:before="156" w:after="156"/>
        <w:ind w:firstLine="480"/>
        <w:jc w:val="right"/>
      </w:pPr>
      <w:r>
        <w:rPr>
          <w:rFonts w:hint="eastAsia"/>
        </w:rPr>
        <w:t>年</w:t>
      </w:r>
      <w:r>
        <w:t xml:space="preserve">   </w:t>
      </w:r>
      <w:r>
        <w:rPr>
          <w:rFonts w:hint="eastAsia"/>
        </w:rPr>
        <w:t xml:space="preserve"> 月 </w:t>
      </w:r>
      <w:r>
        <w:t xml:space="preserve">   </w:t>
      </w:r>
      <w:r>
        <w:rPr>
          <w:rFonts w:hint="eastAsia"/>
        </w:rPr>
        <w:t>日</w:t>
      </w:r>
    </w:p>
    <w:sectPr>
      <w:headerReference r:id="rId17" w:type="default"/>
      <w:footerReference r:id="rId18"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DB189">
    <w:pPr>
      <w:pStyle w:val="7"/>
      <w:spacing w:before="120" w:after="12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8FEA5">
    <w:pPr>
      <w:pStyle w:val="7"/>
      <w:spacing w:before="120"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3FD87">
    <w:pPr>
      <w:pStyle w:val="7"/>
      <w:spacing w:before="120"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9DDF0">
    <w:pPr>
      <w:pStyle w:val="7"/>
      <w:spacing w:before="120" w:after="12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651256307"/>
                          </w:sdtPr>
                          <w:sdtContent>
                            <w:p w14:paraId="2F737CFD">
                              <w:pPr>
                                <w:pStyle w:val="7"/>
                                <w:spacing w:before="120" w:after="120"/>
                                <w:jc w:val="center"/>
                              </w:pPr>
                              <w:r>
                                <w:fldChar w:fldCharType="begin"/>
                              </w:r>
                              <w:r>
                                <w:instrText xml:space="preserve">PAGE   \* MERGEFORMAT</w:instrText>
                              </w:r>
                              <w:r>
                                <w:fldChar w:fldCharType="separate"/>
                              </w:r>
                              <w:r>
                                <w:rPr>
                                  <w:lang w:val="zh-CN"/>
                                </w:rPr>
                                <w:t>1</w:t>
                              </w:r>
                              <w:r>
                                <w:fldChar w:fldCharType="end"/>
                              </w:r>
                            </w:p>
                          </w:sdtContent>
                        </w:sdt>
                        <w:p w14:paraId="787180F9">
                          <w:pPr>
                            <w:spacing w:before="120" w:after="12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sdt>
                    <w:sdtPr>
                      <w:id w:val="1651256307"/>
                    </w:sdtPr>
                    <w:sdtContent>
                      <w:p w14:paraId="2F737CFD">
                        <w:pPr>
                          <w:pStyle w:val="7"/>
                          <w:spacing w:before="120" w:after="120"/>
                          <w:jc w:val="center"/>
                        </w:pPr>
                        <w:r>
                          <w:fldChar w:fldCharType="begin"/>
                        </w:r>
                        <w:r>
                          <w:instrText xml:space="preserve">PAGE   \* MERGEFORMAT</w:instrText>
                        </w:r>
                        <w:r>
                          <w:fldChar w:fldCharType="separate"/>
                        </w:r>
                        <w:r>
                          <w:rPr>
                            <w:lang w:val="zh-CN"/>
                          </w:rPr>
                          <w:t>1</w:t>
                        </w:r>
                        <w:r>
                          <w:fldChar w:fldCharType="end"/>
                        </w:r>
                      </w:p>
                    </w:sdtContent>
                  </w:sdt>
                  <w:p w14:paraId="787180F9">
                    <w:pPr>
                      <w:spacing w:before="120" w:after="120"/>
                    </w:pPr>
                  </w:p>
                </w:txbxContent>
              </v:textbox>
            </v:shape>
          </w:pict>
        </mc:Fallback>
      </mc:AlternateContent>
    </w:r>
  </w:p>
  <w:p w14:paraId="062372C8">
    <w:pPr>
      <w:pStyle w:val="7"/>
      <w:spacing w:before="120" w:after="1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49872">
    <w:pPr>
      <w:pStyle w:val="7"/>
      <w:spacing w:before="120" w:after="12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D23BB">
    <w:pPr>
      <w:pStyle w:val="7"/>
      <w:spacing w:before="120" w:after="12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BD725">
    <w:pPr>
      <w:pStyle w:val="7"/>
      <w:spacing w:before="120"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49D45DDE">
      <w:pPr>
        <w:pStyle w:val="10"/>
        <w:spacing w:before="156" w:after="156"/>
      </w:pPr>
      <w:r>
        <w:rPr>
          <w:rStyle w:val="18"/>
        </w:rPr>
        <w:footnoteRef/>
      </w:r>
      <w:r>
        <w:rPr>
          <w:rFonts w:hint="eastAsia"/>
          <w:lang w:val="en-US" w:eastAsia="zh-CN"/>
        </w:rPr>
        <w:t xml:space="preserve"> </w:t>
      </w:r>
      <w:r>
        <w:rPr>
          <w:rFonts w:hint="eastAsia"/>
        </w:rPr>
        <w:t>重大诉讼、仲裁事项指的是涉及金额占公司最近一期经审计净资产绝对值10％以上，且绝对金额超过一千万元的诉讼、仲裁，下同。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4E7C9">
    <w:pPr>
      <w:spacing w:before="120" w:after="120"/>
      <w:ind w:left="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A3318">
    <w:pPr>
      <w:pStyle w:val="8"/>
      <w:spacing w:before="120"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263C3">
    <w:pPr>
      <w:pStyle w:val="8"/>
      <w:spacing w:before="120" w:after="1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02D42">
    <w:pPr>
      <w:pStyle w:val="8"/>
      <w:pBdr>
        <w:bottom w:val="none" w:color="auto" w:sz="0" w:space="0"/>
      </w:pBdr>
      <w:spacing w:before="120" w:after="12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BCEA7">
    <w:pPr>
      <w:pStyle w:val="8"/>
      <w:spacing w:before="120" w:after="12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F48F0">
    <w:pPr>
      <w:pStyle w:val="8"/>
      <w:spacing w:before="120" w:after="12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D0EB3">
    <w:pPr>
      <w:pStyle w:val="8"/>
      <w:pBdr>
        <w:bottom w:val="none" w:color="auto" w:sz="0" w:space="0"/>
      </w:pBdr>
      <w:spacing w:before="120"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00172A27"/>
    <w:rsid w:val="00052855"/>
    <w:rsid w:val="000E6FEC"/>
    <w:rsid w:val="000F0E99"/>
    <w:rsid w:val="0010472B"/>
    <w:rsid w:val="005A35EA"/>
    <w:rsid w:val="00692587"/>
    <w:rsid w:val="006B2173"/>
    <w:rsid w:val="007472FF"/>
    <w:rsid w:val="00785757"/>
    <w:rsid w:val="007F445A"/>
    <w:rsid w:val="008F15C1"/>
    <w:rsid w:val="00981DEA"/>
    <w:rsid w:val="00B36F1D"/>
    <w:rsid w:val="00B72F3E"/>
    <w:rsid w:val="00B77F7D"/>
    <w:rsid w:val="00B85A11"/>
    <w:rsid w:val="00B90CB5"/>
    <w:rsid w:val="00BA115F"/>
    <w:rsid w:val="00BA4F8C"/>
    <w:rsid w:val="00C95A8E"/>
    <w:rsid w:val="00CA43F9"/>
    <w:rsid w:val="00D30FD8"/>
    <w:rsid w:val="00D57407"/>
    <w:rsid w:val="00EA64F4"/>
    <w:rsid w:val="01543C57"/>
    <w:rsid w:val="01995B0E"/>
    <w:rsid w:val="01A153ED"/>
    <w:rsid w:val="021730C9"/>
    <w:rsid w:val="022E44A8"/>
    <w:rsid w:val="023B0C9E"/>
    <w:rsid w:val="02467192"/>
    <w:rsid w:val="02AC1ED2"/>
    <w:rsid w:val="02CC6567"/>
    <w:rsid w:val="02E870B2"/>
    <w:rsid w:val="0312203B"/>
    <w:rsid w:val="03F21229"/>
    <w:rsid w:val="0438160E"/>
    <w:rsid w:val="04AF6FF6"/>
    <w:rsid w:val="04DB6D7B"/>
    <w:rsid w:val="04FD098B"/>
    <w:rsid w:val="05711C58"/>
    <w:rsid w:val="05A64594"/>
    <w:rsid w:val="05F96884"/>
    <w:rsid w:val="060774EA"/>
    <w:rsid w:val="06120F6C"/>
    <w:rsid w:val="06D62145"/>
    <w:rsid w:val="071D1CF7"/>
    <w:rsid w:val="07F5097F"/>
    <w:rsid w:val="083C58D5"/>
    <w:rsid w:val="083E6896"/>
    <w:rsid w:val="08531AD0"/>
    <w:rsid w:val="08B97C1D"/>
    <w:rsid w:val="09336848"/>
    <w:rsid w:val="09B86FEE"/>
    <w:rsid w:val="09D35B62"/>
    <w:rsid w:val="09D438CB"/>
    <w:rsid w:val="0AF2557C"/>
    <w:rsid w:val="0AFA7284"/>
    <w:rsid w:val="0B612BD6"/>
    <w:rsid w:val="0B6F523B"/>
    <w:rsid w:val="0BF1572A"/>
    <w:rsid w:val="0C280352"/>
    <w:rsid w:val="0C3C4B45"/>
    <w:rsid w:val="0D07728E"/>
    <w:rsid w:val="0D9352C6"/>
    <w:rsid w:val="0DB22F0E"/>
    <w:rsid w:val="0E2F2B3A"/>
    <w:rsid w:val="0E446328"/>
    <w:rsid w:val="0E637727"/>
    <w:rsid w:val="0EFD1F59"/>
    <w:rsid w:val="0F497480"/>
    <w:rsid w:val="0F6A7285"/>
    <w:rsid w:val="0F97376A"/>
    <w:rsid w:val="0FAF06A3"/>
    <w:rsid w:val="0FC22A03"/>
    <w:rsid w:val="0FD72598"/>
    <w:rsid w:val="102B0D6F"/>
    <w:rsid w:val="10536835"/>
    <w:rsid w:val="105D0F9F"/>
    <w:rsid w:val="105F54A3"/>
    <w:rsid w:val="112474AB"/>
    <w:rsid w:val="1178129C"/>
    <w:rsid w:val="1188712A"/>
    <w:rsid w:val="11DA54C7"/>
    <w:rsid w:val="11E14ACC"/>
    <w:rsid w:val="120130E0"/>
    <w:rsid w:val="124A0E70"/>
    <w:rsid w:val="14881F1D"/>
    <w:rsid w:val="14EA4AEA"/>
    <w:rsid w:val="1571544A"/>
    <w:rsid w:val="157367D8"/>
    <w:rsid w:val="15B42ABF"/>
    <w:rsid w:val="161F6E56"/>
    <w:rsid w:val="1642631D"/>
    <w:rsid w:val="165038EA"/>
    <w:rsid w:val="16D63CD7"/>
    <w:rsid w:val="16E85A49"/>
    <w:rsid w:val="17683773"/>
    <w:rsid w:val="17F05F76"/>
    <w:rsid w:val="18D931A1"/>
    <w:rsid w:val="18DF7E53"/>
    <w:rsid w:val="19B95250"/>
    <w:rsid w:val="19D2231C"/>
    <w:rsid w:val="19DB269F"/>
    <w:rsid w:val="19E41BC5"/>
    <w:rsid w:val="1A4777BD"/>
    <w:rsid w:val="1A4D7F26"/>
    <w:rsid w:val="1B216501"/>
    <w:rsid w:val="1B505585"/>
    <w:rsid w:val="1BA10E15"/>
    <w:rsid w:val="1BA5302F"/>
    <w:rsid w:val="1BC57540"/>
    <w:rsid w:val="1BE65034"/>
    <w:rsid w:val="1C7B1AED"/>
    <w:rsid w:val="1CA431C6"/>
    <w:rsid w:val="1CDC4DD5"/>
    <w:rsid w:val="1CFF02F5"/>
    <w:rsid w:val="1D0833C8"/>
    <w:rsid w:val="1D40138F"/>
    <w:rsid w:val="1DA520C5"/>
    <w:rsid w:val="1DC1666E"/>
    <w:rsid w:val="1DF05690"/>
    <w:rsid w:val="1E3C6DBB"/>
    <w:rsid w:val="1E512C98"/>
    <w:rsid w:val="1E5170FD"/>
    <w:rsid w:val="1E5F70BD"/>
    <w:rsid w:val="1E786065"/>
    <w:rsid w:val="1E95576F"/>
    <w:rsid w:val="1ECF081D"/>
    <w:rsid w:val="1F2069AC"/>
    <w:rsid w:val="1F9E078D"/>
    <w:rsid w:val="1FCF0A73"/>
    <w:rsid w:val="206D477A"/>
    <w:rsid w:val="20985838"/>
    <w:rsid w:val="209D53E5"/>
    <w:rsid w:val="20B0104F"/>
    <w:rsid w:val="20E64474"/>
    <w:rsid w:val="20F60AF6"/>
    <w:rsid w:val="219D08AB"/>
    <w:rsid w:val="22CD022B"/>
    <w:rsid w:val="233E7AF8"/>
    <w:rsid w:val="24115FE4"/>
    <w:rsid w:val="241A6595"/>
    <w:rsid w:val="246B4C91"/>
    <w:rsid w:val="248E4257"/>
    <w:rsid w:val="24982564"/>
    <w:rsid w:val="24AC7B9B"/>
    <w:rsid w:val="25332C77"/>
    <w:rsid w:val="25597613"/>
    <w:rsid w:val="265043DC"/>
    <w:rsid w:val="26BA2B49"/>
    <w:rsid w:val="270A0791"/>
    <w:rsid w:val="27F325AC"/>
    <w:rsid w:val="282E2C4C"/>
    <w:rsid w:val="287A1946"/>
    <w:rsid w:val="288F7ED4"/>
    <w:rsid w:val="2961039D"/>
    <w:rsid w:val="298F31CF"/>
    <w:rsid w:val="29B8592F"/>
    <w:rsid w:val="2A082F13"/>
    <w:rsid w:val="2A2D33A8"/>
    <w:rsid w:val="2A54176F"/>
    <w:rsid w:val="2A7403E1"/>
    <w:rsid w:val="2AD02CB0"/>
    <w:rsid w:val="2B541222"/>
    <w:rsid w:val="2B787D0D"/>
    <w:rsid w:val="2BFF021C"/>
    <w:rsid w:val="2C7A3E52"/>
    <w:rsid w:val="2C9D53C4"/>
    <w:rsid w:val="2D7A12A8"/>
    <w:rsid w:val="2DC1266B"/>
    <w:rsid w:val="2DDE07F0"/>
    <w:rsid w:val="2E1C1052"/>
    <w:rsid w:val="2E474078"/>
    <w:rsid w:val="2EE645AA"/>
    <w:rsid w:val="2F6337FB"/>
    <w:rsid w:val="2F9A6FD5"/>
    <w:rsid w:val="2FE31312"/>
    <w:rsid w:val="306C6423"/>
    <w:rsid w:val="30737F4F"/>
    <w:rsid w:val="308B3A0A"/>
    <w:rsid w:val="30AB77B9"/>
    <w:rsid w:val="31121C38"/>
    <w:rsid w:val="31315413"/>
    <w:rsid w:val="31553446"/>
    <w:rsid w:val="315E6B46"/>
    <w:rsid w:val="31B118DE"/>
    <w:rsid w:val="31F7585E"/>
    <w:rsid w:val="323A7BD9"/>
    <w:rsid w:val="329D4A6B"/>
    <w:rsid w:val="32E17190"/>
    <w:rsid w:val="33667ECD"/>
    <w:rsid w:val="34452E08"/>
    <w:rsid w:val="34565A0B"/>
    <w:rsid w:val="34A15809"/>
    <w:rsid w:val="34B32468"/>
    <w:rsid w:val="34B329B8"/>
    <w:rsid w:val="34D3217F"/>
    <w:rsid w:val="351E5B0B"/>
    <w:rsid w:val="35437557"/>
    <w:rsid w:val="358931C8"/>
    <w:rsid w:val="35D118F7"/>
    <w:rsid w:val="360409F5"/>
    <w:rsid w:val="3608421E"/>
    <w:rsid w:val="361F3C62"/>
    <w:rsid w:val="36251699"/>
    <w:rsid w:val="37722DF8"/>
    <w:rsid w:val="37E14176"/>
    <w:rsid w:val="384D3CF2"/>
    <w:rsid w:val="38BB4908"/>
    <w:rsid w:val="38D62BC9"/>
    <w:rsid w:val="39A03F4A"/>
    <w:rsid w:val="39D56315"/>
    <w:rsid w:val="3B3331C8"/>
    <w:rsid w:val="3B376366"/>
    <w:rsid w:val="3B38312F"/>
    <w:rsid w:val="3BF60634"/>
    <w:rsid w:val="3C513EFE"/>
    <w:rsid w:val="3C6214F0"/>
    <w:rsid w:val="3C8664BB"/>
    <w:rsid w:val="3CBC1A4F"/>
    <w:rsid w:val="3D015D3A"/>
    <w:rsid w:val="3D747937"/>
    <w:rsid w:val="3E427E85"/>
    <w:rsid w:val="3EC5643D"/>
    <w:rsid w:val="3EDF5F0C"/>
    <w:rsid w:val="3F2907CA"/>
    <w:rsid w:val="3F79198B"/>
    <w:rsid w:val="3F9D7243"/>
    <w:rsid w:val="40287FE8"/>
    <w:rsid w:val="40D22E34"/>
    <w:rsid w:val="40E61A11"/>
    <w:rsid w:val="41814798"/>
    <w:rsid w:val="41970A1B"/>
    <w:rsid w:val="41A35871"/>
    <w:rsid w:val="41F92A85"/>
    <w:rsid w:val="42154762"/>
    <w:rsid w:val="42811223"/>
    <w:rsid w:val="430C1032"/>
    <w:rsid w:val="431C1004"/>
    <w:rsid w:val="4381356A"/>
    <w:rsid w:val="438A66B6"/>
    <w:rsid w:val="439F326D"/>
    <w:rsid w:val="43D02278"/>
    <w:rsid w:val="44444AF2"/>
    <w:rsid w:val="446E0735"/>
    <w:rsid w:val="44A75593"/>
    <w:rsid w:val="44C61D43"/>
    <w:rsid w:val="44DE4FB3"/>
    <w:rsid w:val="45416415"/>
    <w:rsid w:val="455E5035"/>
    <w:rsid w:val="45725A27"/>
    <w:rsid w:val="457732A9"/>
    <w:rsid w:val="45912351"/>
    <w:rsid w:val="45C6318F"/>
    <w:rsid w:val="464821C1"/>
    <w:rsid w:val="46537607"/>
    <w:rsid w:val="47671C1C"/>
    <w:rsid w:val="47D0506A"/>
    <w:rsid w:val="47E673DC"/>
    <w:rsid w:val="47E86F67"/>
    <w:rsid w:val="48421AE8"/>
    <w:rsid w:val="48430168"/>
    <w:rsid w:val="48482F02"/>
    <w:rsid w:val="496570C9"/>
    <w:rsid w:val="49883A6B"/>
    <w:rsid w:val="4A12229C"/>
    <w:rsid w:val="4A7048DE"/>
    <w:rsid w:val="4B190CF4"/>
    <w:rsid w:val="4B80526B"/>
    <w:rsid w:val="4B9F5A91"/>
    <w:rsid w:val="4BA319A4"/>
    <w:rsid w:val="4BAD5E0C"/>
    <w:rsid w:val="4BE44995"/>
    <w:rsid w:val="4BEC4F16"/>
    <w:rsid w:val="4C1659F2"/>
    <w:rsid w:val="4C313A81"/>
    <w:rsid w:val="4C811556"/>
    <w:rsid w:val="4CA427B9"/>
    <w:rsid w:val="4CB51FB5"/>
    <w:rsid w:val="4CE977B4"/>
    <w:rsid w:val="4CEA3FDB"/>
    <w:rsid w:val="4D1E6F6A"/>
    <w:rsid w:val="4D6452B6"/>
    <w:rsid w:val="4E160A69"/>
    <w:rsid w:val="4EC97125"/>
    <w:rsid w:val="4EFC06C5"/>
    <w:rsid w:val="4F5E3164"/>
    <w:rsid w:val="50575F45"/>
    <w:rsid w:val="510F17E9"/>
    <w:rsid w:val="51215134"/>
    <w:rsid w:val="514E605D"/>
    <w:rsid w:val="51533D8D"/>
    <w:rsid w:val="519A29B1"/>
    <w:rsid w:val="51BF6D0A"/>
    <w:rsid w:val="51CC4711"/>
    <w:rsid w:val="520C206F"/>
    <w:rsid w:val="52384083"/>
    <w:rsid w:val="52652008"/>
    <w:rsid w:val="527D5EC3"/>
    <w:rsid w:val="537E49A0"/>
    <w:rsid w:val="53A0570D"/>
    <w:rsid w:val="54460539"/>
    <w:rsid w:val="54506F98"/>
    <w:rsid w:val="54662920"/>
    <w:rsid w:val="55901ECE"/>
    <w:rsid w:val="55E37F4D"/>
    <w:rsid w:val="56124439"/>
    <w:rsid w:val="561F2CA8"/>
    <w:rsid w:val="563D7379"/>
    <w:rsid w:val="564477EE"/>
    <w:rsid w:val="565B2546"/>
    <w:rsid w:val="57437223"/>
    <w:rsid w:val="57442111"/>
    <w:rsid w:val="57526F68"/>
    <w:rsid w:val="57DF78BF"/>
    <w:rsid w:val="57EC294B"/>
    <w:rsid w:val="58217A52"/>
    <w:rsid w:val="582A3F3F"/>
    <w:rsid w:val="58354DBE"/>
    <w:rsid w:val="587C29ED"/>
    <w:rsid w:val="587E1911"/>
    <w:rsid w:val="58C319FE"/>
    <w:rsid w:val="598768DA"/>
    <w:rsid w:val="59BF25B8"/>
    <w:rsid w:val="59CB587A"/>
    <w:rsid w:val="5A474496"/>
    <w:rsid w:val="5A5C0D28"/>
    <w:rsid w:val="5AAB6BB4"/>
    <w:rsid w:val="5AF576A0"/>
    <w:rsid w:val="5B0B337A"/>
    <w:rsid w:val="5B326F18"/>
    <w:rsid w:val="5C2632F7"/>
    <w:rsid w:val="5C2F04AA"/>
    <w:rsid w:val="5D0F23CE"/>
    <w:rsid w:val="5D3530F0"/>
    <w:rsid w:val="5D6C2686"/>
    <w:rsid w:val="5E077570"/>
    <w:rsid w:val="5F426012"/>
    <w:rsid w:val="5F426F53"/>
    <w:rsid w:val="5F9D449F"/>
    <w:rsid w:val="600F436A"/>
    <w:rsid w:val="61004457"/>
    <w:rsid w:val="61214630"/>
    <w:rsid w:val="612F555E"/>
    <w:rsid w:val="61930D03"/>
    <w:rsid w:val="62742FCD"/>
    <w:rsid w:val="627D7EE0"/>
    <w:rsid w:val="628C7AF9"/>
    <w:rsid w:val="63026A9C"/>
    <w:rsid w:val="6323771E"/>
    <w:rsid w:val="632C0827"/>
    <w:rsid w:val="63550DE3"/>
    <w:rsid w:val="638F20A7"/>
    <w:rsid w:val="6429191E"/>
    <w:rsid w:val="64536828"/>
    <w:rsid w:val="647161CA"/>
    <w:rsid w:val="64BB0611"/>
    <w:rsid w:val="64E060B2"/>
    <w:rsid w:val="64FB0C70"/>
    <w:rsid w:val="64FB24B0"/>
    <w:rsid w:val="656B566C"/>
    <w:rsid w:val="659778C0"/>
    <w:rsid w:val="66B44900"/>
    <w:rsid w:val="66C5127C"/>
    <w:rsid w:val="66F63BA0"/>
    <w:rsid w:val="67340937"/>
    <w:rsid w:val="67BD076A"/>
    <w:rsid w:val="67D854F0"/>
    <w:rsid w:val="683078CA"/>
    <w:rsid w:val="68444B5D"/>
    <w:rsid w:val="68596EF0"/>
    <w:rsid w:val="687550D0"/>
    <w:rsid w:val="68C379C6"/>
    <w:rsid w:val="68C86477"/>
    <w:rsid w:val="69623D67"/>
    <w:rsid w:val="6A5F5CCB"/>
    <w:rsid w:val="6B884FF6"/>
    <w:rsid w:val="6CF06813"/>
    <w:rsid w:val="6D747CDF"/>
    <w:rsid w:val="6D776153"/>
    <w:rsid w:val="6D8739D2"/>
    <w:rsid w:val="6DCE08C8"/>
    <w:rsid w:val="6DE52F76"/>
    <w:rsid w:val="6F1E1FD8"/>
    <w:rsid w:val="6F374D5A"/>
    <w:rsid w:val="6F430F42"/>
    <w:rsid w:val="6F470A32"/>
    <w:rsid w:val="6F7E1A5E"/>
    <w:rsid w:val="6FD20CED"/>
    <w:rsid w:val="6FD906A0"/>
    <w:rsid w:val="6FFE233B"/>
    <w:rsid w:val="700310C4"/>
    <w:rsid w:val="70A12CE4"/>
    <w:rsid w:val="70B20AAE"/>
    <w:rsid w:val="70BB456A"/>
    <w:rsid w:val="70C55809"/>
    <w:rsid w:val="717A4726"/>
    <w:rsid w:val="71B84E7C"/>
    <w:rsid w:val="71EC42E8"/>
    <w:rsid w:val="72012A2C"/>
    <w:rsid w:val="720B07FD"/>
    <w:rsid w:val="7225037E"/>
    <w:rsid w:val="7236476B"/>
    <w:rsid w:val="73B33298"/>
    <w:rsid w:val="73FB4CB6"/>
    <w:rsid w:val="74A7098E"/>
    <w:rsid w:val="74BD7522"/>
    <w:rsid w:val="74C152A0"/>
    <w:rsid w:val="752A4419"/>
    <w:rsid w:val="7581743D"/>
    <w:rsid w:val="75CF5F0A"/>
    <w:rsid w:val="75E74DD5"/>
    <w:rsid w:val="76921406"/>
    <w:rsid w:val="76F75C6B"/>
    <w:rsid w:val="7710509E"/>
    <w:rsid w:val="78546C2A"/>
    <w:rsid w:val="78B36876"/>
    <w:rsid w:val="79022FDE"/>
    <w:rsid w:val="792A775E"/>
    <w:rsid w:val="796A42B2"/>
    <w:rsid w:val="79CF3B3E"/>
    <w:rsid w:val="79F64C8C"/>
    <w:rsid w:val="7A650539"/>
    <w:rsid w:val="7BE00177"/>
    <w:rsid w:val="7C1954D6"/>
    <w:rsid w:val="7CCE0027"/>
    <w:rsid w:val="7CFB28AA"/>
    <w:rsid w:val="7D4C5606"/>
    <w:rsid w:val="7E232FDD"/>
    <w:rsid w:val="7EFA7505"/>
    <w:rsid w:val="7F480300"/>
    <w:rsid w:val="7F4F1B45"/>
    <w:rsid w:val="7F6C1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after="50" w:afterLines="50" w:line="360" w:lineRule="auto"/>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qFormat/>
    <w:uiPriority w:val="99"/>
  </w:style>
  <w:style w:type="paragraph" w:styleId="5">
    <w:name w:val="Body Text"/>
    <w:basedOn w:val="1"/>
    <w:qFormat/>
    <w:uiPriority w:val="1"/>
    <w:pPr>
      <w:widowControl/>
      <w:snapToGrid w:val="0"/>
      <w:spacing w:before="50" w:after="50" w:line="360" w:lineRule="auto"/>
      <w:ind w:firstLine="200" w:firstLineChars="200"/>
      <w:jc w:val="both"/>
    </w:pPr>
    <w:rPr>
      <w:rFonts w:ascii="Times New Roman" w:hAnsi="Times New Roman" w:eastAsia="宋体" w:cs="Times New Roman"/>
      <w:sz w:val="24"/>
      <w:szCs w:val="30"/>
      <w:lang w:eastAsia="zh-CN"/>
    </w:rPr>
  </w:style>
  <w:style w:type="paragraph" w:styleId="6">
    <w:name w:val="Plain Text"/>
    <w:basedOn w:val="1"/>
    <w:qFormat/>
    <w:uiPriority w:val="0"/>
    <w:pPr>
      <w:spacing w:before="0" w:beforeLines="0" w:line="240" w:lineRule="auto"/>
    </w:pPr>
    <w:rPr>
      <w:rFonts w:asciiTheme="minorHAnsi" w:hAnsiTheme="minorHAnsi" w:eastAsiaTheme="minorEastAsia" w:cstheme="minorBidi"/>
      <w:sz w:val="18"/>
      <w:szCs w:val="18"/>
    </w:rPr>
  </w:style>
  <w:style w:type="paragraph" w:styleId="7">
    <w:name w:val="footer"/>
    <w:basedOn w:val="1"/>
    <w:link w:val="27"/>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6"/>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unhideWhenUsed/>
    <w:qFormat/>
    <w:uiPriority w:val="39"/>
  </w:style>
  <w:style w:type="paragraph" w:styleId="10">
    <w:name w:val="footnote text"/>
    <w:basedOn w:val="1"/>
    <w:semiHidden/>
    <w:unhideWhenUsed/>
    <w:qFormat/>
    <w:uiPriority w:val="99"/>
    <w:pPr>
      <w:snapToGrid w:val="0"/>
    </w:pPr>
    <w:rPr>
      <w:sz w:val="18"/>
    </w:rPr>
  </w:style>
  <w:style w:type="paragraph" w:styleId="11">
    <w:name w:val="toc 2"/>
    <w:basedOn w:val="1"/>
    <w:next w:val="1"/>
    <w:unhideWhenUsed/>
    <w:qFormat/>
    <w:uiPriority w:val="39"/>
    <w:pPr>
      <w:ind w:left="420" w:leftChars="200"/>
    </w:p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mphasis"/>
    <w:basedOn w:val="15"/>
    <w:qFormat/>
    <w:uiPriority w:val="20"/>
    <w:rPr>
      <w:i/>
    </w:rPr>
  </w:style>
  <w:style w:type="character" w:styleId="17">
    <w:name w:val="Hyperlink"/>
    <w:basedOn w:val="15"/>
    <w:unhideWhenUsed/>
    <w:qFormat/>
    <w:uiPriority w:val="99"/>
    <w:rPr>
      <w:color w:val="0000FF" w:themeColor="hyperlink"/>
      <w:u w:val="single"/>
      <w14:textFill>
        <w14:solidFill>
          <w14:schemeClr w14:val="hlink"/>
        </w14:solidFill>
      </w14:textFill>
    </w:rPr>
  </w:style>
  <w:style w:type="character" w:styleId="18">
    <w:name w:val="footnote reference"/>
    <w:basedOn w:val="15"/>
    <w:semiHidden/>
    <w:unhideWhenUsed/>
    <w:qFormat/>
    <w:uiPriority w:val="99"/>
    <w:rPr>
      <w:vertAlign w:val="superscript"/>
    </w:rPr>
  </w:style>
  <w:style w:type="paragraph" w:customStyle="1" w:styleId="19">
    <w:name w:val="Default"/>
    <w:qFormat/>
    <w:uiPriority w:val="99"/>
    <w:pPr>
      <w:widowControl w:val="0"/>
      <w:autoSpaceDE w:val="0"/>
      <w:autoSpaceDN w:val="0"/>
      <w:adjustRightInd w:val="0"/>
    </w:pPr>
    <w:rPr>
      <w:rFonts w:hint="eastAsia" w:ascii="仿宋_GB2312" w:hAnsi="仿宋_GB2312" w:eastAsia="仿宋_GB2312" w:cs="Times New Roman"/>
      <w:color w:val="000000"/>
      <w:sz w:val="24"/>
      <w:szCs w:val="22"/>
      <w:lang w:val="en-US" w:eastAsia="zh-CN" w:bidi="ar-SA"/>
    </w:rPr>
  </w:style>
  <w:style w:type="paragraph" w:customStyle="1" w:styleId="20">
    <w:name w:val="G正文"/>
    <w:basedOn w:val="1"/>
    <w:qFormat/>
    <w:uiPriority w:val="0"/>
    <w:pPr>
      <w:ind w:firstLine="200" w:firstLineChars="200"/>
    </w:pPr>
  </w:style>
  <w:style w:type="paragraph" w:customStyle="1" w:styleId="21">
    <w:name w:val="G(一)"/>
    <w:basedOn w:val="1"/>
    <w:next w:val="20"/>
    <w:qFormat/>
    <w:uiPriority w:val="0"/>
    <w:pPr>
      <w:outlineLvl w:val="2"/>
    </w:pPr>
    <w:rPr>
      <w:b/>
    </w:rPr>
  </w:style>
  <w:style w:type="paragraph" w:customStyle="1" w:styleId="22">
    <w:name w:val="G1"/>
    <w:basedOn w:val="1"/>
    <w:next w:val="20"/>
    <w:qFormat/>
    <w:uiPriority w:val="0"/>
    <w:pPr>
      <w:ind w:firstLine="200" w:firstLineChars="200"/>
      <w:outlineLvl w:val="3"/>
    </w:pPr>
    <w:rPr>
      <w:b/>
    </w:rPr>
  </w:style>
  <w:style w:type="paragraph" w:customStyle="1" w:styleId="23">
    <w:name w:val="G标题(章)"/>
    <w:basedOn w:val="1"/>
    <w:next w:val="20"/>
    <w:link w:val="38"/>
    <w:qFormat/>
    <w:uiPriority w:val="0"/>
    <w:pPr>
      <w:keepNext/>
      <w:keepLines/>
      <w:pageBreakBefore/>
      <w:spacing w:before="100" w:beforeLines="100" w:after="100" w:afterLines="100"/>
      <w:jc w:val="center"/>
      <w:outlineLvl w:val="0"/>
    </w:pPr>
    <w:rPr>
      <w:b/>
      <w:sz w:val="32"/>
    </w:rPr>
  </w:style>
  <w:style w:type="paragraph" w:customStyle="1" w:styleId="24">
    <w:name w:val="G表格"/>
    <w:basedOn w:val="1"/>
    <w:qFormat/>
    <w:uiPriority w:val="0"/>
    <w:pPr>
      <w:spacing w:before="0" w:beforeLines="0" w:after="0" w:afterLines="0" w:line="240" w:lineRule="auto"/>
    </w:pPr>
    <w:rPr>
      <w:sz w:val="21"/>
    </w:rPr>
  </w:style>
  <w:style w:type="paragraph" w:customStyle="1" w:styleId="25">
    <w:name w:val="G一"/>
    <w:basedOn w:val="1"/>
    <w:next w:val="20"/>
    <w:qFormat/>
    <w:uiPriority w:val="0"/>
    <w:pPr>
      <w:keepLines/>
      <w:spacing w:before="75" w:beforeLines="75" w:after="75" w:afterLines="75"/>
      <w:outlineLvl w:val="1"/>
    </w:pPr>
    <w:rPr>
      <w:b/>
      <w:sz w:val="28"/>
    </w:rPr>
  </w:style>
  <w:style w:type="character" w:customStyle="1" w:styleId="26">
    <w:name w:val="页眉 字符"/>
    <w:basedOn w:val="15"/>
    <w:link w:val="8"/>
    <w:qFormat/>
    <w:uiPriority w:val="99"/>
    <w:rPr>
      <w:rFonts w:ascii="Times New Roman" w:hAnsi="Times New Roman" w:eastAsia="宋体" w:cs="Times New Roman"/>
      <w:sz w:val="18"/>
      <w:szCs w:val="18"/>
    </w:rPr>
  </w:style>
  <w:style w:type="character" w:customStyle="1" w:styleId="27">
    <w:name w:val="页脚 字符"/>
    <w:basedOn w:val="15"/>
    <w:link w:val="7"/>
    <w:qFormat/>
    <w:uiPriority w:val="99"/>
    <w:rPr>
      <w:rFonts w:ascii="Times New Roman" w:hAnsi="Times New Roman" w:eastAsia="宋体" w:cs="Times New Roman"/>
      <w:sz w:val="18"/>
      <w:szCs w:val="18"/>
    </w:rPr>
  </w:style>
  <w:style w:type="paragraph" w:customStyle="1" w:styleId="28">
    <w:name w:val="说明书-1标题"/>
    <w:basedOn w:val="2"/>
    <w:next w:val="1"/>
    <w:qFormat/>
    <w:uiPriority w:val="0"/>
    <w:pPr>
      <w:keepNext w:val="0"/>
      <w:keepLines w:val="0"/>
      <w:spacing w:before="50" w:after="50" w:line="360" w:lineRule="auto"/>
      <w:jc w:val="center"/>
    </w:pPr>
    <w:rPr>
      <w:rFonts w:eastAsia="黑体"/>
      <w:b w:val="0"/>
      <w:sz w:val="36"/>
      <w:szCs w:val="36"/>
    </w:rPr>
  </w:style>
  <w:style w:type="paragraph" w:customStyle="1" w:styleId="29">
    <w:name w:val="图表文字"/>
    <w:basedOn w:val="1"/>
    <w:qFormat/>
    <w:uiPriority w:val="0"/>
    <w:pPr>
      <w:spacing w:before="0" w:beforeLines="0" w:line="240" w:lineRule="auto"/>
      <w:jc w:val="center"/>
    </w:pPr>
    <w:rPr>
      <w:sz w:val="21"/>
    </w:rPr>
  </w:style>
  <w:style w:type="paragraph" w:customStyle="1" w:styleId="30">
    <w:name w:val="注释"/>
    <w:next w:val="1"/>
    <w:qFormat/>
    <w:uiPriority w:val="0"/>
    <w:pPr>
      <w:widowControl w:val="0"/>
    </w:pPr>
    <w:rPr>
      <w:rFonts w:ascii="Times New Roman" w:hAnsi="Times New Roman" w:eastAsia="宋体" w:cs="Times New Roman"/>
      <w:kern w:val="2"/>
      <w:sz w:val="21"/>
      <w:szCs w:val="21"/>
      <w:lang w:val="en-US" w:eastAsia="zh-CN" w:bidi="ar-SA"/>
    </w:rPr>
  </w:style>
  <w:style w:type="paragraph" w:customStyle="1" w:styleId="31">
    <w:name w:val="说明书-2标题"/>
    <w:basedOn w:val="3"/>
    <w:next w:val="1"/>
    <w:qFormat/>
    <w:uiPriority w:val="0"/>
    <w:pPr>
      <w:keepNext w:val="0"/>
      <w:keepLines w:val="0"/>
      <w:spacing w:before="50" w:after="0" w:line="360" w:lineRule="auto"/>
    </w:pPr>
    <w:rPr>
      <w:rFonts w:ascii="Times New Roman" w:hAnsi="Times New Roman" w:eastAsia="黑体" w:cs="Times New Roman"/>
      <w:b w:val="0"/>
      <w:sz w:val="30"/>
    </w:rPr>
  </w:style>
  <w:style w:type="paragraph" w:customStyle="1" w:styleId="32">
    <w:name w:val="说明书-3标题"/>
    <w:basedOn w:val="1"/>
    <w:next w:val="1"/>
    <w:link w:val="36"/>
    <w:qFormat/>
    <w:uiPriority w:val="0"/>
    <w:pPr>
      <w:outlineLvl w:val="2"/>
    </w:pPr>
    <w:rPr>
      <w:b/>
      <w:sz w:val="28"/>
      <w:szCs w:val="30"/>
    </w:rPr>
  </w:style>
  <w:style w:type="paragraph" w:customStyle="1" w:styleId="33">
    <w:name w:val="说明书-4标题"/>
    <w:basedOn w:val="1"/>
    <w:next w:val="1"/>
    <w:qFormat/>
    <w:uiPriority w:val="0"/>
    <w:pPr>
      <w:outlineLvl w:val="3"/>
    </w:pPr>
    <w:rPr>
      <w:b/>
      <w:szCs w:val="28"/>
    </w:rPr>
  </w:style>
  <w:style w:type="paragraph" w:customStyle="1" w:styleId="34">
    <w:name w:val="单位"/>
    <w:basedOn w:val="1"/>
    <w:qFormat/>
    <w:uiPriority w:val="0"/>
    <w:pPr>
      <w:tabs>
        <w:tab w:val="left" w:pos="2404"/>
        <w:tab w:val="right" w:pos="8306"/>
      </w:tabs>
      <w:adjustRightInd w:val="0"/>
      <w:spacing w:line="240" w:lineRule="auto"/>
      <w:jc w:val="right"/>
      <w:textAlignment w:val="baseline"/>
    </w:pPr>
    <w:rPr>
      <w:rFonts w:ascii="楷体" w:hAnsi="楷体"/>
      <w:kern w:val="0"/>
      <w:sz w:val="21"/>
      <w:szCs w:val="20"/>
    </w:rPr>
  </w:style>
  <w:style w:type="paragraph" w:customStyle="1" w:styleId="35">
    <w:name w:val="图标题"/>
    <w:basedOn w:val="1"/>
    <w:qFormat/>
    <w:uiPriority w:val="0"/>
    <w:pPr>
      <w:adjustRightInd w:val="0"/>
      <w:spacing w:before="0" w:beforeLines="0" w:line="240" w:lineRule="auto"/>
      <w:jc w:val="center"/>
      <w:textAlignment w:val="baseline"/>
    </w:pPr>
    <w:rPr>
      <w:kern w:val="0"/>
      <w:szCs w:val="20"/>
    </w:rPr>
  </w:style>
  <w:style w:type="character" w:customStyle="1" w:styleId="36">
    <w:name w:val="说明书-3标题 Char"/>
    <w:link w:val="32"/>
    <w:qFormat/>
    <w:uiPriority w:val="0"/>
    <w:rPr>
      <w:b/>
      <w:sz w:val="28"/>
      <w:szCs w:val="30"/>
      <w:lang w:eastAsia="zh-CN"/>
    </w:rPr>
  </w:style>
  <w:style w:type="paragraph" w:customStyle="1" w:styleId="37">
    <w:name w:val="说明书-5标题"/>
    <w:basedOn w:val="1"/>
    <w:next w:val="1"/>
    <w:qFormat/>
    <w:uiPriority w:val="0"/>
    <w:pPr>
      <w:outlineLvl w:val="4"/>
    </w:pPr>
  </w:style>
  <w:style w:type="character" w:customStyle="1" w:styleId="38">
    <w:name w:val="G标题(章) Char"/>
    <w:link w:val="23"/>
    <w:qFormat/>
    <w:uiPriority w:val="0"/>
    <w:rPr>
      <w:b/>
      <w:sz w:val="32"/>
    </w:rPr>
  </w:style>
  <w:style w:type="paragraph" w:customStyle="1" w:styleId="39">
    <w:name w:val="001-正文"/>
    <w:basedOn w:val="1"/>
    <w:qFormat/>
    <w:uiPriority w:val="0"/>
    <w:pPr>
      <w:spacing w:before="120"/>
      <w:ind w:firstLine="420" w:firstLineChars="200"/>
    </w:pPr>
    <w:rPr>
      <w:rFonts w:ascii="宋体" w:hAnsi="宋体"/>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2610</Words>
  <Characters>2649</Characters>
  <Lines>802</Lines>
  <Paragraphs>890</Paragraphs>
  <TotalTime>0</TotalTime>
  <ScaleCrop>false</ScaleCrop>
  <LinksUpToDate>false</LinksUpToDate>
  <CharactersWithSpaces>2675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2013-08-29T08:15:00Z</dcterms:created>
  <dc:creator>霍岩</dc:creator>
  <cp:lastModifiedBy>猫猫</cp:lastModifiedBy>
  <cp:lastPrinted>2021-11-10T09:45:00Z</cp:lastPrinted>
  <dcterms:modified xsi:type="dcterms:W3CDTF">2025-11-15T07:40:07Z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72181901719948D4B254E65E6D649A37</vt:lpwstr>
  </property>
  <property fmtid="{D5CDD505-2E9C-101B-9397-08002B2CF9AE}" pid="4" name="KSOTemplateDocerSaveRecord">
    <vt:lpwstr>eyJoZGlkIjoiZjQ2Y2Q2YTdiOWRlMjEwZjc1OWFjNWE3NTEwYjlhYzYiLCJ1c2VySWQiOiI1NDk0NTg4MDcifQ==</vt:lpwstr>
  </property>
</Properties>
</file>