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E94191" w14:textId="77777777" w:rsidR="003376C9" w:rsidRDefault="003376C9" w:rsidP="00814798">
      <w:pPr>
        <w:pStyle w:val="DeedHeading"/>
        <w:widowControl w:val="0"/>
        <w:rPr>
          <w:rFonts w:ascii="KaiTi_GB2312"/>
          <w:color w:val="333333"/>
          <w:lang w:eastAsia="zh-CN"/>
        </w:rPr>
      </w:pPr>
      <w:r>
        <w:rPr>
          <w:rFonts w:ascii="KaiTi_GB2312"/>
          <w:color w:val="333333"/>
          <w:lang w:eastAsia="zh-CN"/>
        </w:rPr>
        <w:t>法律</w:t>
      </w:r>
      <w:r>
        <w:rPr>
          <w:rFonts w:ascii="KaiTi_GB2312" w:hint="eastAsia"/>
          <w:color w:val="333333"/>
          <w:lang w:eastAsia="zh-CN"/>
        </w:rPr>
        <w:t>尽职</w:t>
      </w:r>
      <w:r>
        <w:rPr>
          <w:rFonts w:ascii="KaiTi_GB2312"/>
          <w:color w:val="333333"/>
          <w:lang w:eastAsia="zh-CN"/>
        </w:rPr>
        <w:t>调查</w:t>
      </w:r>
      <w:r>
        <w:rPr>
          <w:rFonts w:ascii="KaiTi_GB2312" w:hint="eastAsia"/>
          <w:color w:val="333333"/>
          <w:lang w:eastAsia="zh-CN"/>
        </w:rPr>
        <w:t>文件清单暨查验计划</w:t>
      </w:r>
    </w:p>
    <w:p w14:paraId="2F851D10" w14:textId="77777777" w:rsidR="003376C9" w:rsidRDefault="003376C9" w:rsidP="00814798">
      <w:pPr>
        <w:pStyle w:val="DeedSubHeading"/>
        <w:widowControl w:val="0"/>
        <w:spacing w:afterLines="300" w:after="720"/>
        <w:rPr>
          <w:lang w:eastAsia="zh-CN"/>
        </w:rPr>
      </w:pPr>
      <w:bookmarkStart w:id="0" w:name="txtSubTitle"/>
      <w:bookmarkEnd w:id="0"/>
    </w:p>
    <w:p w14:paraId="20B8A9EF" w14:textId="28E5C427" w:rsidR="003376C9" w:rsidRPr="009A7554" w:rsidRDefault="00585454" w:rsidP="00814798">
      <w:pPr>
        <w:widowControl w:val="0"/>
        <w:spacing w:afterLines="800" w:after="1920"/>
        <w:rPr>
          <w:rFonts w:hint="eastAsia"/>
          <w:sz w:val="32"/>
          <w:szCs w:val="32"/>
          <w:lang w:eastAsia="zh-CN"/>
        </w:rPr>
      </w:pPr>
      <w:bookmarkStart w:id="1" w:name="txtParty1"/>
      <w:bookmarkEnd w:id="1"/>
      <w:r w:rsidRPr="00585454">
        <w:rPr>
          <w:rFonts w:hint="eastAsia"/>
          <w:sz w:val="32"/>
          <w:szCs w:val="32"/>
          <w:lang w:eastAsia="zh-CN"/>
        </w:rPr>
        <w:t>合肥鼎耘科技产业发展合伙企业（有限合伙）</w:t>
      </w:r>
    </w:p>
    <w:p w14:paraId="675BF55D" w14:textId="613677E3" w:rsidR="003376C9" w:rsidRPr="00B31561" w:rsidRDefault="00BC3E8C" w:rsidP="00814798">
      <w:pPr>
        <w:widowControl w:val="0"/>
        <w:spacing w:before="240" w:afterLines="100" w:after="240" w:line="260" w:lineRule="atLeast"/>
        <w:rPr>
          <w:lang w:eastAsia="zh-CN"/>
        </w:rPr>
      </w:pPr>
      <w:bookmarkStart w:id="2" w:name="txtDate"/>
      <w:bookmarkEnd w:id="2"/>
      <w:r>
        <w:rPr>
          <w:rFonts w:hint="eastAsia"/>
          <w:lang w:eastAsia="zh-CN"/>
        </w:rPr>
        <w:t>二〇二</w:t>
      </w:r>
      <w:r w:rsidR="00585454">
        <w:rPr>
          <w:rFonts w:hint="eastAsia"/>
          <w:lang w:eastAsia="zh-CN"/>
        </w:rPr>
        <w:t>五</w:t>
      </w:r>
      <w:r>
        <w:rPr>
          <w:rFonts w:hint="eastAsia"/>
          <w:lang w:eastAsia="zh-CN"/>
        </w:rPr>
        <w:t>年</w:t>
      </w:r>
      <w:r w:rsidR="00D53ADA">
        <w:rPr>
          <w:rFonts w:hint="eastAsia"/>
          <w:lang w:eastAsia="zh-CN"/>
        </w:rPr>
        <w:t>十一</w:t>
      </w:r>
      <w:r>
        <w:rPr>
          <w:rFonts w:hint="eastAsia"/>
          <w:lang w:eastAsia="zh-CN"/>
        </w:rPr>
        <w:t>月</w:t>
      </w:r>
    </w:p>
    <w:p w14:paraId="4DE0CBD3" w14:textId="77777777" w:rsidR="003376C9" w:rsidRDefault="003376C9" w:rsidP="00814798">
      <w:pPr>
        <w:pStyle w:val="DeedHeading"/>
        <w:widowControl w:val="0"/>
        <w:rPr>
          <w:rFonts w:ascii="KaiTi_GB2312"/>
          <w:lang w:eastAsia="zh-CN"/>
        </w:rPr>
      </w:pPr>
    </w:p>
    <w:p w14:paraId="43F82BBA" w14:textId="77777777" w:rsidR="003376C9" w:rsidRDefault="003376C9" w:rsidP="00814798">
      <w:pPr>
        <w:widowControl w:val="0"/>
        <w:spacing w:before="240" w:line="260" w:lineRule="atLeast"/>
        <w:ind w:left="1985"/>
        <w:rPr>
          <w:rFonts w:ascii="KaiTi_GB2312"/>
          <w:lang w:eastAsia="zh-CN"/>
        </w:rPr>
        <w:sectPr w:rsidR="003376C9">
          <w:footerReference w:type="default" r:id="rId7"/>
          <w:pgSz w:w="11907" w:h="16840"/>
          <w:pgMar w:top="5216" w:right="1021" w:bottom="851" w:left="2127" w:header="851" w:footer="567" w:gutter="0"/>
          <w:cols w:space="720"/>
          <w:titlePg/>
          <w:docGrid w:linePitch="360"/>
        </w:sectPr>
      </w:pPr>
    </w:p>
    <w:p w14:paraId="22B262C0" w14:textId="3FF94BA3" w:rsidR="003376C9" w:rsidRDefault="003376C9" w:rsidP="00814798">
      <w:pPr>
        <w:pStyle w:val="KWBodytext"/>
        <w:widowControl w:val="0"/>
        <w:ind w:firstLine="0"/>
        <w:rPr>
          <w:rFonts w:ascii="KaiTi_GB2312"/>
          <w:b/>
          <w:lang w:eastAsia="zh-CN"/>
        </w:rPr>
      </w:pPr>
      <w:r>
        <w:rPr>
          <w:rFonts w:hint="eastAsia"/>
          <w:b/>
          <w:lang w:eastAsia="zh-CN"/>
        </w:rPr>
        <w:lastRenderedPageBreak/>
        <w:t>致：</w:t>
      </w:r>
      <w:r w:rsidR="00E037AA" w:rsidRPr="00E037AA">
        <w:rPr>
          <w:rFonts w:hint="eastAsia"/>
          <w:b/>
          <w:lang w:eastAsia="zh-CN"/>
        </w:rPr>
        <w:t>合肥鼎耘科技产业发展合伙企业（有限合伙）</w:t>
      </w:r>
    </w:p>
    <w:p w14:paraId="1247FAE3" w14:textId="0334FA8D" w:rsidR="00E037AA" w:rsidRDefault="00E037AA" w:rsidP="00814798">
      <w:pPr>
        <w:pStyle w:val="KWBodytext"/>
        <w:widowControl w:val="0"/>
        <w:rPr>
          <w:rFonts w:hint="eastAsia"/>
          <w:bCs/>
          <w:szCs w:val="24"/>
          <w:lang w:eastAsia="zh-CN"/>
        </w:rPr>
      </w:pPr>
      <w:bookmarkStart w:id="3" w:name="Term_Summary"/>
      <w:bookmarkStart w:id="4" w:name="txtFirstHeading"/>
      <w:bookmarkStart w:id="5" w:name="_Toc116998513"/>
      <w:bookmarkStart w:id="6" w:name="_Toc120594093"/>
      <w:bookmarkStart w:id="7" w:name="_Toc125537553"/>
      <w:bookmarkStart w:id="8" w:name="_Toc167185949"/>
      <w:bookmarkStart w:id="9" w:name="_Toc174352454"/>
      <w:bookmarkStart w:id="10" w:name="txtPartyBody"/>
      <w:bookmarkStart w:id="11" w:name="_Toc155255313"/>
      <w:bookmarkStart w:id="12" w:name="_Toc235953455"/>
      <w:bookmarkStart w:id="13" w:name="_Toc235953479"/>
      <w:bookmarkStart w:id="14" w:name="_Toc235955958"/>
      <w:bookmarkEnd w:id="3"/>
      <w:bookmarkEnd w:id="4"/>
      <w:bookmarkEnd w:id="5"/>
      <w:bookmarkEnd w:id="6"/>
      <w:bookmarkEnd w:id="7"/>
      <w:bookmarkEnd w:id="8"/>
      <w:bookmarkEnd w:id="9"/>
      <w:bookmarkEnd w:id="10"/>
      <w:r>
        <w:rPr>
          <w:rFonts w:hint="eastAsia"/>
          <w:bCs/>
          <w:szCs w:val="24"/>
          <w:lang w:eastAsia="zh-CN"/>
        </w:rPr>
        <w:t>北京当红晴天律师事务所</w:t>
      </w:r>
      <w:r w:rsidR="003376C9">
        <w:rPr>
          <w:bCs/>
          <w:szCs w:val="24"/>
          <w:lang w:eastAsia="zh-CN"/>
        </w:rPr>
        <w:t>（</w:t>
      </w:r>
      <w:r w:rsidR="003376C9" w:rsidRPr="00E037AA">
        <w:rPr>
          <w:bCs/>
          <w:szCs w:val="24"/>
          <w:lang w:eastAsia="zh-CN"/>
        </w:rPr>
        <w:t>以下简称</w:t>
      </w:r>
      <w:r w:rsidR="00320D3E" w:rsidRPr="00E037AA">
        <w:rPr>
          <w:rFonts w:hint="eastAsia"/>
          <w:bCs/>
          <w:szCs w:val="24"/>
          <w:lang w:eastAsia="zh-CN"/>
        </w:rPr>
        <w:t>“</w:t>
      </w:r>
      <w:r w:rsidR="003376C9" w:rsidRPr="00E037AA">
        <w:rPr>
          <w:bCs/>
          <w:szCs w:val="24"/>
          <w:lang w:eastAsia="zh-CN"/>
        </w:rPr>
        <w:t>我们</w:t>
      </w:r>
      <w:r w:rsidR="00320D3E" w:rsidRPr="00E037AA">
        <w:rPr>
          <w:rFonts w:hint="eastAsia"/>
          <w:bCs/>
          <w:szCs w:val="24"/>
          <w:lang w:eastAsia="zh-CN"/>
        </w:rPr>
        <w:t>”</w:t>
      </w:r>
      <w:r w:rsidR="003376C9" w:rsidRPr="00E037AA">
        <w:rPr>
          <w:bCs/>
          <w:szCs w:val="24"/>
          <w:lang w:eastAsia="zh-CN"/>
        </w:rPr>
        <w:t>或</w:t>
      </w:r>
      <w:r w:rsidR="00320D3E" w:rsidRPr="00E037AA">
        <w:rPr>
          <w:rFonts w:hint="eastAsia"/>
          <w:bCs/>
          <w:szCs w:val="24"/>
          <w:lang w:eastAsia="zh-CN"/>
        </w:rPr>
        <w:t>“</w:t>
      </w:r>
      <w:r w:rsidR="003376C9" w:rsidRPr="00E037AA">
        <w:rPr>
          <w:bCs/>
          <w:szCs w:val="24"/>
          <w:lang w:eastAsia="zh-CN"/>
        </w:rPr>
        <w:t>本所</w:t>
      </w:r>
      <w:r w:rsidR="00320D3E" w:rsidRPr="00E037AA">
        <w:rPr>
          <w:rFonts w:hint="eastAsia"/>
          <w:bCs/>
          <w:szCs w:val="24"/>
          <w:lang w:eastAsia="zh-CN"/>
        </w:rPr>
        <w:t>”</w:t>
      </w:r>
      <w:r w:rsidR="003376C9">
        <w:rPr>
          <w:bCs/>
          <w:szCs w:val="24"/>
          <w:lang w:eastAsia="zh-CN"/>
        </w:rPr>
        <w:t>）</w:t>
      </w:r>
      <w:r w:rsidR="003376C9">
        <w:rPr>
          <w:rFonts w:hint="eastAsia"/>
          <w:bCs/>
          <w:szCs w:val="24"/>
          <w:lang w:eastAsia="zh-CN"/>
        </w:rPr>
        <w:t>接受</w:t>
      </w:r>
      <w:r w:rsidRPr="00E037AA">
        <w:rPr>
          <w:rFonts w:hint="eastAsia"/>
          <w:bCs/>
          <w:szCs w:val="24"/>
          <w:lang w:eastAsia="zh-CN"/>
        </w:rPr>
        <w:t>合肥鼎耘科技产业发展合伙企业（有限合伙）</w:t>
      </w:r>
      <w:r w:rsidR="003376C9">
        <w:rPr>
          <w:bCs/>
          <w:szCs w:val="24"/>
          <w:lang w:eastAsia="zh-CN"/>
        </w:rPr>
        <w:t>（以下简称</w:t>
      </w:r>
      <w:r w:rsidR="00320D3E">
        <w:rPr>
          <w:rFonts w:hint="eastAsia"/>
          <w:bCs/>
          <w:szCs w:val="24"/>
          <w:lang w:eastAsia="zh-CN"/>
        </w:rPr>
        <w:t>“</w:t>
      </w:r>
      <w:r>
        <w:rPr>
          <w:rFonts w:hint="eastAsia"/>
          <w:bCs/>
          <w:szCs w:val="24"/>
          <w:lang w:eastAsia="zh-CN"/>
        </w:rPr>
        <w:t>鼎耘产业</w:t>
      </w:r>
      <w:r w:rsidR="00320D3E" w:rsidRPr="00814798">
        <w:rPr>
          <w:rFonts w:hint="eastAsia"/>
          <w:bCs/>
          <w:szCs w:val="24"/>
          <w:lang w:eastAsia="zh-CN"/>
        </w:rPr>
        <w:t>”</w:t>
      </w:r>
      <w:r w:rsidR="003376C9">
        <w:rPr>
          <w:rFonts w:hint="eastAsia"/>
          <w:bCs/>
          <w:szCs w:val="24"/>
          <w:lang w:eastAsia="zh-CN"/>
        </w:rPr>
        <w:t>）委托</w:t>
      </w:r>
      <w:r w:rsidR="007A519C">
        <w:rPr>
          <w:rFonts w:hint="eastAsia"/>
          <w:bCs/>
          <w:szCs w:val="24"/>
          <w:lang w:eastAsia="zh-CN"/>
        </w:rPr>
        <w:t>，</w:t>
      </w:r>
      <w:r>
        <w:rPr>
          <w:rFonts w:hint="eastAsia"/>
          <w:bCs/>
          <w:szCs w:val="24"/>
          <w:lang w:eastAsia="zh-CN"/>
        </w:rPr>
        <w:t>为鼎耘产业通过认购四川汇源光通信股份有限公司（以下简称“汇源通信”或“上市公司”）向其定向发行的股份，并与北京鼎耘科技发展有限公司（以下简称“鼎耘科技”）签署一致行动协议的方式取得汇源通信控制权事宜提供法律服务。</w:t>
      </w:r>
    </w:p>
    <w:p w14:paraId="308333F8" w14:textId="0BD6DDF1" w:rsidR="003376C9" w:rsidRDefault="003376C9" w:rsidP="00814798">
      <w:pPr>
        <w:pStyle w:val="KWBodytext"/>
        <w:widowControl w:val="0"/>
        <w:rPr>
          <w:lang w:eastAsia="zh-CN"/>
        </w:rPr>
      </w:pPr>
      <w:r>
        <w:rPr>
          <w:lang w:eastAsia="zh-CN"/>
        </w:rPr>
        <w:t>为</w:t>
      </w:r>
      <w:r>
        <w:rPr>
          <w:bCs/>
          <w:lang w:eastAsia="zh-CN"/>
        </w:rPr>
        <w:t>顺利推进本项目</w:t>
      </w:r>
      <w:r>
        <w:rPr>
          <w:lang w:eastAsia="zh-CN"/>
        </w:rPr>
        <w:t>，</w:t>
      </w:r>
      <w:r>
        <w:rPr>
          <w:rFonts w:hint="eastAsia"/>
          <w:lang w:eastAsia="zh-CN"/>
        </w:rPr>
        <w:t>我</w:t>
      </w:r>
      <w:r>
        <w:rPr>
          <w:lang w:eastAsia="zh-CN"/>
        </w:rPr>
        <w:t>们编制了法律尽职调查文件清单（</w:t>
      </w:r>
      <w:r>
        <w:rPr>
          <w:bCs/>
          <w:szCs w:val="24"/>
          <w:lang w:eastAsia="zh-CN"/>
        </w:rPr>
        <w:t>以下简称</w:t>
      </w:r>
      <w:r w:rsidR="00320D3E">
        <w:rPr>
          <w:rFonts w:hint="eastAsia"/>
          <w:bCs/>
          <w:szCs w:val="24"/>
          <w:lang w:eastAsia="zh-CN"/>
        </w:rPr>
        <w:t>“</w:t>
      </w:r>
      <w:r w:rsidRPr="00E037AA">
        <w:rPr>
          <w:bCs/>
          <w:lang w:eastAsia="zh-CN"/>
        </w:rPr>
        <w:t>本清单</w:t>
      </w:r>
      <w:r w:rsidR="00320D3E" w:rsidRPr="00814798">
        <w:rPr>
          <w:rFonts w:hint="eastAsia"/>
          <w:lang w:eastAsia="zh-CN"/>
        </w:rPr>
        <w:t>”</w:t>
      </w:r>
      <w:r>
        <w:rPr>
          <w:lang w:eastAsia="zh-CN"/>
        </w:rPr>
        <w:t>），请</w:t>
      </w:r>
      <w:r w:rsidR="00E037AA">
        <w:rPr>
          <w:rFonts w:hint="eastAsia"/>
          <w:lang w:eastAsia="zh-CN"/>
        </w:rPr>
        <w:t>鼎耘产业、鼎耘科技</w:t>
      </w:r>
      <w:r w:rsidR="007E1B15">
        <w:rPr>
          <w:rFonts w:hint="eastAsia"/>
          <w:lang w:eastAsia="zh-CN"/>
        </w:rPr>
        <w:t>（以下合称“公司”）</w:t>
      </w:r>
      <w:r w:rsidR="00E037AA">
        <w:rPr>
          <w:rFonts w:hint="eastAsia"/>
          <w:lang w:eastAsia="zh-CN"/>
        </w:rPr>
        <w:t>按</w:t>
      </w:r>
      <w:r>
        <w:rPr>
          <w:lang w:eastAsia="zh-CN"/>
        </w:rPr>
        <w:t>本清单的要求搜集整理法律文件资料，以便我们</w:t>
      </w:r>
      <w:r>
        <w:rPr>
          <w:rFonts w:hint="eastAsia"/>
          <w:lang w:eastAsia="zh-CN"/>
        </w:rPr>
        <w:t>进一步</w:t>
      </w:r>
      <w:r>
        <w:rPr>
          <w:lang w:eastAsia="zh-CN"/>
        </w:rPr>
        <w:t>了解并掌握有关情况。随着本项目法律工作的不断深入和具体情况的变化，我们也将对本清单进行相应调整和补充</w:t>
      </w:r>
      <w:r>
        <w:rPr>
          <w:rFonts w:hint="eastAsia"/>
          <w:lang w:eastAsia="zh-CN"/>
        </w:rPr>
        <w:t>。</w:t>
      </w:r>
    </w:p>
    <w:p w14:paraId="13D439FF" w14:textId="5A13931E" w:rsidR="00E037AA" w:rsidRDefault="00E037AA" w:rsidP="00814798">
      <w:pPr>
        <w:pStyle w:val="KWBodytext"/>
        <w:widowControl w:val="0"/>
        <w:rPr>
          <w:rFonts w:hint="eastAsia"/>
          <w:lang w:eastAsia="zh-CN"/>
        </w:rPr>
      </w:pPr>
      <w:r>
        <w:rPr>
          <w:rFonts w:hint="eastAsia"/>
          <w:lang w:eastAsia="zh-CN"/>
        </w:rPr>
        <w:t>在鼎耘产业、鼎耘科技提供有关文件时，请务必遵守以下要求：</w:t>
      </w:r>
    </w:p>
    <w:p w14:paraId="37CD0C69" w14:textId="77777777" w:rsidR="003376C9" w:rsidRDefault="003376C9" w:rsidP="00E037AA">
      <w:pPr>
        <w:pStyle w:val="KWBodytext"/>
        <w:widowControl w:val="0"/>
        <w:numPr>
          <w:ilvl w:val="0"/>
          <w:numId w:val="21"/>
        </w:numPr>
        <w:adjustRightInd w:val="0"/>
        <w:snapToGrid w:val="0"/>
        <w:ind w:left="0" w:firstLineChars="200" w:firstLine="480"/>
        <w:rPr>
          <w:lang w:eastAsia="zh-CN"/>
        </w:rPr>
      </w:pPr>
      <w:bookmarkStart w:id="15" w:name="_Toc417941705"/>
      <w:bookmarkStart w:id="16" w:name="_Toc417941836"/>
      <w:bookmarkStart w:id="17" w:name="_Toc417941862"/>
      <w:bookmarkStart w:id="18" w:name="_Toc417941706"/>
      <w:bookmarkStart w:id="19" w:name="_Toc417941837"/>
      <w:bookmarkStart w:id="20" w:name="_Toc417941863"/>
      <w:bookmarkEnd w:id="11"/>
      <w:bookmarkEnd w:id="12"/>
      <w:bookmarkEnd w:id="13"/>
      <w:bookmarkEnd w:id="14"/>
      <w:bookmarkEnd w:id="15"/>
      <w:bookmarkEnd w:id="16"/>
      <w:bookmarkEnd w:id="17"/>
      <w:bookmarkEnd w:id="18"/>
      <w:bookmarkEnd w:id="19"/>
      <w:bookmarkEnd w:id="20"/>
      <w:r>
        <w:rPr>
          <w:rFonts w:hint="eastAsia"/>
          <w:lang w:eastAsia="zh-CN"/>
        </w:rPr>
        <w:t>文件的提供</w:t>
      </w:r>
    </w:p>
    <w:p w14:paraId="5061D6B5" w14:textId="6380E00E" w:rsidR="003376C9" w:rsidRDefault="003376C9" w:rsidP="00E037AA">
      <w:pPr>
        <w:pStyle w:val="KWBodytext"/>
        <w:widowControl w:val="0"/>
        <w:adjustRightInd w:val="0"/>
        <w:snapToGrid w:val="0"/>
        <w:ind w:firstLineChars="200" w:firstLine="480"/>
        <w:rPr>
          <w:lang w:eastAsia="zh-CN"/>
        </w:rPr>
      </w:pPr>
      <w:r>
        <w:rPr>
          <w:lang w:eastAsia="zh-CN"/>
        </w:rPr>
        <w:t>本清单所列之文件、问题是我们为本项目提供法律服务所必需</w:t>
      </w:r>
      <w:r w:rsidR="0078630C">
        <w:rPr>
          <w:rFonts w:hint="eastAsia"/>
          <w:lang w:eastAsia="zh-CN"/>
        </w:rPr>
        <w:t>了解事项</w:t>
      </w:r>
      <w:r>
        <w:rPr>
          <w:lang w:eastAsia="zh-CN"/>
        </w:rPr>
        <w:t>，请</w:t>
      </w:r>
      <w:r w:rsidR="00E037AA">
        <w:rPr>
          <w:rFonts w:hint="eastAsia"/>
          <w:lang w:eastAsia="zh-CN"/>
        </w:rPr>
        <w:t>鼎耘产业、鼎耘科技</w:t>
      </w:r>
      <w:r>
        <w:rPr>
          <w:lang w:eastAsia="zh-CN"/>
        </w:rPr>
        <w:t>提供该等文件的原件及</w:t>
      </w:r>
      <w:r>
        <w:rPr>
          <w:rFonts w:hint="eastAsia"/>
          <w:lang w:eastAsia="zh-CN"/>
        </w:rPr>
        <w:t>/</w:t>
      </w:r>
      <w:r>
        <w:rPr>
          <w:rFonts w:hint="eastAsia"/>
          <w:lang w:eastAsia="zh-CN"/>
        </w:rPr>
        <w:t>或扫描件</w:t>
      </w:r>
      <w:r>
        <w:rPr>
          <w:lang w:eastAsia="zh-CN"/>
        </w:rPr>
        <w:t>/</w:t>
      </w:r>
      <w:r>
        <w:rPr>
          <w:lang w:eastAsia="zh-CN"/>
        </w:rPr>
        <w:t>或复印件（公司</w:t>
      </w:r>
      <w:r>
        <w:rPr>
          <w:rFonts w:hint="eastAsia"/>
          <w:lang w:eastAsia="zh-CN"/>
        </w:rPr>
        <w:t>应当</w:t>
      </w:r>
      <w:r>
        <w:rPr>
          <w:lang w:eastAsia="zh-CN"/>
        </w:rPr>
        <w:t>保证</w:t>
      </w:r>
      <w:r>
        <w:rPr>
          <w:rFonts w:hint="eastAsia"/>
          <w:lang w:eastAsia="zh-CN"/>
        </w:rPr>
        <w:t>扫描件、</w:t>
      </w:r>
      <w:r>
        <w:rPr>
          <w:lang w:eastAsia="zh-CN"/>
        </w:rPr>
        <w:t>复印件与原件的一致性、真实性</w:t>
      </w:r>
      <w:r>
        <w:rPr>
          <w:rFonts w:hint="eastAsia"/>
          <w:lang w:eastAsia="zh-CN"/>
        </w:rPr>
        <w:t>和完整性</w:t>
      </w:r>
      <w:r>
        <w:rPr>
          <w:lang w:eastAsia="zh-CN"/>
        </w:rPr>
        <w:t>），并如实地就该等问题作出说明。</w:t>
      </w:r>
      <w:r>
        <w:rPr>
          <w:rFonts w:hint="eastAsia"/>
          <w:lang w:eastAsia="zh-CN"/>
        </w:rPr>
        <w:t>请将收集的资料</w:t>
      </w:r>
      <w:r w:rsidRPr="00814798">
        <w:rPr>
          <w:rFonts w:hint="eastAsia"/>
          <w:b/>
          <w:u w:val="single"/>
          <w:lang w:eastAsia="zh-CN"/>
        </w:rPr>
        <w:t>优先提供电子版文件</w:t>
      </w:r>
      <w:r>
        <w:rPr>
          <w:rFonts w:hint="eastAsia"/>
          <w:lang w:eastAsia="zh-CN"/>
        </w:rPr>
        <w:t>（指扫描件以及其他电子格式的文件）。</w:t>
      </w:r>
    </w:p>
    <w:p w14:paraId="5476D14B" w14:textId="50FD3F40" w:rsidR="003376C9" w:rsidRDefault="003376C9" w:rsidP="00E037AA">
      <w:pPr>
        <w:pStyle w:val="KWBodytext"/>
        <w:widowControl w:val="0"/>
        <w:adjustRightInd w:val="0"/>
        <w:snapToGrid w:val="0"/>
        <w:ind w:firstLineChars="200" w:firstLine="480"/>
        <w:rPr>
          <w:szCs w:val="24"/>
          <w:lang w:eastAsia="zh-CN"/>
        </w:rPr>
      </w:pPr>
      <w:r>
        <w:rPr>
          <w:szCs w:val="24"/>
          <w:lang w:eastAsia="zh-CN"/>
        </w:rPr>
        <w:t>如本清单有未列或未明确列出、但可能对</w:t>
      </w:r>
      <w:r w:rsidR="00E037AA">
        <w:rPr>
          <w:rFonts w:hint="eastAsia"/>
          <w:szCs w:val="24"/>
          <w:lang w:eastAsia="zh-CN"/>
        </w:rPr>
        <w:t>鼎耘产业、鼎耘科技</w:t>
      </w:r>
      <w:r>
        <w:rPr>
          <w:szCs w:val="24"/>
          <w:lang w:eastAsia="zh-CN"/>
        </w:rPr>
        <w:t>造成重大影响的事件或文件，请</w:t>
      </w:r>
      <w:r w:rsidR="00E037AA">
        <w:rPr>
          <w:rFonts w:hint="eastAsia"/>
          <w:szCs w:val="24"/>
          <w:lang w:eastAsia="zh-CN"/>
        </w:rPr>
        <w:t>予以</w:t>
      </w:r>
      <w:r>
        <w:rPr>
          <w:szCs w:val="24"/>
          <w:lang w:eastAsia="zh-CN"/>
        </w:rPr>
        <w:t>说明并提供相关文件。</w:t>
      </w:r>
    </w:p>
    <w:p w14:paraId="6D480788" w14:textId="77777777" w:rsidR="003376C9" w:rsidRDefault="003376C9" w:rsidP="00E037AA">
      <w:pPr>
        <w:pStyle w:val="KWBodytext"/>
        <w:widowControl w:val="0"/>
        <w:numPr>
          <w:ilvl w:val="0"/>
          <w:numId w:val="21"/>
        </w:numPr>
        <w:adjustRightInd w:val="0"/>
        <w:snapToGrid w:val="0"/>
        <w:ind w:left="0" w:firstLineChars="200" w:firstLine="480"/>
        <w:rPr>
          <w:lang w:eastAsia="zh-CN"/>
        </w:rPr>
      </w:pPr>
      <w:bookmarkStart w:id="21" w:name="_Toc235955962"/>
      <w:r>
        <w:rPr>
          <w:lang w:eastAsia="zh-CN"/>
        </w:rPr>
        <w:t>对本清单进行标注</w:t>
      </w:r>
      <w:bookmarkEnd w:id="21"/>
    </w:p>
    <w:p w14:paraId="7F55CBB6" w14:textId="03FA75DE" w:rsidR="003376C9" w:rsidRDefault="003376C9" w:rsidP="00E037AA">
      <w:pPr>
        <w:pStyle w:val="KWBodytext"/>
        <w:widowControl w:val="0"/>
        <w:adjustRightInd w:val="0"/>
        <w:snapToGrid w:val="0"/>
        <w:ind w:firstLineChars="200" w:firstLine="480"/>
        <w:rPr>
          <w:lang w:eastAsia="zh-CN"/>
        </w:rPr>
      </w:pPr>
      <w:r>
        <w:rPr>
          <w:lang w:eastAsia="zh-CN"/>
        </w:rPr>
        <w:t>在提供文件后，请</w:t>
      </w:r>
      <w:r w:rsidR="00E037AA">
        <w:rPr>
          <w:rFonts w:hint="eastAsia"/>
          <w:lang w:eastAsia="zh-CN"/>
        </w:rPr>
        <w:t>鼎耘产业、鼎耘科技</w:t>
      </w:r>
      <w:r w:rsidR="001C1FB0" w:rsidRPr="00831075">
        <w:rPr>
          <w:rFonts w:hint="eastAsia"/>
          <w:b/>
          <w:u w:val="single"/>
          <w:lang w:eastAsia="zh-CN"/>
        </w:rPr>
        <w:t>填写并</w:t>
      </w:r>
      <w:r w:rsidR="007A519C" w:rsidRPr="00831075">
        <w:rPr>
          <w:rFonts w:hint="eastAsia"/>
          <w:b/>
          <w:u w:val="single"/>
          <w:lang w:eastAsia="zh-CN"/>
        </w:rPr>
        <w:t>提供</w:t>
      </w:r>
      <w:r w:rsidRPr="00831075">
        <w:rPr>
          <w:rFonts w:hint="eastAsia"/>
          <w:b/>
          <w:u w:val="single"/>
          <w:lang w:eastAsia="zh-CN"/>
        </w:rPr>
        <w:t>本清单</w:t>
      </w:r>
      <w:r>
        <w:rPr>
          <w:lang w:eastAsia="zh-CN"/>
        </w:rPr>
        <w:t>，并对于已经提供的文件，在清单上相应标注</w:t>
      </w:r>
      <w:r>
        <w:rPr>
          <w:rFonts w:hint="eastAsia"/>
          <w:lang w:eastAsia="zh-CN"/>
        </w:rPr>
        <w:t>“</w:t>
      </w:r>
      <w:r>
        <w:rPr>
          <w:b/>
          <w:bCs/>
          <w:u w:val="single"/>
          <w:lang w:eastAsia="zh-CN"/>
        </w:rPr>
        <w:t>已提供</w:t>
      </w:r>
      <w:r>
        <w:rPr>
          <w:rFonts w:hint="eastAsia"/>
          <w:lang w:eastAsia="zh-CN"/>
        </w:rPr>
        <w:t>”</w:t>
      </w:r>
      <w:r>
        <w:rPr>
          <w:lang w:eastAsia="zh-CN"/>
        </w:rPr>
        <w:t>；对于查明没有本清单列出的某项文件，根据情况请标注</w:t>
      </w:r>
      <w:r>
        <w:rPr>
          <w:rFonts w:hint="eastAsia"/>
          <w:lang w:eastAsia="zh-CN"/>
        </w:rPr>
        <w:t>“</w:t>
      </w:r>
      <w:r>
        <w:rPr>
          <w:b/>
          <w:bCs/>
          <w:u w:val="single"/>
          <w:lang w:eastAsia="zh-CN"/>
        </w:rPr>
        <w:t>无</w:t>
      </w:r>
      <w:r>
        <w:rPr>
          <w:rFonts w:hint="eastAsia"/>
          <w:lang w:eastAsia="zh-CN"/>
        </w:rPr>
        <w:t>”</w:t>
      </w:r>
      <w:r>
        <w:rPr>
          <w:lang w:eastAsia="zh-CN"/>
        </w:rPr>
        <w:t>或</w:t>
      </w:r>
      <w:r>
        <w:rPr>
          <w:rFonts w:hint="eastAsia"/>
          <w:lang w:eastAsia="zh-CN"/>
        </w:rPr>
        <w:t>“</w:t>
      </w:r>
      <w:r>
        <w:rPr>
          <w:b/>
          <w:bCs/>
          <w:u w:val="single"/>
          <w:lang w:eastAsia="zh-CN"/>
        </w:rPr>
        <w:t>缺失</w:t>
      </w:r>
      <w:r>
        <w:rPr>
          <w:rFonts w:hint="eastAsia"/>
          <w:lang w:eastAsia="zh-CN"/>
        </w:rPr>
        <w:t>”</w:t>
      </w:r>
      <w:r>
        <w:rPr>
          <w:lang w:eastAsia="zh-CN"/>
        </w:rPr>
        <w:t>；对于暂时无法提供但稍后</w:t>
      </w:r>
      <w:r w:rsidR="001C1FB0">
        <w:rPr>
          <w:rFonts w:hint="eastAsia"/>
          <w:lang w:eastAsia="zh-CN"/>
        </w:rPr>
        <w:t>可以</w:t>
      </w:r>
      <w:r>
        <w:rPr>
          <w:lang w:eastAsia="zh-CN"/>
        </w:rPr>
        <w:t>提供的文件，请标注</w:t>
      </w:r>
      <w:r>
        <w:rPr>
          <w:rFonts w:hint="eastAsia"/>
          <w:lang w:eastAsia="zh-CN"/>
        </w:rPr>
        <w:t>“</w:t>
      </w:r>
      <w:r>
        <w:rPr>
          <w:b/>
          <w:bCs/>
          <w:u w:val="single"/>
          <w:lang w:eastAsia="zh-CN"/>
        </w:rPr>
        <w:t>待提供</w:t>
      </w:r>
      <w:r>
        <w:rPr>
          <w:rFonts w:hint="eastAsia"/>
          <w:lang w:eastAsia="zh-CN"/>
        </w:rPr>
        <w:t>”，</w:t>
      </w:r>
      <w:r>
        <w:rPr>
          <w:b/>
          <w:u w:val="single"/>
          <w:lang w:eastAsia="zh-CN"/>
        </w:rPr>
        <w:t>并简单说明原因</w:t>
      </w:r>
      <w:r>
        <w:rPr>
          <w:lang w:eastAsia="zh-CN"/>
        </w:rPr>
        <w:t>；鉴于目前我们对</w:t>
      </w:r>
      <w:r w:rsidR="00E037AA">
        <w:rPr>
          <w:rFonts w:hint="eastAsia"/>
          <w:lang w:eastAsia="zh-CN"/>
        </w:rPr>
        <w:t>鼎耘产业、鼎耘科技</w:t>
      </w:r>
      <w:r>
        <w:rPr>
          <w:lang w:eastAsia="zh-CN"/>
        </w:rPr>
        <w:t>的</w:t>
      </w:r>
      <w:r>
        <w:rPr>
          <w:rFonts w:hint="eastAsia"/>
          <w:lang w:eastAsia="zh-CN"/>
        </w:rPr>
        <w:t>各项基本</w:t>
      </w:r>
      <w:r>
        <w:rPr>
          <w:lang w:eastAsia="zh-CN"/>
        </w:rPr>
        <w:t>情况尚无具体了解，因此，本清单中的某些问题或文件可能不适用。如果不适用，请在相应的条款下标注</w:t>
      </w:r>
      <w:r>
        <w:rPr>
          <w:rFonts w:hint="eastAsia"/>
          <w:lang w:eastAsia="zh-CN"/>
        </w:rPr>
        <w:t>“</w:t>
      </w:r>
      <w:r>
        <w:rPr>
          <w:b/>
          <w:u w:val="single"/>
          <w:lang w:eastAsia="zh-CN"/>
        </w:rPr>
        <w:t>不适用</w:t>
      </w:r>
      <w:r>
        <w:rPr>
          <w:rFonts w:hint="eastAsia"/>
          <w:lang w:eastAsia="zh-CN"/>
        </w:rPr>
        <w:t>”</w:t>
      </w:r>
      <w:r>
        <w:rPr>
          <w:lang w:eastAsia="zh-CN"/>
        </w:rPr>
        <w:t>。</w:t>
      </w:r>
    </w:p>
    <w:p w14:paraId="399EE96F" w14:textId="77777777" w:rsidR="003376C9" w:rsidRDefault="003376C9" w:rsidP="00E037AA">
      <w:pPr>
        <w:pStyle w:val="KWBodytext"/>
        <w:widowControl w:val="0"/>
        <w:adjustRightInd w:val="0"/>
        <w:snapToGrid w:val="0"/>
        <w:ind w:firstLineChars="200" w:firstLine="480"/>
        <w:rPr>
          <w:lang w:eastAsia="zh-CN"/>
        </w:rPr>
      </w:pPr>
      <w:r>
        <w:rPr>
          <w:lang w:eastAsia="zh-CN"/>
        </w:rPr>
        <w:t>如果在提供调查资料时遇到任何问题，请随时与本所相关项目律师联系，联系方式如下：</w:t>
      </w:r>
      <w:r w:rsidR="00E616EE">
        <w:rPr>
          <w:rFonts w:hint="eastAsia"/>
          <w:lang w:eastAsia="zh-CN"/>
        </w:rPr>
        <w:t xml:space="preserve"> </w:t>
      </w:r>
    </w:p>
    <w:p w14:paraId="206E1181" w14:textId="568D4AE3" w:rsidR="00D13825" w:rsidRDefault="00AF3BE3" w:rsidP="00E037AA">
      <w:pPr>
        <w:pStyle w:val="KWBodytext"/>
        <w:widowControl w:val="0"/>
        <w:ind w:left="567" w:hanging="567"/>
        <w:rPr>
          <w:lang w:eastAsia="zh-CN"/>
        </w:rPr>
      </w:pPr>
      <w:r>
        <w:rPr>
          <w:rFonts w:hint="eastAsia"/>
          <w:b/>
          <w:lang w:eastAsia="zh-CN"/>
        </w:rPr>
        <w:t>韩泽伟</w:t>
      </w:r>
      <w:r>
        <w:rPr>
          <w:rFonts w:hint="eastAsia"/>
          <w:b/>
          <w:lang w:eastAsia="zh-CN"/>
        </w:rPr>
        <w:t xml:space="preserve"> </w:t>
      </w:r>
      <w:r>
        <w:rPr>
          <w:b/>
          <w:lang w:eastAsia="zh-CN"/>
        </w:rPr>
        <w:t xml:space="preserve">  </w:t>
      </w:r>
      <w:r w:rsidR="003376C9" w:rsidRPr="00D13825">
        <w:rPr>
          <w:lang w:eastAsia="zh-CN"/>
        </w:rPr>
        <w:t>手机：</w:t>
      </w:r>
      <w:r w:rsidR="001C1FB0" w:rsidRPr="001C1FB0">
        <w:rPr>
          <w:lang w:eastAsia="zh-CN"/>
        </w:rPr>
        <w:t>186</w:t>
      </w:r>
      <w:r>
        <w:rPr>
          <w:lang w:eastAsia="zh-CN"/>
        </w:rPr>
        <w:t>10211590</w:t>
      </w:r>
      <w:r w:rsidR="001C1FB0" w:rsidRPr="001C1FB0" w:rsidDel="001C1FB0">
        <w:rPr>
          <w:rFonts w:hint="eastAsia"/>
          <w:lang w:eastAsia="zh-CN"/>
        </w:rPr>
        <w:t xml:space="preserve"> </w:t>
      </w:r>
      <w:r w:rsidR="00B1723C" w:rsidRPr="00D13825">
        <w:rPr>
          <w:lang w:eastAsia="zh-CN"/>
        </w:rPr>
        <w:t xml:space="preserve">  </w:t>
      </w:r>
      <w:r w:rsidR="003376C9" w:rsidRPr="00D13825">
        <w:rPr>
          <w:lang w:eastAsia="zh-CN"/>
        </w:rPr>
        <w:t>电子邮件：</w:t>
      </w:r>
      <w:r>
        <w:rPr>
          <w:rFonts w:hint="eastAsia"/>
          <w:lang w:eastAsia="zh-CN"/>
        </w:rPr>
        <w:t>hanzewei</w:t>
      </w:r>
      <w:r w:rsidR="00B55EBC" w:rsidRPr="00B55EBC">
        <w:rPr>
          <w:lang w:eastAsia="zh-CN"/>
        </w:rPr>
        <w:t>@</w:t>
      </w:r>
      <w:r w:rsidR="00E037AA">
        <w:rPr>
          <w:rFonts w:hint="eastAsia"/>
          <w:lang w:eastAsia="zh-CN"/>
        </w:rPr>
        <w:t>redsunny.ai</w:t>
      </w:r>
      <w:r w:rsidR="00B55EBC" w:rsidRPr="00B55EBC" w:rsidDel="00B55EBC">
        <w:rPr>
          <w:rFonts w:hint="eastAsia"/>
          <w:lang w:eastAsia="zh-CN"/>
        </w:rPr>
        <w:t xml:space="preserve"> </w:t>
      </w:r>
    </w:p>
    <w:p w14:paraId="1E8D370B" w14:textId="77777777" w:rsidR="003376C9" w:rsidRDefault="003376C9" w:rsidP="00814798">
      <w:pPr>
        <w:widowControl w:val="0"/>
        <w:spacing w:line="380" w:lineRule="exact"/>
        <w:ind w:firstLineChars="200" w:firstLine="464"/>
        <w:rPr>
          <w:szCs w:val="24"/>
          <w:lang w:eastAsia="zh-CN"/>
        </w:rPr>
      </w:pPr>
    </w:p>
    <w:p w14:paraId="5801E0E8" w14:textId="77777777" w:rsidR="00E037AA" w:rsidRDefault="00E037AA" w:rsidP="00814798">
      <w:pPr>
        <w:widowControl w:val="0"/>
        <w:spacing w:line="380" w:lineRule="exact"/>
        <w:ind w:firstLineChars="200" w:firstLine="464"/>
        <w:rPr>
          <w:szCs w:val="24"/>
          <w:lang w:eastAsia="zh-CN"/>
        </w:rPr>
      </w:pPr>
    </w:p>
    <w:p w14:paraId="2A8573DE" w14:textId="6FD0AA73" w:rsidR="003376C9" w:rsidRPr="00AD2A8F" w:rsidRDefault="00AD2A8F" w:rsidP="00051D6A">
      <w:pPr>
        <w:pStyle w:val="KWheading1"/>
        <w:keepNext w:val="0"/>
        <w:tabs>
          <w:tab w:val="clear" w:pos="567"/>
        </w:tabs>
        <w:adjustRightInd w:val="0"/>
        <w:snapToGrid w:val="0"/>
        <w:spacing w:line="320" w:lineRule="atLeast"/>
        <w:ind w:left="0" w:firstLineChars="200" w:firstLine="482"/>
        <w:rPr>
          <w:sz w:val="24"/>
          <w:szCs w:val="18"/>
          <w:lang w:eastAsia="zh-CN"/>
        </w:rPr>
      </w:pPr>
      <w:bookmarkStart w:id="22" w:name="_Toc417941708"/>
      <w:bookmarkStart w:id="23" w:name="_Toc417941839"/>
      <w:bookmarkStart w:id="24" w:name="_Toc417941865"/>
      <w:bookmarkStart w:id="25" w:name="_Toc417941709"/>
      <w:bookmarkStart w:id="26" w:name="_Toc417941840"/>
      <w:bookmarkStart w:id="27" w:name="_Toc417941866"/>
      <w:bookmarkEnd w:id="22"/>
      <w:bookmarkEnd w:id="23"/>
      <w:bookmarkEnd w:id="24"/>
      <w:bookmarkEnd w:id="25"/>
      <w:bookmarkEnd w:id="26"/>
      <w:bookmarkEnd w:id="27"/>
      <w:r w:rsidRPr="00AD2A8F">
        <w:rPr>
          <w:rFonts w:hint="eastAsia"/>
          <w:sz w:val="24"/>
          <w:szCs w:val="18"/>
          <w:lang w:eastAsia="zh-CN"/>
        </w:rPr>
        <w:lastRenderedPageBreak/>
        <w:t>主体资格</w:t>
      </w:r>
    </w:p>
    <w:p w14:paraId="5CBAE171" w14:textId="77777777" w:rsidR="003376C9" w:rsidRDefault="003376C9" w:rsidP="007E1B15">
      <w:pPr>
        <w:pStyle w:val="KWheading2"/>
        <w:keepNext w:val="0"/>
        <w:tabs>
          <w:tab w:val="clear" w:pos="1844"/>
        </w:tabs>
        <w:adjustRightInd w:val="0"/>
        <w:snapToGrid w:val="0"/>
        <w:spacing w:line="320" w:lineRule="atLeast"/>
        <w:ind w:left="0" w:firstLineChars="200" w:firstLine="480"/>
        <w:rPr>
          <w:lang w:eastAsia="zh-CN"/>
        </w:rPr>
      </w:pPr>
      <w:r>
        <w:rPr>
          <w:rFonts w:hint="eastAsia"/>
          <w:lang w:eastAsia="zh-CN"/>
        </w:rPr>
        <w:t>公司基本情况材料</w:t>
      </w:r>
    </w:p>
    <w:p w14:paraId="7A7714EF" w14:textId="65C57F5F" w:rsidR="008B4E2B" w:rsidRDefault="0013509B" w:rsidP="008B4E2B">
      <w:pPr>
        <w:pStyle w:val="KWheading3"/>
        <w:widowControl w:val="0"/>
        <w:tabs>
          <w:tab w:val="clear" w:pos="8506"/>
        </w:tabs>
        <w:adjustRightInd w:val="0"/>
        <w:snapToGrid w:val="0"/>
        <w:spacing w:line="320" w:lineRule="atLeast"/>
        <w:ind w:left="0" w:firstLineChars="200" w:firstLine="480"/>
        <w:rPr>
          <w:rFonts w:hint="eastAsia"/>
          <w:lang w:eastAsia="zh-CN"/>
        </w:rPr>
      </w:pPr>
      <w:bookmarkStart w:id="28" w:name="_Ref237416356"/>
      <w:r>
        <w:rPr>
          <w:rFonts w:hint="eastAsia"/>
          <w:lang w:eastAsia="zh-CN"/>
        </w:rPr>
        <w:t>请提供</w:t>
      </w:r>
      <w:r w:rsidR="008B4E2B">
        <w:rPr>
          <w:rFonts w:hint="eastAsia"/>
          <w:lang w:eastAsia="zh-CN"/>
        </w:rPr>
        <w:t>鼎耘产业现行有效的营业执照、合伙协议；</w:t>
      </w:r>
    </w:p>
    <w:p w14:paraId="5E95184F" w14:textId="24F1F140" w:rsidR="008B4E2B" w:rsidRDefault="008B4E2B" w:rsidP="008B4E2B">
      <w:pPr>
        <w:pStyle w:val="KWheading3"/>
        <w:widowControl w:val="0"/>
        <w:tabs>
          <w:tab w:val="clear" w:pos="8506"/>
        </w:tabs>
        <w:adjustRightInd w:val="0"/>
        <w:snapToGrid w:val="0"/>
        <w:spacing w:line="320" w:lineRule="atLeast"/>
        <w:ind w:left="0" w:firstLineChars="200" w:firstLine="480"/>
        <w:rPr>
          <w:lang w:eastAsia="zh-CN"/>
        </w:rPr>
      </w:pPr>
      <w:r>
        <w:rPr>
          <w:rFonts w:hint="eastAsia"/>
          <w:lang w:eastAsia="zh-CN"/>
        </w:rPr>
        <w:t>请提供鼎耘科技、</w:t>
      </w:r>
      <w:r w:rsidRPr="008B4E2B">
        <w:rPr>
          <w:rFonts w:hint="eastAsia"/>
          <w:lang w:eastAsia="zh-CN"/>
        </w:rPr>
        <w:t>合肥鼎耘工业智能科技有限公司</w:t>
      </w:r>
      <w:r>
        <w:rPr>
          <w:rFonts w:hint="eastAsia"/>
          <w:lang w:eastAsia="zh-CN"/>
        </w:rPr>
        <w:t>、</w:t>
      </w:r>
      <w:r w:rsidRPr="008B4E2B">
        <w:rPr>
          <w:rFonts w:hint="eastAsia"/>
          <w:lang w:eastAsia="zh-CN"/>
        </w:rPr>
        <w:t>家家悦控股集团股份有限公司</w:t>
      </w:r>
      <w:r w:rsidR="00F57383">
        <w:rPr>
          <w:rFonts w:hint="eastAsia"/>
          <w:lang w:eastAsia="zh-CN"/>
        </w:rPr>
        <w:t>（以下简称“家家悦控股”）</w:t>
      </w:r>
      <w:r>
        <w:rPr>
          <w:rFonts w:hint="eastAsia"/>
          <w:lang w:eastAsia="zh-CN"/>
        </w:rPr>
        <w:t>、北京鼎耘投资管理有限公司、鼎耘投资发展（海南）有限公司、合肥北城建设投资发展控股集团有限公司</w:t>
      </w:r>
      <w:r w:rsidR="0013509B">
        <w:rPr>
          <w:rFonts w:hint="eastAsia"/>
          <w:lang w:eastAsia="zh-CN"/>
        </w:rPr>
        <w:t>现行有效的营业执照、公司章程</w:t>
      </w:r>
      <w:bookmarkEnd w:id="28"/>
      <w:r>
        <w:rPr>
          <w:rFonts w:hint="eastAsia"/>
          <w:lang w:eastAsia="zh-CN"/>
        </w:rPr>
        <w:t>；</w:t>
      </w:r>
    </w:p>
    <w:p w14:paraId="4C034888" w14:textId="03368B92" w:rsidR="003376C9" w:rsidRDefault="003376C9" w:rsidP="007E1B15">
      <w:pPr>
        <w:pStyle w:val="KWheading2"/>
        <w:keepNext w:val="0"/>
        <w:tabs>
          <w:tab w:val="clear" w:pos="1844"/>
        </w:tabs>
        <w:adjustRightInd w:val="0"/>
        <w:snapToGrid w:val="0"/>
        <w:spacing w:line="320" w:lineRule="atLeast"/>
        <w:ind w:left="0" w:firstLineChars="200" w:firstLine="480"/>
        <w:rPr>
          <w:lang w:eastAsia="zh-CN"/>
        </w:rPr>
      </w:pPr>
      <w:r>
        <w:rPr>
          <w:rFonts w:hint="eastAsia"/>
          <w:lang w:eastAsia="zh-CN"/>
        </w:rPr>
        <w:t>股权结构</w:t>
      </w:r>
    </w:p>
    <w:p w14:paraId="35026F4F" w14:textId="3DB8EDD6" w:rsidR="003B6457" w:rsidRDefault="003B6457" w:rsidP="007E1B15">
      <w:pPr>
        <w:pStyle w:val="KWheading3"/>
        <w:widowControl w:val="0"/>
        <w:tabs>
          <w:tab w:val="clear" w:pos="8506"/>
        </w:tabs>
        <w:adjustRightInd w:val="0"/>
        <w:snapToGrid w:val="0"/>
        <w:spacing w:line="320" w:lineRule="atLeast"/>
        <w:ind w:left="0" w:firstLineChars="200" w:firstLine="480"/>
        <w:rPr>
          <w:lang w:eastAsia="zh-CN"/>
        </w:rPr>
      </w:pPr>
      <w:r w:rsidRPr="00F86463">
        <w:rPr>
          <w:lang w:eastAsia="zh-CN"/>
        </w:rPr>
        <w:t>请提供</w:t>
      </w:r>
      <w:r w:rsidR="008B4E2B">
        <w:rPr>
          <w:rFonts w:hint="eastAsia"/>
          <w:lang w:eastAsia="zh-CN"/>
        </w:rPr>
        <w:t>鼎耘产业、鼎耘科技追溯到最终权益持有人（指自然人、上市公司或政府部门）的股权结构图</w:t>
      </w:r>
      <w:r w:rsidRPr="00F86463">
        <w:rPr>
          <w:lang w:eastAsia="zh-CN"/>
        </w:rPr>
        <w:t>。</w:t>
      </w:r>
    </w:p>
    <w:p w14:paraId="5FB371D0" w14:textId="02B4F337" w:rsidR="003376C9" w:rsidRDefault="003376C9" w:rsidP="00F57383">
      <w:pPr>
        <w:pStyle w:val="KWheading2"/>
        <w:keepNext w:val="0"/>
        <w:tabs>
          <w:tab w:val="clear" w:pos="1844"/>
        </w:tabs>
        <w:adjustRightInd w:val="0"/>
        <w:snapToGrid w:val="0"/>
        <w:spacing w:line="320" w:lineRule="atLeast"/>
        <w:ind w:left="0" w:firstLineChars="200" w:firstLine="480"/>
      </w:pPr>
      <w:bookmarkStart w:id="29" w:name="_Toc129592121"/>
      <w:bookmarkStart w:id="30" w:name="_Toc130111259"/>
      <w:bookmarkStart w:id="31" w:name="_Toc235953465"/>
      <w:bookmarkStart w:id="32" w:name="_Toc235953488"/>
      <w:bookmarkStart w:id="33" w:name="_Toc235955971"/>
      <w:proofErr w:type="spellStart"/>
      <w:r>
        <w:t>对外股权投资</w:t>
      </w:r>
      <w:bookmarkEnd w:id="29"/>
      <w:bookmarkEnd w:id="30"/>
      <w:bookmarkEnd w:id="31"/>
      <w:bookmarkEnd w:id="32"/>
      <w:bookmarkEnd w:id="33"/>
      <w:proofErr w:type="spellEnd"/>
    </w:p>
    <w:p w14:paraId="02222FDA" w14:textId="7E2B9BF0" w:rsidR="003376C9" w:rsidRDefault="003376C9" w:rsidP="00F57383">
      <w:pPr>
        <w:pStyle w:val="KWheading3"/>
        <w:widowControl w:val="0"/>
        <w:tabs>
          <w:tab w:val="clear" w:pos="8506"/>
        </w:tabs>
        <w:adjustRightInd w:val="0"/>
        <w:snapToGrid w:val="0"/>
        <w:spacing w:line="320" w:lineRule="atLeast"/>
        <w:ind w:left="0" w:firstLineChars="200" w:firstLine="480"/>
        <w:rPr>
          <w:lang w:eastAsia="zh-CN"/>
        </w:rPr>
      </w:pPr>
      <w:r>
        <w:rPr>
          <w:lang w:eastAsia="zh-CN"/>
        </w:rPr>
        <w:t>请提供</w:t>
      </w:r>
      <w:r w:rsidR="00F57383">
        <w:rPr>
          <w:rFonts w:hint="eastAsia"/>
          <w:lang w:eastAsia="zh-CN"/>
        </w:rPr>
        <w:t>李红星、鼎耘产业、鼎耘科技、鼎耘工业、家家悦控股</w:t>
      </w:r>
      <w:r>
        <w:rPr>
          <w:lang w:eastAsia="zh-CN"/>
        </w:rPr>
        <w:t>所有对外投资企业</w:t>
      </w:r>
      <w:r w:rsidR="00C9462B">
        <w:rPr>
          <w:rFonts w:hint="eastAsia"/>
          <w:lang w:eastAsia="zh-CN"/>
        </w:rPr>
        <w:t>（包括目前存续以及在前述期间内注销的企业）</w:t>
      </w:r>
      <w:r>
        <w:rPr>
          <w:lang w:eastAsia="zh-CN"/>
        </w:rPr>
        <w:t>的</w:t>
      </w:r>
      <w:r>
        <w:rPr>
          <w:rFonts w:hint="eastAsia"/>
          <w:lang w:eastAsia="zh-CN"/>
        </w:rPr>
        <w:t>基本情况，包括</w:t>
      </w:r>
      <w:r>
        <w:rPr>
          <w:lang w:eastAsia="zh-CN"/>
        </w:rPr>
        <w:t>股权结构图和清单（请注明每家公司的准确名称、注册地址、法定代表人、成立日期、注册资本、股权比例及经营范围</w:t>
      </w:r>
      <w:r>
        <w:rPr>
          <w:rFonts w:hint="eastAsia"/>
          <w:lang w:eastAsia="zh-CN"/>
        </w:rPr>
        <w:t>、股权变动情况</w:t>
      </w:r>
      <w:r>
        <w:rPr>
          <w:lang w:eastAsia="zh-CN"/>
        </w:rPr>
        <w:t>）。</w:t>
      </w:r>
    </w:p>
    <w:p w14:paraId="61548666" w14:textId="523A8FE3" w:rsidR="0033251F" w:rsidRDefault="0033251F" w:rsidP="0033251F">
      <w:pPr>
        <w:pStyle w:val="KWheading2"/>
        <w:keepNext w:val="0"/>
        <w:tabs>
          <w:tab w:val="clear" w:pos="1844"/>
        </w:tabs>
        <w:adjustRightInd w:val="0"/>
        <w:snapToGrid w:val="0"/>
        <w:spacing w:line="320" w:lineRule="atLeast"/>
        <w:ind w:left="0" w:firstLineChars="200" w:firstLine="480"/>
      </w:pPr>
      <w:r>
        <w:rPr>
          <w:rFonts w:hint="eastAsia"/>
          <w:lang w:eastAsia="zh-CN"/>
        </w:rPr>
        <w:t>财务情况</w:t>
      </w:r>
    </w:p>
    <w:p w14:paraId="6CBD44B7" w14:textId="3708FAA1" w:rsidR="0033251F" w:rsidRDefault="0033251F" w:rsidP="0033251F">
      <w:pPr>
        <w:pStyle w:val="KWheading3"/>
        <w:widowControl w:val="0"/>
        <w:tabs>
          <w:tab w:val="clear" w:pos="8506"/>
        </w:tabs>
        <w:adjustRightInd w:val="0"/>
        <w:snapToGrid w:val="0"/>
        <w:spacing w:line="320" w:lineRule="atLeast"/>
        <w:ind w:left="0" w:firstLineChars="200" w:firstLine="480"/>
        <w:rPr>
          <w:lang w:eastAsia="zh-CN"/>
        </w:rPr>
      </w:pPr>
      <w:r>
        <w:rPr>
          <w:rFonts w:hint="eastAsia"/>
          <w:lang w:eastAsia="zh-CN"/>
        </w:rPr>
        <w:t>请提供鼎耘产业、鼎耘科技近三年《审计报告》及截至</w:t>
      </w:r>
      <w:r>
        <w:rPr>
          <w:rFonts w:hint="eastAsia"/>
          <w:lang w:eastAsia="zh-CN"/>
        </w:rPr>
        <w:t>2025</w:t>
      </w:r>
      <w:r>
        <w:rPr>
          <w:rFonts w:hint="eastAsia"/>
          <w:lang w:eastAsia="zh-CN"/>
        </w:rPr>
        <w:t>年</w:t>
      </w:r>
      <w:r>
        <w:rPr>
          <w:rFonts w:hint="eastAsia"/>
          <w:lang w:eastAsia="zh-CN"/>
        </w:rPr>
        <w:t>11</w:t>
      </w:r>
      <w:r>
        <w:rPr>
          <w:rFonts w:hint="eastAsia"/>
          <w:lang w:eastAsia="zh-CN"/>
        </w:rPr>
        <w:t>月</w:t>
      </w:r>
      <w:r>
        <w:rPr>
          <w:rFonts w:hint="eastAsia"/>
          <w:lang w:eastAsia="zh-CN"/>
        </w:rPr>
        <w:t>15</w:t>
      </w:r>
      <w:r>
        <w:rPr>
          <w:rFonts w:hint="eastAsia"/>
          <w:lang w:eastAsia="zh-CN"/>
        </w:rPr>
        <w:t>日或之后的企业征信报告。</w:t>
      </w:r>
    </w:p>
    <w:p w14:paraId="51D3125A" w14:textId="15E2346E" w:rsidR="0033251F" w:rsidRDefault="0033251F" w:rsidP="0033251F">
      <w:pPr>
        <w:pStyle w:val="KWheading2"/>
        <w:keepNext w:val="0"/>
        <w:tabs>
          <w:tab w:val="clear" w:pos="1844"/>
        </w:tabs>
        <w:adjustRightInd w:val="0"/>
        <w:snapToGrid w:val="0"/>
        <w:spacing w:line="320" w:lineRule="atLeast"/>
        <w:ind w:left="0" w:firstLineChars="200" w:firstLine="480"/>
      </w:pPr>
      <w:r>
        <w:rPr>
          <w:rFonts w:hint="eastAsia"/>
          <w:lang w:eastAsia="zh-CN"/>
        </w:rPr>
        <w:t>合规情况</w:t>
      </w:r>
    </w:p>
    <w:p w14:paraId="45A1F67F" w14:textId="303EE59C" w:rsidR="0033251F" w:rsidRDefault="0033251F" w:rsidP="0033251F">
      <w:pPr>
        <w:pStyle w:val="KWheading3"/>
        <w:widowControl w:val="0"/>
        <w:tabs>
          <w:tab w:val="clear" w:pos="8506"/>
        </w:tabs>
        <w:adjustRightInd w:val="0"/>
        <w:snapToGrid w:val="0"/>
        <w:spacing w:line="320" w:lineRule="atLeast"/>
        <w:ind w:left="0" w:firstLineChars="200" w:firstLine="480"/>
        <w:rPr>
          <w:lang w:eastAsia="zh-CN"/>
        </w:rPr>
      </w:pPr>
      <w:r>
        <w:rPr>
          <w:rFonts w:hint="eastAsia"/>
          <w:lang w:eastAsia="zh-CN"/>
        </w:rPr>
        <w:t>请提供</w:t>
      </w:r>
      <w:r w:rsidRPr="0033251F">
        <w:rPr>
          <w:lang w:eastAsia="zh-CN"/>
        </w:rPr>
        <w:t>（</w:t>
      </w:r>
      <w:r w:rsidRPr="0033251F">
        <w:rPr>
          <w:lang w:eastAsia="zh-CN"/>
        </w:rPr>
        <w:t>2018</w:t>
      </w:r>
      <w:r w:rsidRPr="0033251F">
        <w:rPr>
          <w:lang w:eastAsia="zh-CN"/>
        </w:rPr>
        <w:t>）京</w:t>
      </w:r>
      <w:r w:rsidRPr="0033251F">
        <w:rPr>
          <w:lang w:eastAsia="zh-CN"/>
        </w:rPr>
        <w:t>03</w:t>
      </w:r>
      <w:r w:rsidRPr="0033251F">
        <w:rPr>
          <w:lang w:eastAsia="zh-CN"/>
        </w:rPr>
        <w:t>民初</w:t>
      </w:r>
      <w:r w:rsidRPr="0033251F">
        <w:rPr>
          <w:lang w:eastAsia="zh-CN"/>
        </w:rPr>
        <w:t>464</w:t>
      </w:r>
      <w:r w:rsidRPr="0033251F">
        <w:rPr>
          <w:lang w:eastAsia="zh-CN"/>
        </w:rPr>
        <w:t>号民事调解书</w:t>
      </w:r>
      <w:r>
        <w:rPr>
          <w:rFonts w:hint="eastAsia"/>
          <w:lang w:eastAsia="zh-CN"/>
        </w:rPr>
        <w:t>；</w:t>
      </w:r>
    </w:p>
    <w:p w14:paraId="0055F4ED" w14:textId="6C6DD42D" w:rsidR="0033251F" w:rsidRDefault="0033251F" w:rsidP="0033251F">
      <w:pPr>
        <w:pStyle w:val="KWheading3"/>
        <w:widowControl w:val="0"/>
        <w:tabs>
          <w:tab w:val="clear" w:pos="8506"/>
        </w:tabs>
        <w:adjustRightInd w:val="0"/>
        <w:snapToGrid w:val="0"/>
        <w:spacing w:line="320" w:lineRule="atLeast"/>
        <w:ind w:left="0" w:firstLineChars="200" w:firstLine="480"/>
        <w:rPr>
          <w:lang w:eastAsia="zh-CN"/>
        </w:rPr>
      </w:pPr>
      <w:r>
        <w:rPr>
          <w:rFonts w:hint="eastAsia"/>
          <w:lang w:eastAsia="zh-CN"/>
        </w:rPr>
        <w:t>请说明鼎耘产业、鼎耘科技</w:t>
      </w:r>
      <w:bookmarkStart w:id="34" w:name="_Hlk214192004"/>
      <w:r w:rsidRPr="00A402E9">
        <w:rPr>
          <w:rFonts w:hint="eastAsia"/>
          <w:lang w:eastAsia="zh-CN"/>
        </w:rPr>
        <w:t>最近五年未受行政处罚（与证券市场明显无关的除外）、刑事</w:t>
      </w:r>
      <w:r>
        <w:rPr>
          <w:rFonts w:hint="eastAsia"/>
          <w:lang w:eastAsia="zh-CN"/>
        </w:rPr>
        <w:t>判决及涉及重大经济纠纷的情况</w:t>
      </w:r>
      <w:bookmarkEnd w:id="34"/>
      <w:r>
        <w:rPr>
          <w:rFonts w:hint="eastAsia"/>
          <w:lang w:eastAsia="zh-CN"/>
        </w:rPr>
        <w:t>。</w:t>
      </w:r>
    </w:p>
    <w:p w14:paraId="79C16DD1" w14:textId="40FB4F71" w:rsidR="0033251F" w:rsidRDefault="0067458E" w:rsidP="0067458E">
      <w:pPr>
        <w:pStyle w:val="KWheading2"/>
        <w:keepNext w:val="0"/>
        <w:tabs>
          <w:tab w:val="clear" w:pos="1844"/>
        </w:tabs>
        <w:adjustRightInd w:val="0"/>
        <w:snapToGrid w:val="0"/>
        <w:spacing w:line="320" w:lineRule="atLeast"/>
        <w:ind w:left="0" w:firstLineChars="200" w:firstLine="480"/>
        <w:rPr>
          <w:lang w:eastAsia="zh-CN"/>
        </w:rPr>
      </w:pPr>
      <w:r>
        <w:rPr>
          <w:rFonts w:hint="eastAsia"/>
          <w:lang w:eastAsia="zh-CN"/>
        </w:rPr>
        <w:t>主要人员</w:t>
      </w:r>
    </w:p>
    <w:p w14:paraId="5E6641BE" w14:textId="336A1D5C" w:rsidR="0067458E" w:rsidRDefault="0067458E" w:rsidP="0067458E">
      <w:pPr>
        <w:pStyle w:val="KWheading3"/>
        <w:widowControl w:val="0"/>
        <w:tabs>
          <w:tab w:val="clear" w:pos="8506"/>
        </w:tabs>
        <w:adjustRightInd w:val="0"/>
        <w:snapToGrid w:val="0"/>
        <w:spacing w:line="320" w:lineRule="atLeast"/>
        <w:ind w:left="0" w:firstLineChars="200" w:firstLine="480"/>
        <w:rPr>
          <w:lang w:eastAsia="zh-CN"/>
        </w:rPr>
      </w:pPr>
      <w:r>
        <w:rPr>
          <w:rFonts w:hint="eastAsia"/>
          <w:lang w:eastAsia="zh-CN"/>
        </w:rPr>
        <w:t>请提供鼎耘产业执行事务合伙人委派代表任命书；</w:t>
      </w:r>
    </w:p>
    <w:p w14:paraId="405F5BA2" w14:textId="7539930F" w:rsidR="0067458E" w:rsidRDefault="0067458E" w:rsidP="0067458E">
      <w:pPr>
        <w:pStyle w:val="KWheading3"/>
        <w:widowControl w:val="0"/>
        <w:tabs>
          <w:tab w:val="clear" w:pos="8506"/>
        </w:tabs>
        <w:adjustRightInd w:val="0"/>
        <w:snapToGrid w:val="0"/>
        <w:spacing w:line="320" w:lineRule="atLeast"/>
        <w:ind w:left="0" w:firstLineChars="200" w:firstLine="480"/>
        <w:rPr>
          <w:lang w:eastAsia="zh-CN"/>
        </w:rPr>
      </w:pPr>
      <w:r>
        <w:rPr>
          <w:rFonts w:hint="eastAsia"/>
          <w:lang w:eastAsia="zh-CN"/>
        </w:rPr>
        <w:t>请提供鼎耘科技选举董事、监事、经理的股东会决议；</w:t>
      </w:r>
    </w:p>
    <w:p w14:paraId="6C747E73" w14:textId="51BF95EF" w:rsidR="0067458E" w:rsidRDefault="0067458E" w:rsidP="0067458E">
      <w:pPr>
        <w:pStyle w:val="KWheading3"/>
        <w:widowControl w:val="0"/>
        <w:tabs>
          <w:tab w:val="clear" w:pos="8506"/>
        </w:tabs>
        <w:adjustRightInd w:val="0"/>
        <w:snapToGrid w:val="0"/>
        <w:spacing w:line="320" w:lineRule="atLeast"/>
        <w:ind w:left="0" w:firstLineChars="200" w:firstLine="480"/>
        <w:rPr>
          <w:lang w:eastAsia="zh-CN"/>
        </w:rPr>
      </w:pPr>
      <w:r>
        <w:rPr>
          <w:rFonts w:hint="eastAsia"/>
          <w:lang w:eastAsia="zh-CN"/>
        </w:rPr>
        <w:lastRenderedPageBreak/>
        <w:t>请提供鼎耘产业执行事务合伙人委派代表、鼎耘科技董事、监事、高级管理人员身份证；</w:t>
      </w:r>
    </w:p>
    <w:p w14:paraId="006BCB36" w14:textId="64851120" w:rsidR="0067458E" w:rsidRDefault="0067458E" w:rsidP="0067458E">
      <w:pPr>
        <w:pStyle w:val="KWheading3"/>
        <w:widowControl w:val="0"/>
        <w:tabs>
          <w:tab w:val="clear" w:pos="8506"/>
        </w:tabs>
        <w:adjustRightInd w:val="0"/>
        <w:snapToGrid w:val="0"/>
        <w:spacing w:line="320" w:lineRule="atLeast"/>
        <w:ind w:left="0" w:firstLineChars="200" w:firstLine="480"/>
        <w:rPr>
          <w:lang w:eastAsia="zh-CN"/>
        </w:rPr>
      </w:pPr>
      <w:r>
        <w:rPr>
          <w:rFonts w:hint="eastAsia"/>
          <w:lang w:eastAsia="zh-CN"/>
        </w:rPr>
        <w:t>请说明上述人员是否取得其他国家或地区居留权</w:t>
      </w:r>
      <w:r w:rsidR="00732DE8">
        <w:rPr>
          <w:rFonts w:hint="eastAsia"/>
          <w:lang w:eastAsia="zh-CN"/>
        </w:rPr>
        <w:t>；</w:t>
      </w:r>
    </w:p>
    <w:p w14:paraId="6B8DC88D" w14:textId="32FD8FDD" w:rsidR="00732DE8" w:rsidRPr="00732DE8" w:rsidRDefault="00732DE8" w:rsidP="0067458E">
      <w:pPr>
        <w:pStyle w:val="KWheading3"/>
        <w:widowControl w:val="0"/>
        <w:tabs>
          <w:tab w:val="clear" w:pos="8506"/>
        </w:tabs>
        <w:adjustRightInd w:val="0"/>
        <w:snapToGrid w:val="0"/>
        <w:spacing w:line="320" w:lineRule="atLeast"/>
        <w:ind w:left="0" w:firstLineChars="200" w:firstLine="480"/>
        <w:rPr>
          <w:lang w:eastAsia="zh-CN"/>
        </w:rPr>
      </w:pPr>
      <w:r>
        <w:rPr>
          <w:rFonts w:hint="eastAsia"/>
          <w:lang w:eastAsia="zh-CN"/>
        </w:rPr>
        <w:t>请说明上述人员</w:t>
      </w:r>
      <w:r w:rsidRPr="00A402E9">
        <w:rPr>
          <w:rFonts w:hint="eastAsia"/>
          <w:lang w:eastAsia="zh-CN"/>
        </w:rPr>
        <w:t>最近五年未受行政处罚（与证券市场明显无关的除外）、刑事</w:t>
      </w:r>
      <w:r>
        <w:rPr>
          <w:rFonts w:hint="eastAsia"/>
          <w:lang w:eastAsia="zh-CN"/>
        </w:rPr>
        <w:t>判决及涉及重大经济纠纷的情况</w:t>
      </w:r>
      <w:r>
        <w:rPr>
          <w:rFonts w:hint="eastAsia"/>
          <w:lang w:eastAsia="zh-CN"/>
        </w:rPr>
        <w:t>，并提供</w:t>
      </w:r>
      <w:r>
        <w:rPr>
          <w:rFonts w:cs="Arial" w:hint="eastAsia"/>
          <w:color w:val="333333"/>
          <w:szCs w:val="21"/>
          <w:lang w:eastAsia="zh-CN" w:bidi="ar"/>
        </w:rPr>
        <w:t>（</w:t>
      </w:r>
      <w:r>
        <w:rPr>
          <w:rFonts w:cs="Arial"/>
          <w:color w:val="333333"/>
          <w:szCs w:val="21"/>
          <w:lang w:eastAsia="zh-CN" w:bidi="ar"/>
        </w:rPr>
        <w:t>2021</w:t>
      </w:r>
      <w:r>
        <w:rPr>
          <w:rFonts w:cs="Arial" w:hint="eastAsia"/>
          <w:color w:val="333333"/>
          <w:szCs w:val="21"/>
          <w:lang w:eastAsia="zh-CN" w:bidi="ar"/>
        </w:rPr>
        <w:t>）最高法民终</w:t>
      </w:r>
      <w:r>
        <w:rPr>
          <w:rFonts w:cs="Arial"/>
          <w:color w:val="333333"/>
          <w:szCs w:val="21"/>
          <w:lang w:eastAsia="zh-CN" w:bidi="ar"/>
        </w:rPr>
        <w:t>612</w:t>
      </w:r>
      <w:r>
        <w:rPr>
          <w:rFonts w:cs="Arial" w:hint="eastAsia"/>
          <w:color w:val="333333"/>
          <w:szCs w:val="21"/>
          <w:lang w:eastAsia="zh-CN" w:bidi="ar"/>
        </w:rPr>
        <w:t>号民事判决书</w:t>
      </w:r>
      <w:r>
        <w:rPr>
          <w:rFonts w:cs="Arial" w:hint="eastAsia"/>
          <w:color w:val="333333"/>
          <w:szCs w:val="21"/>
          <w:lang w:eastAsia="zh-CN" w:bidi="ar"/>
        </w:rPr>
        <w:t>。</w:t>
      </w:r>
    </w:p>
    <w:p w14:paraId="39B5E260" w14:textId="22EA2F22" w:rsidR="00732DE8" w:rsidRDefault="00732DE8" w:rsidP="00732DE8">
      <w:pPr>
        <w:pStyle w:val="KWheading2"/>
        <w:keepNext w:val="0"/>
        <w:tabs>
          <w:tab w:val="clear" w:pos="1844"/>
        </w:tabs>
        <w:adjustRightInd w:val="0"/>
        <w:snapToGrid w:val="0"/>
        <w:spacing w:line="320" w:lineRule="atLeast"/>
        <w:ind w:left="0" w:firstLineChars="200" w:firstLine="480"/>
        <w:rPr>
          <w:lang w:eastAsia="zh-CN"/>
        </w:rPr>
      </w:pPr>
      <w:r>
        <w:rPr>
          <w:rFonts w:hint="eastAsia"/>
          <w:lang w:eastAsia="zh-CN"/>
        </w:rPr>
        <w:t>主体资格情况</w:t>
      </w:r>
    </w:p>
    <w:p w14:paraId="386A5E84" w14:textId="25EE15FF" w:rsidR="00732DE8" w:rsidRPr="005B4E1C" w:rsidRDefault="00732DE8" w:rsidP="00E87172">
      <w:pPr>
        <w:pStyle w:val="KWheading3"/>
        <w:widowControl w:val="0"/>
        <w:tabs>
          <w:tab w:val="clear" w:pos="8506"/>
        </w:tabs>
        <w:wordWrap w:val="0"/>
        <w:adjustRightInd w:val="0"/>
        <w:snapToGrid w:val="0"/>
        <w:spacing w:before="360" w:line="320" w:lineRule="atLeast"/>
        <w:ind w:left="0" w:firstLineChars="200" w:firstLine="480"/>
        <w:rPr>
          <w:rFonts w:hint="eastAsia"/>
          <w:lang w:eastAsia="zh-CN"/>
        </w:rPr>
      </w:pPr>
      <w:r>
        <w:rPr>
          <w:rFonts w:hint="eastAsia"/>
          <w:lang w:eastAsia="zh-CN"/>
        </w:rPr>
        <w:t>请说明鼎耘科技、鼎耘产业是否存在以下不得收购上市公司的情形：</w:t>
      </w:r>
      <w:r w:rsidRPr="005B4E1C">
        <w:rPr>
          <w:rFonts w:hint="eastAsia"/>
          <w:lang w:eastAsia="zh-CN"/>
        </w:rPr>
        <w:t>（一）收购人负有数额较大债务，到期未清偿，且处于持续状态；（二）收购人最近</w:t>
      </w:r>
      <w:r w:rsidRPr="005B4E1C">
        <w:rPr>
          <w:rFonts w:hint="eastAsia"/>
          <w:lang w:eastAsia="zh-CN"/>
        </w:rPr>
        <w:t xml:space="preserve"> 3 </w:t>
      </w:r>
      <w:r w:rsidRPr="005B4E1C">
        <w:rPr>
          <w:rFonts w:hint="eastAsia"/>
          <w:lang w:eastAsia="zh-CN"/>
        </w:rPr>
        <w:t>年有重大违法行为或者涉嫌有重大违法行为；（三）收购人最近</w:t>
      </w:r>
      <w:r w:rsidRPr="005B4E1C">
        <w:rPr>
          <w:rFonts w:hint="eastAsia"/>
          <w:lang w:eastAsia="zh-CN"/>
        </w:rPr>
        <w:t xml:space="preserve"> 3 </w:t>
      </w:r>
      <w:r w:rsidRPr="005B4E1C">
        <w:rPr>
          <w:rFonts w:hint="eastAsia"/>
          <w:lang w:eastAsia="zh-CN"/>
        </w:rPr>
        <w:t>年有严重的证券市场失信行为；（四）法律、行政法规规定以及中国证监会认定的不得收购上市公司的其他情形。</w:t>
      </w:r>
    </w:p>
    <w:p w14:paraId="6FB839CC" w14:textId="44CA144F" w:rsidR="00732DE8" w:rsidRPr="00AD2A8F" w:rsidRDefault="00AD2A8F" w:rsidP="00AD2A8F">
      <w:pPr>
        <w:pStyle w:val="KWheading1"/>
        <w:keepNext w:val="0"/>
        <w:tabs>
          <w:tab w:val="clear" w:pos="567"/>
        </w:tabs>
        <w:adjustRightInd w:val="0"/>
        <w:snapToGrid w:val="0"/>
        <w:spacing w:line="320" w:lineRule="atLeast"/>
        <w:ind w:left="0" w:firstLineChars="200" w:firstLine="482"/>
        <w:rPr>
          <w:rFonts w:hint="eastAsia"/>
          <w:sz w:val="24"/>
          <w:szCs w:val="18"/>
          <w:lang w:eastAsia="zh-CN"/>
        </w:rPr>
      </w:pPr>
      <w:r>
        <w:rPr>
          <w:rFonts w:hint="eastAsia"/>
          <w:sz w:val="24"/>
          <w:szCs w:val="18"/>
          <w:lang w:eastAsia="zh-CN"/>
        </w:rPr>
        <w:t>收购目的及决定</w:t>
      </w:r>
    </w:p>
    <w:p w14:paraId="473C27E8" w14:textId="4EC2AE5A" w:rsidR="0033251F" w:rsidRDefault="007C1416" w:rsidP="007C1416">
      <w:pPr>
        <w:pStyle w:val="KWheading2"/>
        <w:keepNext w:val="0"/>
        <w:tabs>
          <w:tab w:val="clear" w:pos="1844"/>
        </w:tabs>
        <w:adjustRightInd w:val="0"/>
        <w:snapToGrid w:val="0"/>
        <w:spacing w:line="320" w:lineRule="atLeast"/>
        <w:ind w:left="0" w:firstLineChars="200" w:firstLine="480"/>
        <w:rPr>
          <w:lang w:eastAsia="zh-CN"/>
        </w:rPr>
      </w:pPr>
      <w:r>
        <w:rPr>
          <w:rFonts w:hint="eastAsia"/>
          <w:lang w:eastAsia="zh-CN"/>
        </w:rPr>
        <w:t>请提供鼎耘产业审议通过本次收购的合伙人会议文件；</w:t>
      </w:r>
    </w:p>
    <w:p w14:paraId="42791667" w14:textId="47527082" w:rsidR="007C1416" w:rsidRDefault="007C1416" w:rsidP="007C1416">
      <w:pPr>
        <w:pStyle w:val="KWheading2"/>
        <w:keepNext w:val="0"/>
        <w:tabs>
          <w:tab w:val="clear" w:pos="1844"/>
        </w:tabs>
        <w:adjustRightInd w:val="0"/>
        <w:snapToGrid w:val="0"/>
        <w:spacing w:line="320" w:lineRule="atLeast"/>
        <w:ind w:left="0" w:firstLineChars="200" w:firstLine="480"/>
        <w:rPr>
          <w:lang w:eastAsia="zh-CN"/>
        </w:rPr>
      </w:pPr>
      <w:r>
        <w:rPr>
          <w:rFonts w:hint="eastAsia"/>
          <w:lang w:eastAsia="zh-CN"/>
        </w:rPr>
        <w:t>请提供鼎耘科技、鼎耘产业就签署《一致行动协议》而召开的股东会、合伙人会议文件；</w:t>
      </w:r>
    </w:p>
    <w:p w14:paraId="214C633C" w14:textId="5739AB2C" w:rsidR="002F07A7" w:rsidRDefault="002E40F1" w:rsidP="007C1416">
      <w:pPr>
        <w:pStyle w:val="KWheading2"/>
        <w:keepNext w:val="0"/>
        <w:tabs>
          <w:tab w:val="clear" w:pos="1844"/>
        </w:tabs>
        <w:adjustRightInd w:val="0"/>
        <w:snapToGrid w:val="0"/>
        <w:spacing w:line="320" w:lineRule="atLeast"/>
        <w:ind w:left="0" w:firstLineChars="200" w:firstLine="480"/>
        <w:rPr>
          <w:lang w:eastAsia="zh-CN"/>
        </w:rPr>
      </w:pPr>
      <w:r>
        <w:rPr>
          <w:rFonts w:hint="eastAsia"/>
          <w:lang w:eastAsia="zh-CN"/>
        </w:rPr>
        <w:t>请说明鼎耘科技、鼎耘产业未来</w:t>
      </w:r>
      <w:r>
        <w:rPr>
          <w:rFonts w:hint="eastAsia"/>
          <w:lang w:eastAsia="zh-CN"/>
        </w:rPr>
        <w:t>12</w:t>
      </w:r>
      <w:r>
        <w:rPr>
          <w:rFonts w:hint="eastAsia"/>
          <w:lang w:eastAsia="zh-CN"/>
        </w:rPr>
        <w:t>个月内就上市公司股份是否存在增持、减持、质押等计划。</w:t>
      </w:r>
    </w:p>
    <w:p w14:paraId="721171F3" w14:textId="68F6CD76" w:rsidR="009112DC" w:rsidRPr="009112DC" w:rsidRDefault="009112DC" w:rsidP="009112DC">
      <w:pPr>
        <w:pStyle w:val="KWheading1"/>
        <w:keepNext w:val="0"/>
        <w:tabs>
          <w:tab w:val="clear" w:pos="567"/>
        </w:tabs>
        <w:adjustRightInd w:val="0"/>
        <w:snapToGrid w:val="0"/>
        <w:spacing w:line="320" w:lineRule="atLeast"/>
        <w:ind w:left="0" w:firstLineChars="200" w:firstLine="482"/>
        <w:rPr>
          <w:sz w:val="24"/>
          <w:szCs w:val="18"/>
          <w:lang w:eastAsia="zh-CN"/>
        </w:rPr>
      </w:pPr>
      <w:r>
        <w:rPr>
          <w:rFonts w:hint="eastAsia"/>
          <w:sz w:val="24"/>
          <w:szCs w:val="18"/>
          <w:lang w:eastAsia="zh-CN"/>
        </w:rPr>
        <w:t>收购方式</w:t>
      </w:r>
    </w:p>
    <w:p w14:paraId="2E2A7DA3" w14:textId="345B1202" w:rsidR="00A76C52" w:rsidRDefault="00A76C52" w:rsidP="007C1416">
      <w:pPr>
        <w:pStyle w:val="KWheading2"/>
        <w:keepNext w:val="0"/>
        <w:tabs>
          <w:tab w:val="clear" w:pos="1844"/>
        </w:tabs>
        <w:adjustRightInd w:val="0"/>
        <w:snapToGrid w:val="0"/>
        <w:spacing w:line="320" w:lineRule="atLeast"/>
        <w:ind w:left="0" w:firstLineChars="200" w:firstLine="480"/>
        <w:rPr>
          <w:lang w:eastAsia="zh-CN"/>
        </w:rPr>
      </w:pPr>
      <w:r>
        <w:rPr>
          <w:rFonts w:hint="eastAsia"/>
          <w:lang w:eastAsia="zh-CN"/>
        </w:rPr>
        <w:t>鼎耘产业与上市公司签署的《股份认购协议》；</w:t>
      </w:r>
    </w:p>
    <w:p w14:paraId="05B95FF2" w14:textId="68E9F668" w:rsidR="00A76C52" w:rsidRDefault="00A76C52" w:rsidP="007C1416">
      <w:pPr>
        <w:pStyle w:val="KWheading2"/>
        <w:keepNext w:val="0"/>
        <w:tabs>
          <w:tab w:val="clear" w:pos="1844"/>
        </w:tabs>
        <w:adjustRightInd w:val="0"/>
        <w:snapToGrid w:val="0"/>
        <w:spacing w:line="320" w:lineRule="atLeast"/>
        <w:ind w:left="0" w:firstLineChars="200" w:firstLine="480"/>
        <w:rPr>
          <w:lang w:eastAsia="zh-CN"/>
        </w:rPr>
      </w:pPr>
      <w:r>
        <w:rPr>
          <w:rFonts w:hint="eastAsia"/>
          <w:lang w:eastAsia="zh-CN"/>
        </w:rPr>
        <w:t>鼎耘产业、鼎耘科技签署的《一致行动协议》；</w:t>
      </w:r>
    </w:p>
    <w:p w14:paraId="51995A8E" w14:textId="4DD35C24" w:rsidR="00A76C52" w:rsidRDefault="00A76C52" w:rsidP="007C1416">
      <w:pPr>
        <w:pStyle w:val="KWheading2"/>
        <w:keepNext w:val="0"/>
        <w:tabs>
          <w:tab w:val="clear" w:pos="1844"/>
        </w:tabs>
        <w:adjustRightInd w:val="0"/>
        <w:snapToGrid w:val="0"/>
        <w:spacing w:line="320" w:lineRule="atLeast"/>
        <w:ind w:left="0" w:firstLineChars="200" w:firstLine="480"/>
        <w:rPr>
          <w:lang w:eastAsia="zh-CN"/>
        </w:rPr>
      </w:pPr>
      <w:r>
        <w:rPr>
          <w:rFonts w:hint="eastAsia"/>
          <w:lang w:eastAsia="zh-CN"/>
        </w:rPr>
        <w:t>汇源通信截至</w:t>
      </w:r>
      <w:r>
        <w:rPr>
          <w:rFonts w:hint="eastAsia"/>
          <w:lang w:eastAsia="zh-CN"/>
        </w:rPr>
        <w:t>2025</w:t>
      </w:r>
      <w:r>
        <w:rPr>
          <w:rFonts w:hint="eastAsia"/>
          <w:lang w:eastAsia="zh-CN"/>
        </w:rPr>
        <w:t>年</w:t>
      </w:r>
      <w:r>
        <w:rPr>
          <w:rFonts w:hint="eastAsia"/>
          <w:lang w:eastAsia="zh-CN"/>
        </w:rPr>
        <w:t>11</w:t>
      </w:r>
      <w:r>
        <w:rPr>
          <w:rFonts w:hint="eastAsia"/>
          <w:lang w:eastAsia="zh-CN"/>
        </w:rPr>
        <w:t>月</w:t>
      </w:r>
      <w:r>
        <w:rPr>
          <w:rFonts w:hint="eastAsia"/>
          <w:lang w:eastAsia="zh-CN"/>
        </w:rPr>
        <w:t>15</w:t>
      </w:r>
      <w:r>
        <w:rPr>
          <w:rFonts w:hint="eastAsia"/>
          <w:lang w:eastAsia="zh-CN"/>
        </w:rPr>
        <w:t>日或之后的前</w:t>
      </w:r>
      <w:r w:rsidR="009112DC">
        <w:rPr>
          <w:rFonts w:hint="eastAsia"/>
          <w:lang w:eastAsia="zh-CN"/>
        </w:rPr>
        <w:t>10</w:t>
      </w:r>
      <w:r>
        <w:rPr>
          <w:rFonts w:hint="eastAsia"/>
          <w:lang w:eastAsia="zh-CN"/>
        </w:rPr>
        <w:t>名股东名册；</w:t>
      </w:r>
    </w:p>
    <w:p w14:paraId="4762A774" w14:textId="39368822" w:rsidR="009112DC" w:rsidRPr="0031779D" w:rsidRDefault="0031779D" w:rsidP="0031779D">
      <w:pPr>
        <w:pStyle w:val="KWheading1"/>
        <w:keepNext w:val="0"/>
        <w:tabs>
          <w:tab w:val="clear" w:pos="567"/>
        </w:tabs>
        <w:adjustRightInd w:val="0"/>
        <w:snapToGrid w:val="0"/>
        <w:spacing w:line="320" w:lineRule="atLeast"/>
        <w:ind w:left="0" w:firstLineChars="200" w:firstLine="482"/>
        <w:rPr>
          <w:rFonts w:hint="eastAsia"/>
          <w:sz w:val="24"/>
          <w:szCs w:val="18"/>
          <w:lang w:eastAsia="zh-CN"/>
        </w:rPr>
      </w:pPr>
      <w:r>
        <w:rPr>
          <w:rFonts w:hint="eastAsia"/>
          <w:sz w:val="24"/>
          <w:szCs w:val="18"/>
          <w:lang w:eastAsia="zh-CN"/>
        </w:rPr>
        <w:t>资金来源</w:t>
      </w:r>
    </w:p>
    <w:p w14:paraId="2C708217" w14:textId="594B5283" w:rsidR="0033251F" w:rsidRDefault="006724E9" w:rsidP="0031779D">
      <w:pPr>
        <w:pStyle w:val="KWheading2"/>
        <w:keepNext w:val="0"/>
        <w:tabs>
          <w:tab w:val="clear" w:pos="1844"/>
        </w:tabs>
        <w:adjustRightInd w:val="0"/>
        <w:snapToGrid w:val="0"/>
        <w:spacing w:line="320" w:lineRule="atLeast"/>
        <w:ind w:left="0" w:firstLineChars="200" w:firstLine="480"/>
        <w:rPr>
          <w:lang w:eastAsia="zh-CN"/>
        </w:rPr>
      </w:pPr>
      <w:r>
        <w:rPr>
          <w:rFonts w:hint="eastAsia"/>
          <w:lang w:eastAsia="zh-CN"/>
        </w:rPr>
        <w:t>鼎耘产业关于资金来源情况的说明；</w:t>
      </w:r>
    </w:p>
    <w:p w14:paraId="6C7559FD" w14:textId="37480686" w:rsidR="00A16078" w:rsidRDefault="00A16078" w:rsidP="00A16078">
      <w:pPr>
        <w:pStyle w:val="KWheading1"/>
        <w:keepNext w:val="0"/>
        <w:tabs>
          <w:tab w:val="clear" w:pos="567"/>
        </w:tabs>
        <w:adjustRightInd w:val="0"/>
        <w:snapToGrid w:val="0"/>
        <w:spacing w:line="320" w:lineRule="atLeast"/>
        <w:ind w:left="0" w:firstLineChars="200" w:firstLine="482"/>
        <w:rPr>
          <w:sz w:val="24"/>
          <w:szCs w:val="18"/>
          <w:lang w:eastAsia="zh-CN"/>
        </w:rPr>
      </w:pPr>
      <w:r>
        <w:rPr>
          <w:rFonts w:hint="eastAsia"/>
          <w:sz w:val="24"/>
          <w:szCs w:val="18"/>
          <w:lang w:eastAsia="zh-CN"/>
        </w:rPr>
        <w:t>免于发出要约的情况</w:t>
      </w:r>
    </w:p>
    <w:p w14:paraId="67A80903" w14:textId="5AF005A9" w:rsidR="00A16078" w:rsidRDefault="00A16078" w:rsidP="00A16078">
      <w:pPr>
        <w:pStyle w:val="KWheading2"/>
        <w:keepNext w:val="0"/>
        <w:tabs>
          <w:tab w:val="clear" w:pos="1844"/>
        </w:tabs>
        <w:adjustRightInd w:val="0"/>
        <w:snapToGrid w:val="0"/>
        <w:spacing w:line="320" w:lineRule="atLeast"/>
        <w:ind w:left="0" w:firstLineChars="200" w:firstLine="480"/>
        <w:rPr>
          <w:lang w:eastAsia="zh-CN"/>
        </w:rPr>
      </w:pPr>
      <w:r>
        <w:rPr>
          <w:rFonts w:hint="eastAsia"/>
          <w:lang w:eastAsia="zh-CN"/>
        </w:rPr>
        <w:lastRenderedPageBreak/>
        <w:t>鼎耘产业、鼎耘科技关于股份锁定的承诺。</w:t>
      </w:r>
    </w:p>
    <w:p w14:paraId="688D1F6A" w14:textId="665233C3" w:rsidR="00E45255" w:rsidRDefault="00E45255" w:rsidP="00E45255">
      <w:pPr>
        <w:pStyle w:val="KWheading1"/>
        <w:keepNext w:val="0"/>
        <w:tabs>
          <w:tab w:val="clear" w:pos="567"/>
        </w:tabs>
        <w:adjustRightInd w:val="0"/>
        <w:snapToGrid w:val="0"/>
        <w:spacing w:line="320" w:lineRule="atLeast"/>
        <w:ind w:left="0" w:firstLineChars="200" w:firstLine="482"/>
        <w:rPr>
          <w:sz w:val="24"/>
          <w:szCs w:val="18"/>
          <w:lang w:eastAsia="zh-CN"/>
        </w:rPr>
      </w:pPr>
      <w:bookmarkStart w:id="35" w:name="_Hlk214192671"/>
      <w:r>
        <w:rPr>
          <w:rFonts w:hint="eastAsia"/>
          <w:sz w:val="24"/>
          <w:szCs w:val="18"/>
          <w:lang w:eastAsia="zh-CN"/>
        </w:rPr>
        <w:t>后续计划</w:t>
      </w:r>
    </w:p>
    <w:p w14:paraId="50CFDA62" w14:textId="65E28989" w:rsidR="00E45255" w:rsidRDefault="00E45255" w:rsidP="00E45255">
      <w:pPr>
        <w:pStyle w:val="KWheading2"/>
        <w:keepNext w:val="0"/>
        <w:tabs>
          <w:tab w:val="clear" w:pos="1844"/>
        </w:tabs>
        <w:adjustRightInd w:val="0"/>
        <w:snapToGrid w:val="0"/>
        <w:spacing w:line="320" w:lineRule="atLeast"/>
        <w:ind w:left="0" w:firstLineChars="200" w:firstLine="480"/>
        <w:rPr>
          <w:lang w:eastAsia="zh-CN"/>
        </w:rPr>
      </w:pPr>
      <w:r>
        <w:rPr>
          <w:rFonts w:hint="eastAsia"/>
          <w:lang w:eastAsia="zh-CN"/>
        </w:rPr>
        <w:t>鼎耘产业、鼎耘科技关于后续对上市公司主营业务、重组、董事会或高管人员、章程、员工聘用计划、分红政策及其他对上市公司业务和组织结构有重大影响的方面的调整计划。</w:t>
      </w:r>
    </w:p>
    <w:p w14:paraId="059ABB2F" w14:textId="216B9BE8" w:rsidR="00044CD7" w:rsidRPr="00044CD7" w:rsidRDefault="00044CD7" w:rsidP="00044CD7">
      <w:pPr>
        <w:pStyle w:val="KWheading1"/>
        <w:keepNext w:val="0"/>
        <w:tabs>
          <w:tab w:val="clear" w:pos="567"/>
        </w:tabs>
        <w:adjustRightInd w:val="0"/>
        <w:snapToGrid w:val="0"/>
        <w:spacing w:line="320" w:lineRule="atLeast"/>
        <w:ind w:left="0" w:firstLineChars="200" w:firstLine="482"/>
        <w:rPr>
          <w:sz w:val="24"/>
          <w:szCs w:val="18"/>
          <w:lang w:eastAsia="zh-CN"/>
        </w:rPr>
      </w:pPr>
      <w:r>
        <w:rPr>
          <w:rFonts w:hint="eastAsia"/>
          <w:sz w:val="24"/>
          <w:szCs w:val="18"/>
          <w:lang w:eastAsia="zh-CN"/>
        </w:rPr>
        <w:t>对上市公司的影响分析</w:t>
      </w:r>
    </w:p>
    <w:p w14:paraId="691F2B05" w14:textId="55E2572D" w:rsidR="00044CD7" w:rsidRDefault="00044CD7" w:rsidP="0042747C">
      <w:pPr>
        <w:pStyle w:val="KWheading2"/>
        <w:keepNext w:val="0"/>
        <w:tabs>
          <w:tab w:val="clear" w:pos="1844"/>
        </w:tabs>
        <w:adjustRightInd w:val="0"/>
        <w:snapToGrid w:val="0"/>
        <w:spacing w:line="320" w:lineRule="atLeast"/>
        <w:ind w:left="0" w:firstLineChars="200" w:firstLine="480"/>
        <w:rPr>
          <w:lang w:eastAsia="zh-CN"/>
        </w:rPr>
      </w:pPr>
      <w:bookmarkStart w:id="36" w:name="_Hlk214193080"/>
      <w:r>
        <w:rPr>
          <w:rFonts w:hint="eastAsia"/>
          <w:lang w:eastAsia="zh-CN"/>
        </w:rPr>
        <w:t>鼎耘产业</w:t>
      </w:r>
      <w:r>
        <w:rPr>
          <w:rFonts w:hint="eastAsia"/>
          <w:lang w:eastAsia="zh-CN"/>
        </w:rPr>
        <w:t>出具的《关于保持上市公司独立性的承诺函》《避免同业竞争的承诺函》《关于减少和规范关联交易的承诺函》</w:t>
      </w:r>
    </w:p>
    <w:bookmarkEnd w:id="36"/>
    <w:p w14:paraId="4B630DBB" w14:textId="1BDC0DBD" w:rsidR="00044CD7" w:rsidRDefault="00044CD7" w:rsidP="00044CD7">
      <w:pPr>
        <w:pStyle w:val="KWheading1"/>
        <w:keepNext w:val="0"/>
        <w:tabs>
          <w:tab w:val="clear" w:pos="567"/>
        </w:tabs>
        <w:adjustRightInd w:val="0"/>
        <w:snapToGrid w:val="0"/>
        <w:spacing w:line="320" w:lineRule="atLeast"/>
        <w:ind w:left="0" w:firstLineChars="200" w:firstLine="482"/>
        <w:rPr>
          <w:sz w:val="24"/>
          <w:szCs w:val="18"/>
          <w:lang w:eastAsia="zh-CN"/>
        </w:rPr>
      </w:pPr>
      <w:r>
        <w:rPr>
          <w:rFonts w:hint="eastAsia"/>
          <w:sz w:val="24"/>
          <w:szCs w:val="18"/>
          <w:lang w:eastAsia="zh-CN"/>
        </w:rPr>
        <w:t>与上市公司之间的重大交易</w:t>
      </w:r>
    </w:p>
    <w:p w14:paraId="7B8E27F3" w14:textId="0678BB78" w:rsidR="00044CD7" w:rsidRDefault="00044CD7" w:rsidP="00044CD7">
      <w:pPr>
        <w:pStyle w:val="KWheading2"/>
        <w:keepNext w:val="0"/>
        <w:tabs>
          <w:tab w:val="clear" w:pos="1844"/>
        </w:tabs>
        <w:adjustRightInd w:val="0"/>
        <w:snapToGrid w:val="0"/>
        <w:spacing w:line="320" w:lineRule="atLeast"/>
        <w:ind w:left="0" w:firstLineChars="200" w:firstLine="480"/>
        <w:rPr>
          <w:lang w:eastAsia="zh-CN"/>
        </w:rPr>
      </w:pPr>
      <w:r>
        <w:rPr>
          <w:rFonts w:hint="eastAsia"/>
          <w:lang w:eastAsia="zh-CN"/>
        </w:rPr>
        <w:t>鼎耘产业出具的《关于保持上市公司独立性的承诺函》《避免同业竞争的承诺函》《关于减少和规范关联交易的承诺函》</w:t>
      </w:r>
      <w:r w:rsidR="006F37A6">
        <w:rPr>
          <w:rFonts w:hint="eastAsia"/>
          <w:lang w:eastAsia="zh-CN"/>
        </w:rPr>
        <w:t>；</w:t>
      </w:r>
    </w:p>
    <w:p w14:paraId="41CEEA45" w14:textId="75DEA3C0" w:rsidR="006F37A6" w:rsidRDefault="006F37A6" w:rsidP="00044CD7">
      <w:pPr>
        <w:pStyle w:val="KWheading2"/>
        <w:keepNext w:val="0"/>
        <w:tabs>
          <w:tab w:val="clear" w:pos="1844"/>
        </w:tabs>
        <w:adjustRightInd w:val="0"/>
        <w:snapToGrid w:val="0"/>
        <w:spacing w:line="320" w:lineRule="atLeast"/>
        <w:ind w:left="0" w:firstLineChars="200" w:firstLine="480"/>
        <w:rPr>
          <w:lang w:eastAsia="zh-CN"/>
        </w:rPr>
      </w:pPr>
      <w:r>
        <w:rPr>
          <w:rFonts w:hint="eastAsia"/>
          <w:lang w:eastAsia="zh-CN"/>
        </w:rPr>
        <w:t>汇源通信关于不存在与上述人员</w:t>
      </w:r>
      <w:r w:rsidRPr="006717FC">
        <w:rPr>
          <w:rFonts w:hint="eastAsia"/>
          <w:lang w:eastAsia="zh-CN"/>
        </w:rPr>
        <w:t>进行资产交易的合计金额超过</w:t>
      </w:r>
      <w:r w:rsidRPr="006717FC">
        <w:rPr>
          <w:rFonts w:hint="eastAsia"/>
          <w:lang w:eastAsia="zh-CN"/>
        </w:rPr>
        <w:t>3,000</w:t>
      </w:r>
      <w:r w:rsidRPr="006717FC">
        <w:rPr>
          <w:rFonts w:hint="eastAsia"/>
          <w:lang w:eastAsia="zh-CN"/>
        </w:rPr>
        <w:t>万元或者高于上市公司最近一期经审计的合并财务报表净资产</w:t>
      </w:r>
      <w:r w:rsidRPr="006717FC">
        <w:rPr>
          <w:rFonts w:hint="eastAsia"/>
          <w:lang w:eastAsia="zh-CN"/>
        </w:rPr>
        <w:t>5%</w:t>
      </w:r>
      <w:r w:rsidRPr="006717FC">
        <w:rPr>
          <w:rFonts w:hint="eastAsia"/>
          <w:lang w:eastAsia="zh-CN"/>
        </w:rPr>
        <w:t>以上的交易</w:t>
      </w:r>
      <w:r>
        <w:rPr>
          <w:rFonts w:hint="eastAsia"/>
          <w:lang w:eastAsia="zh-CN"/>
        </w:rPr>
        <w:t>的说明；</w:t>
      </w:r>
    </w:p>
    <w:p w14:paraId="19EB9FFE" w14:textId="6F2CF705" w:rsidR="00044CD7" w:rsidRDefault="003C08DD" w:rsidP="003C08DD">
      <w:pPr>
        <w:pStyle w:val="KWheading1"/>
        <w:keepNext w:val="0"/>
        <w:tabs>
          <w:tab w:val="clear" w:pos="567"/>
        </w:tabs>
        <w:adjustRightInd w:val="0"/>
        <w:snapToGrid w:val="0"/>
        <w:spacing w:line="320" w:lineRule="atLeast"/>
        <w:ind w:left="0" w:firstLineChars="200" w:firstLine="482"/>
        <w:rPr>
          <w:sz w:val="24"/>
          <w:szCs w:val="18"/>
          <w:lang w:eastAsia="zh-CN"/>
        </w:rPr>
      </w:pPr>
      <w:r>
        <w:rPr>
          <w:rFonts w:hint="eastAsia"/>
          <w:sz w:val="24"/>
          <w:szCs w:val="18"/>
          <w:lang w:eastAsia="zh-CN"/>
        </w:rPr>
        <w:t>买卖上市公司股份的情况</w:t>
      </w:r>
    </w:p>
    <w:p w14:paraId="3D4C968D" w14:textId="08B0CB03" w:rsidR="003C08DD" w:rsidRPr="003C08DD" w:rsidRDefault="003C08DD" w:rsidP="003C08DD">
      <w:pPr>
        <w:pStyle w:val="KWheading2"/>
        <w:keepNext w:val="0"/>
        <w:tabs>
          <w:tab w:val="clear" w:pos="1844"/>
        </w:tabs>
        <w:adjustRightInd w:val="0"/>
        <w:snapToGrid w:val="0"/>
        <w:spacing w:line="320" w:lineRule="atLeast"/>
        <w:ind w:left="0" w:firstLineChars="200" w:firstLine="480"/>
        <w:rPr>
          <w:lang w:eastAsia="zh-CN"/>
        </w:rPr>
      </w:pPr>
      <w:r>
        <w:rPr>
          <w:rFonts w:hint="eastAsia"/>
          <w:lang w:eastAsia="zh-CN"/>
        </w:rPr>
        <w:t>鼎耘产业、鼎耘科技关于未买卖上市公司股票的说明。</w:t>
      </w:r>
    </w:p>
    <w:p w14:paraId="39DB538A" w14:textId="456B86B8" w:rsidR="00044CD7" w:rsidRPr="003C08DD" w:rsidRDefault="003C08DD" w:rsidP="003C08DD">
      <w:pPr>
        <w:pStyle w:val="KWheading2"/>
        <w:keepNext w:val="0"/>
        <w:tabs>
          <w:tab w:val="clear" w:pos="1844"/>
        </w:tabs>
        <w:adjustRightInd w:val="0"/>
        <w:snapToGrid w:val="0"/>
        <w:spacing w:line="320" w:lineRule="atLeast"/>
        <w:ind w:left="0" w:firstLineChars="200" w:firstLine="480"/>
        <w:rPr>
          <w:rFonts w:hint="eastAsia"/>
          <w:lang w:eastAsia="zh-CN"/>
        </w:rPr>
      </w:pPr>
      <w:r>
        <w:rPr>
          <w:rFonts w:hint="eastAsia"/>
          <w:lang w:eastAsia="zh-CN"/>
        </w:rPr>
        <w:t>李辉、李红星、车晓燕关于本人及直系亲属未买卖上市公司股票的说明。</w:t>
      </w:r>
    </w:p>
    <w:p w14:paraId="247C328A" w14:textId="3375DAF0" w:rsidR="00044CD7" w:rsidRPr="003C08DD" w:rsidRDefault="003C08DD" w:rsidP="003C08DD">
      <w:pPr>
        <w:pStyle w:val="KWheading1"/>
        <w:keepNext w:val="0"/>
        <w:tabs>
          <w:tab w:val="clear" w:pos="567"/>
        </w:tabs>
        <w:adjustRightInd w:val="0"/>
        <w:snapToGrid w:val="0"/>
        <w:spacing w:line="320" w:lineRule="atLeast"/>
        <w:ind w:left="0" w:firstLineChars="200" w:firstLine="482"/>
        <w:rPr>
          <w:sz w:val="24"/>
          <w:szCs w:val="18"/>
          <w:lang w:eastAsia="zh-CN"/>
        </w:rPr>
      </w:pPr>
      <w:r>
        <w:rPr>
          <w:rFonts w:hint="eastAsia"/>
          <w:sz w:val="24"/>
          <w:szCs w:val="18"/>
          <w:lang w:eastAsia="zh-CN"/>
        </w:rPr>
        <w:t>参与本次收购的专业机构</w:t>
      </w:r>
    </w:p>
    <w:p w14:paraId="38703E8E" w14:textId="009F68BA" w:rsidR="00044CD7" w:rsidRDefault="003C08DD" w:rsidP="003C08DD">
      <w:pPr>
        <w:pStyle w:val="KWheading2"/>
        <w:keepNext w:val="0"/>
        <w:tabs>
          <w:tab w:val="clear" w:pos="1844"/>
        </w:tabs>
        <w:adjustRightInd w:val="0"/>
        <w:snapToGrid w:val="0"/>
        <w:spacing w:line="320" w:lineRule="atLeast"/>
        <w:ind w:left="0" w:firstLineChars="200" w:firstLine="480"/>
        <w:rPr>
          <w:lang w:eastAsia="zh-CN"/>
        </w:rPr>
      </w:pPr>
      <w:r>
        <w:rPr>
          <w:rFonts w:hint="eastAsia"/>
          <w:lang w:eastAsia="zh-CN"/>
        </w:rPr>
        <w:t>银河证券的营业执照；</w:t>
      </w:r>
    </w:p>
    <w:p w14:paraId="3C7173E1" w14:textId="0B5DED16" w:rsidR="00044CD7" w:rsidRPr="00044CD7" w:rsidRDefault="003C08DD" w:rsidP="003C08DD">
      <w:pPr>
        <w:pStyle w:val="KWheading2"/>
        <w:keepNext w:val="0"/>
        <w:tabs>
          <w:tab w:val="clear" w:pos="1844"/>
        </w:tabs>
        <w:adjustRightInd w:val="0"/>
        <w:snapToGrid w:val="0"/>
        <w:spacing w:line="320" w:lineRule="atLeast"/>
        <w:ind w:left="0" w:firstLineChars="200" w:firstLine="480"/>
        <w:rPr>
          <w:rFonts w:hint="eastAsia"/>
          <w:lang w:eastAsia="zh-CN"/>
        </w:rPr>
      </w:pPr>
      <w:r>
        <w:rPr>
          <w:rFonts w:hint="eastAsia"/>
          <w:lang w:eastAsia="zh-CN"/>
        </w:rPr>
        <w:t>银河证券关于其及项目经办人与鼎耘产业、鼎耘科技、汇源通信之间不存在关联关系的说明。</w:t>
      </w:r>
      <w:bookmarkEnd w:id="35"/>
    </w:p>
    <w:sectPr w:rsidR="00044CD7" w:rsidRPr="00044CD7" w:rsidSect="0033251F">
      <w:footerReference w:type="default" r:id="rId8"/>
      <w:pgSz w:w="11907" w:h="16840"/>
      <w:pgMar w:top="1418" w:right="1134" w:bottom="1701" w:left="1701"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C302B0" w14:textId="77777777" w:rsidR="003001A8" w:rsidRDefault="003001A8">
      <w:r>
        <w:separator/>
      </w:r>
    </w:p>
  </w:endnote>
  <w:endnote w:type="continuationSeparator" w:id="0">
    <w:p w14:paraId="03EFFC8F" w14:textId="77777777" w:rsidR="003001A8" w:rsidRDefault="003001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KaiTi_GB2312">
    <w:panose1 w:val="02010609030101010101"/>
    <w:charset w:val="86"/>
    <w:family w:val="modern"/>
    <w:pitch w:val="fixed"/>
    <w:sig w:usb0="00000001" w:usb1="080E0000" w:usb2="00000010" w:usb3="00000000" w:csb0="00040001" w:csb1="00000000"/>
  </w:font>
  <w:font w:name="Wingdings 2">
    <w:panose1 w:val="05020102010507070707"/>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Arial Bold">
    <w:altName w:val="Arial"/>
    <w:panose1 w:val="020B0604020202020204"/>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Verdana">
    <w:panose1 w:val="020B0604030504040204"/>
    <w:charset w:val="00"/>
    <w:family w:val="swiss"/>
    <w:pitch w:val="variable"/>
    <w:sig w:usb0="A10006FF" w:usb1="4000205B" w:usb2="00000010" w:usb3="00000000" w:csb0="0000019F" w:csb1="00000000"/>
  </w:font>
  <w:font w:name="Courier">
    <w:panose1 w:val="02070309020205020404"/>
    <w:charset w:val="00"/>
    <w:family w:val="auto"/>
    <w:pitch w:val="variable"/>
    <w:sig w:usb0="00000003" w:usb1="00000000" w:usb2="00000000" w:usb3="00000000" w:csb0="00000003"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83DDC" w14:textId="255A51A4" w:rsidR="002848D7" w:rsidRDefault="002848D7">
    <w:pPr>
      <w:pStyle w:val="Footer"/>
      <w:rPr>
        <w:rFonts w:cs="Arial"/>
        <w:kern w:val="0"/>
      </w:rPr>
    </w:pPr>
    <w:r>
      <w:rPr>
        <w:rFonts w:cs="Arial"/>
        <w:kern w:val="0"/>
      </w:rPr>
      <w:fldChar w:fldCharType="begin"/>
    </w:r>
    <w:r>
      <w:rPr>
        <w:rFonts w:cs="Arial"/>
        <w:kern w:val="0"/>
      </w:rPr>
      <w:instrText xml:space="preserve"> DOCPROPERTY  DMFileName  \* MERGEFORMAT </w:instrText>
    </w:r>
    <w:r>
      <w:rPr>
        <w:rFonts w:cs="Arial"/>
        <w:kern w:val="0"/>
      </w:rPr>
      <w:fldChar w:fldCharType="separate"/>
    </w:r>
    <w:proofErr w:type="spellStart"/>
    <w:r w:rsidR="00257223">
      <w:rPr>
        <w:rFonts w:cs="Arial"/>
        <w:kern w:val="0"/>
      </w:rPr>
      <w:t>KnowHow</w:t>
    </w:r>
    <w:proofErr w:type="spellEnd"/>
    <w:r w:rsidR="00257223">
      <w:rPr>
        <w:rFonts w:cs="Arial"/>
        <w:kern w:val="0"/>
      </w:rPr>
      <w:t>\22325v1</w:t>
    </w:r>
    <w:r>
      <w:rPr>
        <w:rFonts w:cs="Arial"/>
        <w:kern w:val="0"/>
      </w:rPr>
      <w:fldChar w:fldCharType="end"/>
    </w:r>
  </w:p>
  <w:p w14:paraId="759A2671" w14:textId="77777777" w:rsidR="002848D7" w:rsidRDefault="002848D7">
    <w:pPr>
      <w:jc w:val="right"/>
      <w:rPr>
        <w:rStyle w:val="PageNumber"/>
      </w:rPr>
    </w:pPr>
    <w:r>
      <w:fldChar w:fldCharType="begin"/>
    </w:r>
    <w:r>
      <w:rPr>
        <w:rStyle w:val="PageNumber"/>
      </w:rPr>
      <w:instrText xml:space="preserve"> PAGE  \* MERGEFORMAT </w:instrText>
    </w:r>
    <w:r>
      <w:fldChar w:fldCharType="separate"/>
    </w:r>
    <w:r>
      <w:rPr>
        <w:rStyle w:val="PageNumber"/>
        <w:lang w:eastAsia="zh-CN"/>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67C6C" w14:textId="77777777" w:rsidR="002848D7" w:rsidRDefault="002848D7">
    <w:pPr>
      <w:pStyle w:val="Footer"/>
      <w:rPr>
        <w:rFonts w:cs="Arial"/>
        <w:kern w:val="0"/>
      </w:rPr>
    </w:pPr>
  </w:p>
  <w:p w14:paraId="46FFFA66" w14:textId="15B0F311" w:rsidR="002848D7" w:rsidRDefault="002848D7">
    <w:pPr>
      <w:jc w:val="right"/>
      <w:rPr>
        <w:rStyle w:val="PageNumber"/>
      </w:rPr>
    </w:pPr>
    <w:r>
      <w:fldChar w:fldCharType="begin"/>
    </w:r>
    <w:r>
      <w:rPr>
        <w:rStyle w:val="PageNumber"/>
      </w:rPr>
      <w:instrText xml:space="preserve"> PAGE  \* MERGEFORMAT </w:instrText>
    </w:r>
    <w:r>
      <w:fldChar w:fldCharType="separate"/>
    </w:r>
    <w:r w:rsidR="00EE0EAA">
      <w:rPr>
        <w:rStyle w:val="PageNumber"/>
        <w:noProof/>
        <w:lang w:eastAsia="zh-CN"/>
      </w:rPr>
      <w:t>29</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A252DE" w14:textId="77777777" w:rsidR="003001A8" w:rsidRDefault="003001A8">
      <w:r>
        <w:separator/>
      </w:r>
    </w:p>
  </w:footnote>
  <w:footnote w:type="continuationSeparator" w:id="0">
    <w:p w14:paraId="50D4EF16" w14:textId="77777777" w:rsidR="003001A8" w:rsidRDefault="003001A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num" w:pos="360"/>
        </w:tabs>
        <w:ind w:left="360" w:hanging="360"/>
      </w:pPr>
      <w:rPr>
        <w:rFonts w:hint="default"/>
      </w:rPr>
    </w:lvl>
  </w:abstractNum>
  <w:abstractNum w:abstractNumId="3" w15:restartNumberingAfterBreak="0">
    <w:nsid w:val="FFFFFF7F"/>
    <w:multiLevelType w:val="singleLevel"/>
    <w:tmpl w:val="FFFFFF7F"/>
    <w:lvl w:ilvl="0">
      <w:start w:val="1"/>
      <w:numFmt w:val="decimal"/>
      <w:pStyle w:val="ListNumber2"/>
      <w:lvlText w:val="%1"/>
      <w:lvlJc w:val="left"/>
      <w:pPr>
        <w:tabs>
          <w:tab w:val="num" w:pos="360"/>
        </w:tabs>
        <w:ind w:left="360" w:hanging="360"/>
      </w:pPr>
      <w:rPr>
        <w:rFonts w:hint="default"/>
      </w:rPr>
    </w:lvl>
  </w:abstractNum>
  <w:abstractNum w:abstractNumId="4" w15:restartNumberingAfterBreak="0">
    <w:nsid w:val="FFFFFF80"/>
    <w:multiLevelType w:val="singleLevel"/>
    <w:tmpl w:val="FFFFFF80"/>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num" w:pos="567"/>
        </w:tabs>
        <w:ind w:left="1701" w:hanging="567"/>
      </w:pPr>
      <w:rPr>
        <w:rFonts w:ascii="Symbol" w:hAnsi="Symbol" w:hint="default"/>
      </w:rPr>
    </w:lvl>
  </w:abstractNum>
  <w:abstractNum w:abstractNumId="8" w15:restartNumberingAfterBreak="0">
    <w:nsid w:val="003644E3"/>
    <w:multiLevelType w:val="multilevel"/>
    <w:tmpl w:val="33EC39CE"/>
    <w:lvl w:ilvl="0">
      <w:start w:val="1"/>
      <w:numFmt w:val="decimal"/>
      <w:lvlText w:val="（%1）"/>
      <w:lvlJc w:val="left"/>
      <w:pPr>
        <w:ind w:left="1880" w:hanging="720"/>
      </w:pPr>
      <w:rPr>
        <w:rFonts w:hint="default"/>
        <w:lang w:val="en-US"/>
      </w:rPr>
    </w:lvl>
    <w:lvl w:ilvl="1">
      <w:start w:val="1"/>
      <w:numFmt w:val="lowerLetter"/>
      <w:lvlText w:val="%2)"/>
      <w:lvlJc w:val="left"/>
      <w:pPr>
        <w:ind w:left="2000" w:hanging="420"/>
      </w:pPr>
    </w:lvl>
    <w:lvl w:ilvl="2">
      <w:start w:val="1"/>
      <w:numFmt w:val="lowerRoman"/>
      <w:lvlText w:val="%3."/>
      <w:lvlJc w:val="right"/>
      <w:pPr>
        <w:ind w:left="2420" w:hanging="420"/>
      </w:pPr>
    </w:lvl>
    <w:lvl w:ilvl="3">
      <w:start w:val="1"/>
      <w:numFmt w:val="decimal"/>
      <w:lvlText w:val="%4."/>
      <w:lvlJc w:val="left"/>
      <w:pPr>
        <w:ind w:left="2840" w:hanging="420"/>
      </w:pPr>
    </w:lvl>
    <w:lvl w:ilvl="4">
      <w:start w:val="1"/>
      <w:numFmt w:val="lowerLetter"/>
      <w:lvlText w:val="%5)"/>
      <w:lvlJc w:val="left"/>
      <w:pPr>
        <w:ind w:left="3260" w:hanging="420"/>
      </w:pPr>
    </w:lvl>
    <w:lvl w:ilvl="5">
      <w:start w:val="1"/>
      <w:numFmt w:val="lowerRoman"/>
      <w:lvlText w:val="%6."/>
      <w:lvlJc w:val="right"/>
      <w:pPr>
        <w:ind w:left="3680" w:hanging="420"/>
      </w:pPr>
    </w:lvl>
    <w:lvl w:ilvl="6">
      <w:start w:val="1"/>
      <w:numFmt w:val="decimal"/>
      <w:lvlText w:val="%7."/>
      <w:lvlJc w:val="left"/>
      <w:pPr>
        <w:ind w:left="4100" w:hanging="420"/>
      </w:pPr>
    </w:lvl>
    <w:lvl w:ilvl="7">
      <w:start w:val="1"/>
      <w:numFmt w:val="lowerLetter"/>
      <w:lvlText w:val="%8)"/>
      <w:lvlJc w:val="left"/>
      <w:pPr>
        <w:ind w:left="4520" w:hanging="420"/>
      </w:pPr>
    </w:lvl>
    <w:lvl w:ilvl="8">
      <w:start w:val="1"/>
      <w:numFmt w:val="lowerRoman"/>
      <w:lvlText w:val="%9."/>
      <w:lvlJc w:val="right"/>
      <w:pPr>
        <w:ind w:left="4940" w:hanging="420"/>
      </w:pPr>
    </w:lvl>
  </w:abstractNum>
  <w:abstractNum w:abstractNumId="9" w15:restartNumberingAfterBreak="0">
    <w:nsid w:val="08E2797C"/>
    <w:multiLevelType w:val="multilevel"/>
    <w:tmpl w:val="08E2797C"/>
    <w:lvl w:ilvl="0">
      <w:start w:val="1"/>
      <w:numFmt w:val="decimal"/>
      <w:pStyle w:val="KWListNumber"/>
      <w:lvlText w:val="%1"/>
      <w:lvlJc w:val="left"/>
      <w:pPr>
        <w:tabs>
          <w:tab w:val="num" w:pos="1701"/>
        </w:tabs>
        <w:ind w:left="1701" w:hanging="567"/>
      </w:pPr>
      <w:rPr>
        <w:rFonts w:ascii="Arial" w:eastAsia="KaiTi_GB2312" w:hAnsi="Arial" w:hint="default"/>
        <w:sz w:val="20"/>
      </w:rPr>
    </w:lvl>
    <w:lvl w:ilvl="1">
      <w:start w:val="1"/>
      <w:numFmt w:val="lowerLetter"/>
      <w:lvlText w:val="%2)"/>
      <w:lvlJc w:val="left"/>
      <w:pPr>
        <w:tabs>
          <w:tab w:val="num" w:pos="2268"/>
        </w:tabs>
        <w:ind w:left="2268" w:hanging="567"/>
      </w:pPr>
      <w:rPr>
        <w:rFonts w:ascii="Arial" w:hAnsi="Arial" w:hint="default"/>
        <w:sz w:val="20"/>
      </w:rPr>
    </w:lvl>
    <w:lvl w:ilvl="2">
      <w:start w:val="1"/>
      <w:numFmt w:val="lowerRoman"/>
      <w:lvlText w:val="%3."/>
      <w:lvlJc w:val="left"/>
      <w:pPr>
        <w:tabs>
          <w:tab w:val="num" w:pos="2835"/>
        </w:tabs>
        <w:ind w:left="2835" w:hanging="567"/>
      </w:pPr>
      <w:rPr>
        <w:rFonts w:ascii="Arial" w:hAnsi="Arial" w:hint="default"/>
        <w:sz w:val="20"/>
      </w:rPr>
    </w:lvl>
    <w:lvl w:ilvl="3">
      <w:start w:val="1"/>
      <w:numFmt w:val="none"/>
      <w:lvlText w:val=""/>
      <w:lvlJc w:val="left"/>
      <w:pPr>
        <w:tabs>
          <w:tab w:val="num" w:pos="2835"/>
        </w:tabs>
        <w:ind w:left="2835" w:hanging="567"/>
      </w:pPr>
      <w:rPr>
        <w:rFonts w:hint="eastAsia"/>
      </w:rPr>
    </w:lvl>
    <w:lvl w:ilvl="4">
      <w:start w:val="1"/>
      <w:numFmt w:val="none"/>
      <w:lvlText w:val=""/>
      <w:lvlJc w:val="left"/>
      <w:pPr>
        <w:tabs>
          <w:tab w:val="num" w:pos="2835"/>
        </w:tabs>
        <w:ind w:left="2835" w:hanging="567"/>
      </w:pPr>
      <w:rPr>
        <w:rFonts w:hint="eastAsia"/>
      </w:rPr>
    </w:lvl>
    <w:lvl w:ilvl="5">
      <w:start w:val="1"/>
      <w:numFmt w:val="none"/>
      <w:lvlText w:val=""/>
      <w:lvlJc w:val="left"/>
      <w:pPr>
        <w:tabs>
          <w:tab w:val="num" w:pos="2835"/>
        </w:tabs>
        <w:ind w:left="2835" w:hanging="567"/>
      </w:pPr>
      <w:rPr>
        <w:rFonts w:hint="eastAsia"/>
      </w:rPr>
    </w:lvl>
    <w:lvl w:ilvl="6">
      <w:start w:val="1"/>
      <w:numFmt w:val="none"/>
      <w:lvlText w:val=""/>
      <w:lvlJc w:val="left"/>
      <w:pPr>
        <w:tabs>
          <w:tab w:val="num" w:pos="2835"/>
        </w:tabs>
        <w:ind w:left="2835" w:hanging="567"/>
      </w:pPr>
      <w:rPr>
        <w:rFonts w:hint="eastAsia"/>
      </w:rPr>
    </w:lvl>
    <w:lvl w:ilvl="7">
      <w:start w:val="1"/>
      <w:numFmt w:val="none"/>
      <w:lvlText w:val=""/>
      <w:lvlJc w:val="left"/>
      <w:pPr>
        <w:tabs>
          <w:tab w:val="num" w:pos="2835"/>
        </w:tabs>
        <w:ind w:left="2835" w:hanging="567"/>
      </w:pPr>
      <w:rPr>
        <w:rFonts w:hint="eastAsia"/>
      </w:rPr>
    </w:lvl>
    <w:lvl w:ilvl="8">
      <w:start w:val="1"/>
      <w:numFmt w:val="none"/>
      <w:lvlText w:val=""/>
      <w:lvlJc w:val="left"/>
      <w:pPr>
        <w:tabs>
          <w:tab w:val="num" w:pos="2835"/>
        </w:tabs>
        <w:ind w:left="2835" w:hanging="567"/>
      </w:pPr>
      <w:rPr>
        <w:rFonts w:hint="eastAsia"/>
      </w:rPr>
    </w:lvl>
  </w:abstractNum>
  <w:abstractNum w:abstractNumId="10" w15:restartNumberingAfterBreak="0">
    <w:nsid w:val="0B114237"/>
    <w:multiLevelType w:val="multilevel"/>
    <w:tmpl w:val="0B114237"/>
    <w:lvl w:ilvl="0">
      <w:start w:val="1"/>
      <w:numFmt w:val="upperLetter"/>
      <w:pStyle w:val="DeedAttachment"/>
      <w:lvlText w:val="Attachment %1 "/>
      <w:lvlJc w:val="left"/>
      <w:pPr>
        <w:tabs>
          <w:tab w:val="num" w:pos="284"/>
        </w:tabs>
        <w:ind w:left="2268" w:hanging="1908"/>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15:restartNumberingAfterBreak="0">
    <w:nsid w:val="0B3E73A3"/>
    <w:multiLevelType w:val="multilevel"/>
    <w:tmpl w:val="0B3E73A3"/>
    <w:lvl w:ilvl="0">
      <w:start w:val="1"/>
      <w:numFmt w:val="chineseCountingThousand"/>
      <w:pStyle w:val="KWheading1"/>
      <w:lvlText w:val="%1、"/>
      <w:lvlJc w:val="left"/>
      <w:pPr>
        <w:tabs>
          <w:tab w:val="num" w:pos="567"/>
        </w:tabs>
        <w:ind w:left="567" w:hanging="567"/>
      </w:pPr>
      <w:rPr>
        <w:rFonts w:ascii="Arial" w:eastAsia="KaiTi_GB2312" w:hAnsi="Arial" w:hint="default"/>
      </w:rPr>
    </w:lvl>
    <w:lvl w:ilvl="1">
      <w:start w:val="1"/>
      <w:numFmt w:val="decimal"/>
      <w:pStyle w:val="KWheading2"/>
      <w:lvlText w:val="%2."/>
      <w:lvlJc w:val="left"/>
      <w:pPr>
        <w:tabs>
          <w:tab w:val="num" w:pos="1844"/>
        </w:tabs>
        <w:ind w:left="1844" w:hanging="567"/>
      </w:pPr>
      <w:rPr>
        <w:rFonts w:hint="eastAsia"/>
      </w:rPr>
    </w:lvl>
    <w:lvl w:ilvl="2">
      <w:start w:val="1"/>
      <w:numFmt w:val="lowerLetter"/>
      <w:pStyle w:val="KWheading3"/>
      <w:lvlText w:val="(%3)"/>
      <w:lvlJc w:val="left"/>
      <w:pPr>
        <w:tabs>
          <w:tab w:val="num" w:pos="8506"/>
        </w:tabs>
        <w:ind w:left="8506" w:hanging="567"/>
      </w:pPr>
      <w:rPr>
        <w:rFonts w:ascii="Arial" w:hAnsi="Arial" w:hint="default"/>
        <w:sz w:val="20"/>
      </w:rPr>
    </w:lvl>
    <w:lvl w:ilvl="3">
      <w:start w:val="1"/>
      <w:numFmt w:val="lowerRoman"/>
      <w:pStyle w:val="KWheading4"/>
      <w:lvlText w:val="(%4)"/>
      <w:lvlJc w:val="left"/>
      <w:pPr>
        <w:tabs>
          <w:tab w:val="num" w:pos="2268"/>
        </w:tabs>
        <w:ind w:left="2268" w:hanging="567"/>
      </w:pPr>
      <w:rPr>
        <w:rFonts w:ascii="Arial" w:hAnsi="Arial" w:hint="default"/>
        <w:b w:val="0"/>
        <w:i w:val="0"/>
        <w:sz w:val="20"/>
      </w:rPr>
    </w:lvl>
    <w:lvl w:ilvl="4">
      <w:start w:val="1"/>
      <w:numFmt w:val="upperLetter"/>
      <w:pStyle w:val="KWheading5"/>
      <w:lvlText w:val="(%5)"/>
      <w:lvlJc w:val="left"/>
      <w:pPr>
        <w:tabs>
          <w:tab w:val="num" w:pos="2835"/>
        </w:tabs>
        <w:ind w:left="2835" w:hanging="567"/>
      </w:pPr>
      <w:rPr>
        <w:rFonts w:ascii="Arial" w:hAnsi="Arial" w:hint="default"/>
        <w:sz w:val="20"/>
      </w:rPr>
    </w:lvl>
    <w:lvl w:ilvl="5">
      <w:start w:val="1"/>
      <w:numFmt w:val="chineseCountingThousand"/>
      <w:pStyle w:val="KWHeading6"/>
      <w:lvlText w:val="附录 %6"/>
      <w:lvlJc w:val="left"/>
      <w:pPr>
        <w:tabs>
          <w:tab w:val="num" w:pos="5813"/>
        </w:tabs>
        <w:ind w:left="5813" w:hanging="567"/>
      </w:pPr>
      <w:rPr>
        <w:rFonts w:hint="eastAsia"/>
      </w:rPr>
    </w:lvl>
    <w:lvl w:ilvl="6">
      <w:start w:val="1"/>
      <w:numFmt w:val="decimal"/>
      <w:pStyle w:val="KWheading7"/>
      <w:lvlText w:val="%7"/>
      <w:lvlJc w:val="left"/>
      <w:pPr>
        <w:tabs>
          <w:tab w:val="num" w:pos="567"/>
        </w:tabs>
        <w:ind w:left="1134" w:hanging="567"/>
      </w:pPr>
      <w:rPr>
        <w:rFonts w:hint="eastAsia"/>
      </w:rPr>
    </w:lvl>
    <w:lvl w:ilvl="7">
      <w:start w:val="1"/>
      <w:numFmt w:val="upperLetter"/>
      <w:pStyle w:val="KWHeading8"/>
      <w:lvlText w:val="附件 %8"/>
      <w:lvlJc w:val="left"/>
      <w:pPr>
        <w:tabs>
          <w:tab w:val="num" w:pos="567"/>
        </w:tabs>
        <w:ind w:left="567" w:hanging="567"/>
      </w:pPr>
      <w:rPr>
        <w:rFonts w:hint="eastAsia"/>
      </w:rPr>
    </w:lvl>
    <w:lvl w:ilvl="8">
      <w:start w:val="1"/>
      <w:numFmt w:val="chineseCountingThousand"/>
      <w:pStyle w:val="KWHeading9"/>
      <w:lvlText w:val="第%9部分"/>
      <w:lvlJc w:val="left"/>
      <w:pPr>
        <w:tabs>
          <w:tab w:val="num" w:pos="567"/>
        </w:tabs>
        <w:ind w:left="567" w:hanging="567"/>
      </w:pPr>
      <w:rPr>
        <w:rFonts w:hint="eastAsia"/>
      </w:rPr>
    </w:lvl>
  </w:abstractNum>
  <w:abstractNum w:abstractNumId="12" w15:restartNumberingAfterBreak="0">
    <w:nsid w:val="0C9C005A"/>
    <w:multiLevelType w:val="multilevel"/>
    <w:tmpl w:val="0B3E73A3"/>
    <w:lvl w:ilvl="0">
      <w:start w:val="1"/>
      <w:numFmt w:val="chineseCountingThousand"/>
      <w:lvlText w:val="%1、"/>
      <w:lvlJc w:val="left"/>
      <w:pPr>
        <w:tabs>
          <w:tab w:val="num" w:pos="567"/>
        </w:tabs>
        <w:ind w:left="567" w:hanging="567"/>
      </w:pPr>
      <w:rPr>
        <w:rFonts w:ascii="Arial" w:eastAsia="KaiTi_GB2312" w:hAnsi="Arial" w:hint="default"/>
      </w:rPr>
    </w:lvl>
    <w:lvl w:ilvl="1">
      <w:start w:val="1"/>
      <w:numFmt w:val="decimal"/>
      <w:lvlText w:val="%2."/>
      <w:lvlJc w:val="left"/>
      <w:pPr>
        <w:tabs>
          <w:tab w:val="num" w:pos="1844"/>
        </w:tabs>
        <w:ind w:left="1844" w:hanging="567"/>
      </w:pPr>
      <w:rPr>
        <w:rFonts w:hint="eastAsia"/>
      </w:rPr>
    </w:lvl>
    <w:lvl w:ilvl="2">
      <w:start w:val="1"/>
      <w:numFmt w:val="lowerLetter"/>
      <w:lvlText w:val="(%3)"/>
      <w:lvlJc w:val="left"/>
      <w:pPr>
        <w:tabs>
          <w:tab w:val="num" w:pos="8506"/>
        </w:tabs>
        <w:ind w:left="8506" w:hanging="567"/>
      </w:pPr>
      <w:rPr>
        <w:rFonts w:ascii="Arial" w:hAnsi="Arial" w:hint="default"/>
        <w:sz w:val="20"/>
      </w:rPr>
    </w:lvl>
    <w:lvl w:ilvl="3">
      <w:start w:val="1"/>
      <w:numFmt w:val="lowerRoman"/>
      <w:lvlText w:val="(%4)"/>
      <w:lvlJc w:val="left"/>
      <w:pPr>
        <w:tabs>
          <w:tab w:val="num" w:pos="2268"/>
        </w:tabs>
        <w:ind w:left="2268" w:hanging="567"/>
      </w:pPr>
      <w:rPr>
        <w:rFonts w:ascii="Arial" w:hAnsi="Arial" w:hint="default"/>
        <w:b w:val="0"/>
        <w:i w:val="0"/>
        <w:sz w:val="20"/>
      </w:rPr>
    </w:lvl>
    <w:lvl w:ilvl="4">
      <w:start w:val="1"/>
      <w:numFmt w:val="upperLetter"/>
      <w:lvlText w:val="(%5)"/>
      <w:lvlJc w:val="left"/>
      <w:pPr>
        <w:tabs>
          <w:tab w:val="num" w:pos="2835"/>
        </w:tabs>
        <w:ind w:left="2835" w:hanging="567"/>
      </w:pPr>
      <w:rPr>
        <w:rFonts w:ascii="Arial" w:hAnsi="Arial" w:hint="default"/>
        <w:sz w:val="20"/>
      </w:rPr>
    </w:lvl>
    <w:lvl w:ilvl="5">
      <w:start w:val="1"/>
      <w:numFmt w:val="chineseCountingThousand"/>
      <w:lvlText w:val="附录 %6"/>
      <w:lvlJc w:val="left"/>
      <w:pPr>
        <w:tabs>
          <w:tab w:val="num" w:pos="5813"/>
        </w:tabs>
        <w:ind w:left="5813" w:hanging="567"/>
      </w:pPr>
      <w:rPr>
        <w:rFonts w:hint="eastAsia"/>
      </w:rPr>
    </w:lvl>
    <w:lvl w:ilvl="6">
      <w:start w:val="1"/>
      <w:numFmt w:val="decimal"/>
      <w:lvlText w:val="%7"/>
      <w:lvlJc w:val="left"/>
      <w:pPr>
        <w:tabs>
          <w:tab w:val="num" w:pos="567"/>
        </w:tabs>
        <w:ind w:left="1134" w:hanging="567"/>
      </w:pPr>
      <w:rPr>
        <w:rFonts w:hint="eastAsia"/>
      </w:rPr>
    </w:lvl>
    <w:lvl w:ilvl="7">
      <w:start w:val="1"/>
      <w:numFmt w:val="upperLetter"/>
      <w:lvlText w:val="附件 %8"/>
      <w:lvlJc w:val="left"/>
      <w:pPr>
        <w:tabs>
          <w:tab w:val="num" w:pos="567"/>
        </w:tabs>
        <w:ind w:left="567" w:hanging="567"/>
      </w:pPr>
      <w:rPr>
        <w:rFonts w:hint="eastAsia"/>
      </w:rPr>
    </w:lvl>
    <w:lvl w:ilvl="8">
      <w:start w:val="1"/>
      <w:numFmt w:val="chineseCountingThousand"/>
      <w:lvlText w:val="第%9部分"/>
      <w:lvlJc w:val="left"/>
      <w:pPr>
        <w:tabs>
          <w:tab w:val="num" w:pos="567"/>
        </w:tabs>
        <w:ind w:left="567" w:hanging="567"/>
      </w:pPr>
      <w:rPr>
        <w:rFonts w:hint="eastAsia"/>
      </w:rPr>
    </w:lvl>
  </w:abstractNum>
  <w:abstractNum w:abstractNumId="13" w15:restartNumberingAfterBreak="0">
    <w:nsid w:val="15325669"/>
    <w:multiLevelType w:val="multilevel"/>
    <w:tmpl w:val="15325669"/>
    <w:lvl w:ilvl="0">
      <w:start w:val="1"/>
      <w:numFmt w:val="decimal"/>
      <w:pStyle w:val="Heading1"/>
      <w:lvlText w:val="%1"/>
      <w:lvlJc w:val="left"/>
      <w:pPr>
        <w:tabs>
          <w:tab w:val="num" w:pos="567"/>
        </w:tabs>
        <w:ind w:left="567" w:hanging="567"/>
      </w:pPr>
      <w:rPr>
        <w:rFonts w:hint="default"/>
        <w:color w:val="auto"/>
      </w:rPr>
    </w:lvl>
    <w:lvl w:ilvl="1">
      <w:start w:val="1"/>
      <w:numFmt w:val="decimal"/>
      <w:pStyle w:val="Heading2"/>
      <w:lvlText w:val="%1.%2"/>
      <w:lvlJc w:val="left"/>
      <w:pPr>
        <w:tabs>
          <w:tab w:val="num" w:pos="567"/>
        </w:tabs>
        <w:ind w:left="1134" w:hanging="567"/>
      </w:pPr>
      <w:rPr>
        <w:rFonts w:hint="default"/>
      </w:rPr>
    </w:lvl>
    <w:lvl w:ilvl="2">
      <w:start w:val="1"/>
      <w:numFmt w:val="lowerLetter"/>
      <w:pStyle w:val="Heading3"/>
      <w:lvlText w:val="(%3)"/>
      <w:lvlJc w:val="left"/>
      <w:pPr>
        <w:tabs>
          <w:tab w:val="num" w:pos="1701"/>
        </w:tabs>
        <w:ind w:left="1701" w:hanging="567"/>
      </w:pPr>
      <w:rPr>
        <w:rFonts w:hint="default"/>
      </w:rPr>
    </w:lvl>
    <w:lvl w:ilvl="3">
      <w:start w:val="1"/>
      <w:numFmt w:val="lowerRoman"/>
      <w:pStyle w:val="Heading4"/>
      <w:lvlText w:val="(%4)"/>
      <w:lvlJc w:val="left"/>
      <w:pPr>
        <w:tabs>
          <w:tab w:val="num" w:pos="2268"/>
        </w:tabs>
        <w:ind w:left="2268" w:hanging="567"/>
      </w:pPr>
      <w:rPr>
        <w:rFonts w:hint="default"/>
      </w:rPr>
    </w:lvl>
    <w:lvl w:ilvl="4">
      <w:start w:val="1"/>
      <w:numFmt w:val="upperLetter"/>
      <w:pStyle w:val="Heading5"/>
      <w:lvlText w:val="(%5)"/>
      <w:lvlJc w:val="left"/>
      <w:pPr>
        <w:tabs>
          <w:tab w:val="num" w:pos="2268"/>
        </w:tabs>
        <w:ind w:left="2835" w:hanging="567"/>
      </w:pPr>
      <w:rPr>
        <w:rFonts w:ascii="Arial" w:hAnsi="Arial" w:hint="default"/>
        <w:sz w:val="16"/>
        <w:szCs w:val="16"/>
      </w:rPr>
    </w:lvl>
    <w:lvl w:ilvl="5">
      <w:start w:val="1"/>
      <w:numFmt w:val="decimal"/>
      <w:lvlRestart w:val="3"/>
      <w:pStyle w:val="Heading6"/>
      <w:lvlText w:val="Schedule %6"/>
      <w:lvlJc w:val="left"/>
      <w:pPr>
        <w:tabs>
          <w:tab w:val="num" w:pos="567"/>
        </w:tabs>
        <w:ind w:left="567" w:hanging="567"/>
      </w:pPr>
      <w:rPr>
        <w:rFonts w:hint="default"/>
      </w:rPr>
    </w:lvl>
    <w:lvl w:ilvl="6">
      <w:start w:val="1"/>
      <w:numFmt w:val="decimal"/>
      <w:pStyle w:val="Heading7"/>
      <w:lvlText w:val="%7"/>
      <w:lvlJc w:val="left"/>
      <w:pPr>
        <w:tabs>
          <w:tab w:val="num" w:pos="567"/>
        </w:tabs>
        <w:ind w:left="1134" w:hanging="567"/>
      </w:pPr>
      <w:rPr>
        <w:rFonts w:hint="default"/>
      </w:rPr>
    </w:lvl>
    <w:lvl w:ilvl="7">
      <w:start w:val="1"/>
      <w:numFmt w:val="upperLetter"/>
      <w:pStyle w:val="Heading8"/>
      <w:lvlText w:val="Attachment %8"/>
      <w:lvlJc w:val="left"/>
      <w:pPr>
        <w:tabs>
          <w:tab w:val="num" w:pos="567"/>
        </w:tabs>
        <w:ind w:left="1134" w:hanging="1134"/>
      </w:pPr>
      <w:rPr>
        <w:rFonts w:hint="default"/>
      </w:rPr>
    </w:lvl>
    <w:lvl w:ilvl="8">
      <w:start w:val="1"/>
      <w:numFmt w:val="upperLetter"/>
      <w:lvlRestart w:val="0"/>
      <w:pStyle w:val="Heading9"/>
      <w:lvlText w:val="Part %9"/>
      <w:lvlJc w:val="left"/>
      <w:pPr>
        <w:tabs>
          <w:tab w:val="num" w:pos="567"/>
        </w:tabs>
        <w:ind w:left="567" w:hanging="567"/>
      </w:pPr>
      <w:rPr>
        <w:rFonts w:hint="default"/>
      </w:rPr>
    </w:lvl>
  </w:abstractNum>
  <w:abstractNum w:abstractNumId="14" w15:restartNumberingAfterBreak="0">
    <w:nsid w:val="15D11CB5"/>
    <w:multiLevelType w:val="multilevel"/>
    <w:tmpl w:val="15D11CB5"/>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5" w15:restartNumberingAfterBreak="0">
    <w:nsid w:val="167E0E46"/>
    <w:multiLevelType w:val="multilevel"/>
    <w:tmpl w:val="0B3E73A3"/>
    <w:lvl w:ilvl="0">
      <w:start w:val="1"/>
      <w:numFmt w:val="chineseCountingThousand"/>
      <w:lvlText w:val="%1、"/>
      <w:lvlJc w:val="left"/>
      <w:pPr>
        <w:tabs>
          <w:tab w:val="num" w:pos="567"/>
        </w:tabs>
        <w:ind w:left="567" w:hanging="567"/>
      </w:pPr>
      <w:rPr>
        <w:rFonts w:ascii="Arial" w:eastAsia="KaiTi_GB2312" w:hAnsi="Arial" w:hint="default"/>
      </w:rPr>
    </w:lvl>
    <w:lvl w:ilvl="1">
      <w:start w:val="1"/>
      <w:numFmt w:val="decimal"/>
      <w:lvlText w:val="%2."/>
      <w:lvlJc w:val="left"/>
      <w:pPr>
        <w:tabs>
          <w:tab w:val="num" w:pos="1844"/>
        </w:tabs>
        <w:ind w:left="1844" w:hanging="567"/>
      </w:pPr>
      <w:rPr>
        <w:rFonts w:hint="eastAsia"/>
      </w:rPr>
    </w:lvl>
    <w:lvl w:ilvl="2">
      <w:start w:val="1"/>
      <w:numFmt w:val="lowerLetter"/>
      <w:lvlText w:val="(%3)"/>
      <w:lvlJc w:val="left"/>
      <w:pPr>
        <w:tabs>
          <w:tab w:val="num" w:pos="8506"/>
        </w:tabs>
        <w:ind w:left="8506" w:hanging="567"/>
      </w:pPr>
      <w:rPr>
        <w:rFonts w:ascii="Arial" w:hAnsi="Arial" w:hint="default"/>
        <w:sz w:val="20"/>
      </w:rPr>
    </w:lvl>
    <w:lvl w:ilvl="3">
      <w:start w:val="1"/>
      <w:numFmt w:val="lowerRoman"/>
      <w:lvlText w:val="(%4)"/>
      <w:lvlJc w:val="left"/>
      <w:pPr>
        <w:tabs>
          <w:tab w:val="num" w:pos="2268"/>
        </w:tabs>
        <w:ind w:left="2268" w:hanging="567"/>
      </w:pPr>
      <w:rPr>
        <w:rFonts w:ascii="Arial" w:hAnsi="Arial" w:hint="default"/>
        <w:b w:val="0"/>
        <w:i w:val="0"/>
        <w:sz w:val="20"/>
      </w:rPr>
    </w:lvl>
    <w:lvl w:ilvl="4">
      <w:start w:val="1"/>
      <w:numFmt w:val="upperLetter"/>
      <w:lvlText w:val="(%5)"/>
      <w:lvlJc w:val="left"/>
      <w:pPr>
        <w:tabs>
          <w:tab w:val="num" w:pos="2835"/>
        </w:tabs>
        <w:ind w:left="2835" w:hanging="567"/>
      </w:pPr>
      <w:rPr>
        <w:rFonts w:ascii="Arial" w:hAnsi="Arial" w:hint="default"/>
        <w:sz w:val="20"/>
      </w:rPr>
    </w:lvl>
    <w:lvl w:ilvl="5">
      <w:start w:val="1"/>
      <w:numFmt w:val="chineseCountingThousand"/>
      <w:lvlText w:val="附录 %6"/>
      <w:lvlJc w:val="left"/>
      <w:pPr>
        <w:tabs>
          <w:tab w:val="num" w:pos="5813"/>
        </w:tabs>
        <w:ind w:left="5813" w:hanging="567"/>
      </w:pPr>
      <w:rPr>
        <w:rFonts w:hint="eastAsia"/>
      </w:rPr>
    </w:lvl>
    <w:lvl w:ilvl="6">
      <w:start w:val="1"/>
      <w:numFmt w:val="decimal"/>
      <w:lvlText w:val="%7"/>
      <w:lvlJc w:val="left"/>
      <w:pPr>
        <w:tabs>
          <w:tab w:val="num" w:pos="567"/>
        </w:tabs>
        <w:ind w:left="1134" w:hanging="567"/>
      </w:pPr>
      <w:rPr>
        <w:rFonts w:hint="eastAsia"/>
      </w:rPr>
    </w:lvl>
    <w:lvl w:ilvl="7">
      <w:start w:val="1"/>
      <w:numFmt w:val="upperLetter"/>
      <w:lvlText w:val="附件 %8"/>
      <w:lvlJc w:val="left"/>
      <w:pPr>
        <w:tabs>
          <w:tab w:val="num" w:pos="567"/>
        </w:tabs>
        <w:ind w:left="567" w:hanging="567"/>
      </w:pPr>
      <w:rPr>
        <w:rFonts w:hint="eastAsia"/>
      </w:rPr>
    </w:lvl>
    <w:lvl w:ilvl="8">
      <w:start w:val="1"/>
      <w:numFmt w:val="chineseCountingThousand"/>
      <w:lvlText w:val="第%9部分"/>
      <w:lvlJc w:val="left"/>
      <w:pPr>
        <w:tabs>
          <w:tab w:val="num" w:pos="567"/>
        </w:tabs>
        <w:ind w:left="567" w:hanging="567"/>
      </w:pPr>
      <w:rPr>
        <w:rFonts w:hint="eastAsia"/>
      </w:rPr>
    </w:lvl>
  </w:abstractNum>
  <w:abstractNum w:abstractNumId="16" w15:restartNumberingAfterBreak="0">
    <w:nsid w:val="24840B28"/>
    <w:multiLevelType w:val="multilevel"/>
    <w:tmpl w:val="24840B28"/>
    <w:lvl w:ilvl="0">
      <w:start w:val="1"/>
      <w:numFmt w:val="bullet"/>
      <w:pStyle w:val="ListBullet"/>
      <w:lvlText w:val=""/>
      <w:lvlJc w:val="left"/>
      <w:pPr>
        <w:tabs>
          <w:tab w:val="num" w:pos="1701"/>
        </w:tabs>
        <w:ind w:left="1701" w:hanging="567"/>
      </w:pPr>
      <w:rPr>
        <w:rFonts w:ascii="Wingdings 2" w:hAnsi="Wingdings 2" w:hint="default"/>
      </w:rPr>
    </w:lvl>
    <w:lvl w:ilvl="1">
      <w:start w:val="1"/>
      <w:numFmt w:val="bullet"/>
      <w:lvlText w:val=""/>
      <w:lvlJc w:val="left"/>
      <w:pPr>
        <w:tabs>
          <w:tab w:val="num" w:pos="2268"/>
        </w:tabs>
        <w:ind w:left="2268" w:hanging="567"/>
      </w:pPr>
      <w:rPr>
        <w:rFonts w:ascii="Symbol" w:hAnsi="Symbol" w:hint="default"/>
      </w:rPr>
    </w:lvl>
    <w:lvl w:ilvl="2">
      <w:start w:val="1"/>
      <w:numFmt w:val="none"/>
      <w:lvlText w:val=""/>
      <w:lvlJc w:val="left"/>
      <w:pPr>
        <w:tabs>
          <w:tab w:val="num" w:pos="2835"/>
        </w:tabs>
        <w:ind w:left="2835" w:hanging="567"/>
      </w:pPr>
      <w:rPr>
        <w:rFonts w:hint="default"/>
      </w:rPr>
    </w:lvl>
    <w:lvl w:ilvl="3">
      <w:start w:val="1"/>
      <w:numFmt w:val="none"/>
      <w:lvlText w:val=""/>
      <w:lvlJc w:val="left"/>
      <w:pPr>
        <w:tabs>
          <w:tab w:val="num" w:pos="3402"/>
        </w:tabs>
        <w:ind w:left="3402" w:hanging="567"/>
      </w:pPr>
      <w:rPr>
        <w:rFonts w:hint="default"/>
      </w:rPr>
    </w:lvl>
    <w:lvl w:ilvl="4">
      <w:start w:val="1"/>
      <w:numFmt w:val="none"/>
      <w:lvlText w:val=""/>
      <w:lvlJc w:val="left"/>
      <w:pPr>
        <w:tabs>
          <w:tab w:val="num" w:pos="3969"/>
        </w:tabs>
        <w:ind w:left="3969" w:hanging="567"/>
      </w:pPr>
      <w:rPr>
        <w:rFonts w:hint="default"/>
      </w:rPr>
    </w:lvl>
    <w:lvl w:ilvl="5">
      <w:start w:val="1"/>
      <w:numFmt w:val="none"/>
      <w:lvlText w:val=""/>
      <w:lvlJc w:val="left"/>
      <w:pPr>
        <w:tabs>
          <w:tab w:val="num" w:pos="4536"/>
        </w:tabs>
        <w:ind w:left="4536" w:hanging="567"/>
      </w:pPr>
      <w:rPr>
        <w:rFonts w:hint="default"/>
      </w:rPr>
    </w:lvl>
    <w:lvl w:ilvl="6">
      <w:start w:val="1"/>
      <w:numFmt w:val="none"/>
      <w:lvlText w:val=""/>
      <w:lvlJc w:val="left"/>
      <w:pPr>
        <w:tabs>
          <w:tab w:val="num" w:pos="4536"/>
        </w:tabs>
        <w:ind w:left="4536" w:hanging="567"/>
      </w:pPr>
      <w:rPr>
        <w:rFonts w:hint="default"/>
      </w:rPr>
    </w:lvl>
    <w:lvl w:ilvl="7">
      <w:start w:val="1"/>
      <w:numFmt w:val="none"/>
      <w:lvlText w:val=""/>
      <w:lvlJc w:val="left"/>
      <w:pPr>
        <w:tabs>
          <w:tab w:val="num" w:pos="5103"/>
        </w:tabs>
        <w:ind w:left="5103" w:hanging="567"/>
      </w:pPr>
      <w:rPr>
        <w:rFonts w:hint="default"/>
      </w:rPr>
    </w:lvl>
    <w:lvl w:ilvl="8">
      <w:start w:val="1"/>
      <w:numFmt w:val="none"/>
      <w:lvlText w:val=""/>
      <w:lvlJc w:val="left"/>
      <w:pPr>
        <w:tabs>
          <w:tab w:val="num" w:pos="6237"/>
        </w:tabs>
        <w:ind w:left="6237" w:hanging="567"/>
      </w:pPr>
      <w:rPr>
        <w:rFonts w:hint="default"/>
      </w:rPr>
    </w:lvl>
  </w:abstractNum>
  <w:abstractNum w:abstractNumId="17" w15:restartNumberingAfterBreak="0">
    <w:nsid w:val="2F9A7347"/>
    <w:multiLevelType w:val="multilevel"/>
    <w:tmpl w:val="2F9A7347"/>
    <w:lvl w:ilvl="0">
      <w:start w:val="1"/>
      <w:numFmt w:val="decimal"/>
      <w:pStyle w:val="ListNumber"/>
      <w:lvlText w:val="%1"/>
      <w:lvlJc w:val="left"/>
      <w:pPr>
        <w:tabs>
          <w:tab w:val="num" w:pos="1701"/>
        </w:tabs>
        <w:ind w:left="1701" w:hanging="567"/>
      </w:pPr>
      <w:rPr>
        <w:rFonts w:hint="default"/>
      </w:rPr>
    </w:lvl>
    <w:lvl w:ilvl="1">
      <w:start w:val="1"/>
      <w:numFmt w:val="lowerLetter"/>
      <w:lvlText w:val="(%2)"/>
      <w:lvlJc w:val="left"/>
      <w:pPr>
        <w:tabs>
          <w:tab w:val="num" w:pos="2268"/>
        </w:tabs>
        <w:ind w:left="2268" w:hanging="567"/>
      </w:pPr>
      <w:rPr>
        <w:rFonts w:hint="default"/>
      </w:rPr>
    </w:lvl>
    <w:lvl w:ilvl="2">
      <w:start w:val="1"/>
      <w:numFmt w:val="none"/>
      <w:lvlText w:val="%3"/>
      <w:lvlJc w:val="left"/>
      <w:pPr>
        <w:tabs>
          <w:tab w:val="num" w:pos="2835"/>
        </w:tabs>
        <w:ind w:left="2835" w:hanging="567"/>
      </w:pPr>
      <w:rPr>
        <w:rFonts w:hint="default"/>
      </w:rPr>
    </w:lvl>
    <w:lvl w:ilvl="3">
      <w:start w:val="1"/>
      <w:numFmt w:val="none"/>
      <w:lvlText w:val=""/>
      <w:lvlJc w:val="left"/>
      <w:pPr>
        <w:tabs>
          <w:tab w:val="num" w:pos="3402"/>
        </w:tabs>
        <w:ind w:left="3402" w:hanging="567"/>
      </w:pPr>
      <w:rPr>
        <w:rFonts w:hint="default"/>
      </w:rPr>
    </w:lvl>
    <w:lvl w:ilvl="4">
      <w:start w:val="1"/>
      <w:numFmt w:val="none"/>
      <w:lvlText w:val=""/>
      <w:lvlJc w:val="left"/>
      <w:pPr>
        <w:tabs>
          <w:tab w:val="num" w:pos="3969"/>
        </w:tabs>
        <w:ind w:left="3969" w:hanging="567"/>
      </w:pPr>
      <w:rPr>
        <w:rFonts w:hint="default"/>
      </w:rPr>
    </w:lvl>
    <w:lvl w:ilvl="5">
      <w:start w:val="1"/>
      <w:numFmt w:val="none"/>
      <w:lvlText w:val=""/>
      <w:lvlJc w:val="left"/>
      <w:pPr>
        <w:tabs>
          <w:tab w:val="num" w:pos="4536"/>
        </w:tabs>
        <w:ind w:left="4536" w:hanging="567"/>
      </w:pPr>
      <w:rPr>
        <w:rFonts w:hint="default"/>
      </w:rPr>
    </w:lvl>
    <w:lvl w:ilvl="6">
      <w:start w:val="1"/>
      <w:numFmt w:val="none"/>
      <w:lvlText w:val="%7"/>
      <w:lvlJc w:val="left"/>
      <w:pPr>
        <w:tabs>
          <w:tab w:val="num" w:pos="5103"/>
        </w:tabs>
        <w:ind w:left="5103" w:hanging="567"/>
      </w:pPr>
      <w:rPr>
        <w:rFonts w:hint="default"/>
      </w:rPr>
    </w:lvl>
    <w:lvl w:ilvl="7">
      <w:start w:val="1"/>
      <w:numFmt w:val="none"/>
      <w:lvlText w:val="%8"/>
      <w:lvlJc w:val="left"/>
      <w:pPr>
        <w:tabs>
          <w:tab w:val="num" w:pos="5670"/>
        </w:tabs>
        <w:ind w:left="5670" w:hanging="567"/>
      </w:pPr>
      <w:rPr>
        <w:rFonts w:hint="default"/>
      </w:rPr>
    </w:lvl>
    <w:lvl w:ilvl="8">
      <w:start w:val="1"/>
      <w:numFmt w:val="none"/>
      <w:lvlText w:val="%9"/>
      <w:lvlJc w:val="left"/>
      <w:pPr>
        <w:tabs>
          <w:tab w:val="num" w:pos="5670"/>
        </w:tabs>
        <w:ind w:left="5670" w:hanging="567"/>
      </w:pPr>
      <w:rPr>
        <w:rFonts w:hint="default"/>
      </w:rPr>
    </w:lvl>
  </w:abstractNum>
  <w:abstractNum w:abstractNumId="18" w15:restartNumberingAfterBreak="0">
    <w:nsid w:val="2FFF0758"/>
    <w:multiLevelType w:val="multilevel"/>
    <w:tmpl w:val="2FFF0758"/>
    <w:lvl w:ilvl="0">
      <w:start w:val="1"/>
      <w:numFmt w:val="decimal"/>
      <w:pStyle w:val="KWSch1"/>
      <w:lvlText w:val="%1"/>
      <w:lvlJc w:val="left"/>
      <w:pPr>
        <w:tabs>
          <w:tab w:val="num" w:pos="567"/>
        </w:tabs>
        <w:ind w:left="567" w:hanging="567"/>
      </w:pPr>
      <w:rPr>
        <w:rFonts w:hint="eastAsia"/>
        <w:color w:val="auto"/>
      </w:rPr>
    </w:lvl>
    <w:lvl w:ilvl="1">
      <w:start w:val="1"/>
      <w:numFmt w:val="decimal"/>
      <w:pStyle w:val="KWSch2"/>
      <w:lvlText w:val="%1.%2"/>
      <w:lvlJc w:val="left"/>
      <w:pPr>
        <w:tabs>
          <w:tab w:val="num" w:pos="567"/>
        </w:tabs>
        <w:ind w:left="1134" w:hanging="567"/>
      </w:pPr>
      <w:rPr>
        <w:rFonts w:hint="default"/>
        <w:b w:val="0"/>
        <w:i w:val="0"/>
      </w:rPr>
    </w:lvl>
    <w:lvl w:ilvl="2">
      <w:start w:val="1"/>
      <w:numFmt w:val="lowerLetter"/>
      <w:pStyle w:val="KWSch3"/>
      <w:lvlText w:val="(%3)"/>
      <w:lvlJc w:val="left"/>
      <w:pPr>
        <w:tabs>
          <w:tab w:val="num" w:pos="1701"/>
        </w:tabs>
        <w:ind w:left="1701" w:hanging="567"/>
      </w:pPr>
      <w:rPr>
        <w:rFonts w:ascii="Arial" w:hAnsi="Arial" w:hint="default"/>
        <w:sz w:val="20"/>
      </w:rPr>
    </w:lvl>
    <w:lvl w:ilvl="3">
      <w:start w:val="1"/>
      <w:numFmt w:val="lowerRoman"/>
      <w:pStyle w:val="KWSch4"/>
      <w:lvlText w:val="(%4)"/>
      <w:lvlJc w:val="left"/>
      <w:pPr>
        <w:tabs>
          <w:tab w:val="num" w:pos="2268"/>
        </w:tabs>
        <w:ind w:left="2268" w:hanging="567"/>
      </w:pPr>
      <w:rPr>
        <w:rFonts w:ascii="Arial" w:hAnsi="Arial" w:hint="default"/>
        <w:sz w:val="20"/>
      </w:rPr>
    </w:lvl>
    <w:lvl w:ilvl="4">
      <w:start w:val="1"/>
      <w:numFmt w:val="upperLetter"/>
      <w:pStyle w:val="KWSch5"/>
      <w:lvlText w:val="(%5)"/>
      <w:lvlJc w:val="left"/>
      <w:pPr>
        <w:tabs>
          <w:tab w:val="num" w:pos="2835"/>
        </w:tabs>
        <w:ind w:left="2835" w:hanging="567"/>
      </w:pPr>
      <w:rPr>
        <w:rFonts w:ascii="Arial" w:hAnsi="Arial" w:hint="default"/>
        <w:sz w:val="20"/>
        <w:szCs w:val="16"/>
      </w:rPr>
    </w:lvl>
    <w:lvl w:ilvl="5">
      <w:start w:val="1"/>
      <w:numFmt w:val="none"/>
      <w:lvlText w:val=""/>
      <w:lvlJc w:val="left"/>
      <w:pPr>
        <w:tabs>
          <w:tab w:val="num" w:pos="567"/>
        </w:tabs>
        <w:ind w:left="1701" w:firstLine="0"/>
      </w:pPr>
      <w:rPr>
        <w:rFonts w:hint="default"/>
      </w:rPr>
    </w:lvl>
    <w:lvl w:ilvl="6">
      <w:start w:val="1"/>
      <w:numFmt w:val="none"/>
      <w:lvlText w:val=""/>
      <w:lvlJc w:val="left"/>
      <w:pPr>
        <w:tabs>
          <w:tab w:val="num" w:pos="567"/>
        </w:tabs>
        <w:ind w:left="1701" w:firstLine="0"/>
      </w:pPr>
      <w:rPr>
        <w:rFonts w:hint="default"/>
      </w:rPr>
    </w:lvl>
    <w:lvl w:ilvl="7">
      <w:start w:val="1"/>
      <w:numFmt w:val="none"/>
      <w:lvlText w:val=""/>
      <w:lvlJc w:val="left"/>
      <w:pPr>
        <w:tabs>
          <w:tab w:val="num" w:pos="567"/>
        </w:tabs>
        <w:ind w:left="1701" w:firstLine="0"/>
      </w:pPr>
      <w:rPr>
        <w:rFonts w:hint="default"/>
      </w:rPr>
    </w:lvl>
    <w:lvl w:ilvl="8">
      <w:start w:val="1"/>
      <w:numFmt w:val="none"/>
      <w:lvlText w:val=""/>
      <w:lvlJc w:val="left"/>
      <w:pPr>
        <w:tabs>
          <w:tab w:val="num" w:pos="567"/>
        </w:tabs>
        <w:ind w:left="1701" w:firstLine="0"/>
      </w:pPr>
      <w:rPr>
        <w:rFonts w:hint="default"/>
      </w:rPr>
    </w:lvl>
  </w:abstractNum>
  <w:abstractNum w:abstractNumId="19" w15:restartNumberingAfterBreak="0">
    <w:nsid w:val="36DB2E2A"/>
    <w:multiLevelType w:val="multilevel"/>
    <w:tmpl w:val="36DB2E2A"/>
    <w:lvl w:ilvl="0">
      <w:start w:val="1"/>
      <w:numFmt w:val="decimal"/>
      <w:lvlText w:val="%1、"/>
      <w:lvlJc w:val="left"/>
      <w:pPr>
        <w:tabs>
          <w:tab w:val="num" w:pos="360"/>
        </w:tabs>
        <w:ind w:left="360" w:hanging="360"/>
      </w:pPr>
      <w:rPr>
        <w:rFonts w:hint="default"/>
      </w:rPr>
    </w:lvl>
    <w:lvl w:ilvl="1">
      <w:start w:val="1"/>
      <w:numFmt w:val="decimal"/>
      <w:lvlText w:val="%2."/>
      <w:lvlJc w:val="left"/>
      <w:pPr>
        <w:tabs>
          <w:tab w:val="num" w:pos="780"/>
        </w:tabs>
        <w:ind w:left="780" w:hanging="360"/>
      </w:pPr>
      <w:rPr>
        <w:rFonts w:hint="default"/>
      </w:r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0" w15:restartNumberingAfterBreak="0">
    <w:nsid w:val="41540835"/>
    <w:multiLevelType w:val="multilevel"/>
    <w:tmpl w:val="0B3E73A3"/>
    <w:lvl w:ilvl="0">
      <w:start w:val="1"/>
      <w:numFmt w:val="chineseCountingThousand"/>
      <w:lvlText w:val="%1、"/>
      <w:lvlJc w:val="left"/>
      <w:pPr>
        <w:tabs>
          <w:tab w:val="num" w:pos="567"/>
        </w:tabs>
        <w:ind w:left="567" w:hanging="567"/>
      </w:pPr>
      <w:rPr>
        <w:rFonts w:ascii="Arial" w:eastAsia="KaiTi_GB2312" w:hAnsi="Arial" w:hint="default"/>
      </w:rPr>
    </w:lvl>
    <w:lvl w:ilvl="1">
      <w:start w:val="1"/>
      <w:numFmt w:val="decimal"/>
      <w:lvlText w:val="%2."/>
      <w:lvlJc w:val="left"/>
      <w:pPr>
        <w:tabs>
          <w:tab w:val="num" w:pos="1844"/>
        </w:tabs>
        <w:ind w:left="1844" w:hanging="567"/>
      </w:pPr>
      <w:rPr>
        <w:rFonts w:hint="eastAsia"/>
      </w:rPr>
    </w:lvl>
    <w:lvl w:ilvl="2">
      <w:start w:val="1"/>
      <w:numFmt w:val="lowerLetter"/>
      <w:lvlText w:val="(%3)"/>
      <w:lvlJc w:val="left"/>
      <w:pPr>
        <w:tabs>
          <w:tab w:val="num" w:pos="8506"/>
        </w:tabs>
        <w:ind w:left="8506" w:hanging="567"/>
      </w:pPr>
      <w:rPr>
        <w:rFonts w:ascii="Arial" w:hAnsi="Arial" w:hint="default"/>
        <w:sz w:val="20"/>
      </w:rPr>
    </w:lvl>
    <w:lvl w:ilvl="3">
      <w:start w:val="1"/>
      <w:numFmt w:val="lowerRoman"/>
      <w:lvlText w:val="(%4)"/>
      <w:lvlJc w:val="left"/>
      <w:pPr>
        <w:tabs>
          <w:tab w:val="num" w:pos="2268"/>
        </w:tabs>
        <w:ind w:left="2268" w:hanging="567"/>
      </w:pPr>
      <w:rPr>
        <w:rFonts w:ascii="Arial" w:hAnsi="Arial" w:hint="default"/>
        <w:b w:val="0"/>
        <w:i w:val="0"/>
        <w:sz w:val="20"/>
      </w:rPr>
    </w:lvl>
    <w:lvl w:ilvl="4">
      <w:start w:val="1"/>
      <w:numFmt w:val="upperLetter"/>
      <w:lvlText w:val="(%5)"/>
      <w:lvlJc w:val="left"/>
      <w:pPr>
        <w:tabs>
          <w:tab w:val="num" w:pos="2835"/>
        </w:tabs>
        <w:ind w:left="2835" w:hanging="567"/>
      </w:pPr>
      <w:rPr>
        <w:rFonts w:ascii="Arial" w:hAnsi="Arial" w:hint="default"/>
        <w:sz w:val="20"/>
      </w:rPr>
    </w:lvl>
    <w:lvl w:ilvl="5">
      <w:start w:val="1"/>
      <w:numFmt w:val="chineseCountingThousand"/>
      <w:lvlText w:val="附录 %6"/>
      <w:lvlJc w:val="left"/>
      <w:pPr>
        <w:tabs>
          <w:tab w:val="num" w:pos="5813"/>
        </w:tabs>
        <w:ind w:left="5813" w:hanging="567"/>
      </w:pPr>
      <w:rPr>
        <w:rFonts w:hint="eastAsia"/>
      </w:rPr>
    </w:lvl>
    <w:lvl w:ilvl="6">
      <w:start w:val="1"/>
      <w:numFmt w:val="decimal"/>
      <w:lvlText w:val="%7"/>
      <w:lvlJc w:val="left"/>
      <w:pPr>
        <w:tabs>
          <w:tab w:val="num" w:pos="567"/>
        </w:tabs>
        <w:ind w:left="1134" w:hanging="567"/>
      </w:pPr>
      <w:rPr>
        <w:rFonts w:hint="eastAsia"/>
      </w:rPr>
    </w:lvl>
    <w:lvl w:ilvl="7">
      <w:start w:val="1"/>
      <w:numFmt w:val="upperLetter"/>
      <w:lvlText w:val="附件 %8"/>
      <w:lvlJc w:val="left"/>
      <w:pPr>
        <w:tabs>
          <w:tab w:val="num" w:pos="567"/>
        </w:tabs>
        <w:ind w:left="567" w:hanging="567"/>
      </w:pPr>
      <w:rPr>
        <w:rFonts w:hint="eastAsia"/>
      </w:rPr>
    </w:lvl>
    <w:lvl w:ilvl="8">
      <w:start w:val="1"/>
      <w:numFmt w:val="chineseCountingThousand"/>
      <w:lvlText w:val="第%9部分"/>
      <w:lvlJc w:val="left"/>
      <w:pPr>
        <w:tabs>
          <w:tab w:val="num" w:pos="567"/>
        </w:tabs>
        <w:ind w:left="567" w:hanging="567"/>
      </w:pPr>
      <w:rPr>
        <w:rFonts w:hint="eastAsia"/>
      </w:rPr>
    </w:lvl>
  </w:abstractNum>
  <w:abstractNum w:abstractNumId="21" w15:restartNumberingAfterBreak="0">
    <w:nsid w:val="482E533D"/>
    <w:multiLevelType w:val="multilevel"/>
    <w:tmpl w:val="482E533D"/>
    <w:lvl w:ilvl="0">
      <w:start w:val="1"/>
      <w:numFmt w:val="bullet"/>
      <w:pStyle w:val="KWListBullet"/>
      <w:lvlText w:val=""/>
      <w:lvlJc w:val="left"/>
      <w:pPr>
        <w:tabs>
          <w:tab w:val="num" w:pos="1701"/>
        </w:tabs>
        <w:ind w:left="1701" w:hanging="567"/>
      </w:pPr>
      <w:rPr>
        <w:rFonts w:ascii="Wingdings 2" w:hAnsi="Wingdings 2" w:hint="default"/>
      </w:rPr>
    </w:lvl>
    <w:lvl w:ilvl="1">
      <w:start w:val="1"/>
      <w:numFmt w:val="bullet"/>
      <w:lvlText w:val=""/>
      <w:lvlJc w:val="left"/>
      <w:pPr>
        <w:tabs>
          <w:tab w:val="num" w:pos="2268"/>
        </w:tabs>
        <w:ind w:left="2268" w:hanging="567"/>
      </w:pPr>
      <w:rPr>
        <w:rFonts w:ascii="Symbol" w:hAnsi="Symbol" w:hint="default"/>
      </w:rPr>
    </w:lvl>
    <w:lvl w:ilvl="2">
      <w:start w:val="1"/>
      <w:numFmt w:val="none"/>
      <w:lvlText w:val=""/>
      <w:lvlJc w:val="left"/>
      <w:pPr>
        <w:tabs>
          <w:tab w:val="num" w:pos="2835"/>
        </w:tabs>
        <w:ind w:left="2835" w:hanging="567"/>
      </w:pPr>
      <w:rPr>
        <w:rFonts w:hint="eastAsia"/>
      </w:rPr>
    </w:lvl>
    <w:lvl w:ilvl="3">
      <w:start w:val="1"/>
      <w:numFmt w:val="none"/>
      <w:lvlText w:val=""/>
      <w:lvlJc w:val="left"/>
      <w:pPr>
        <w:tabs>
          <w:tab w:val="num" w:pos="2835"/>
        </w:tabs>
        <w:ind w:left="2835" w:hanging="567"/>
      </w:pPr>
      <w:rPr>
        <w:rFonts w:hint="eastAsia"/>
      </w:rPr>
    </w:lvl>
    <w:lvl w:ilvl="4">
      <w:start w:val="1"/>
      <w:numFmt w:val="none"/>
      <w:lvlText w:val=""/>
      <w:lvlJc w:val="left"/>
      <w:pPr>
        <w:tabs>
          <w:tab w:val="num" w:pos="2835"/>
        </w:tabs>
        <w:ind w:left="2835" w:hanging="567"/>
      </w:pPr>
      <w:rPr>
        <w:rFonts w:hint="eastAsia"/>
      </w:rPr>
    </w:lvl>
    <w:lvl w:ilvl="5">
      <w:start w:val="1"/>
      <w:numFmt w:val="none"/>
      <w:lvlText w:val=""/>
      <w:lvlJc w:val="left"/>
      <w:pPr>
        <w:tabs>
          <w:tab w:val="num" w:pos="2835"/>
        </w:tabs>
        <w:ind w:left="2835" w:hanging="567"/>
      </w:pPr>
      <w:rPr>
        <w:rFonts w:hint="eastAsia"/>
      </w:rPr>
    </w:lvl>
    <w:lvl w:ilvl="6">
      <w:start w:val="1"/>
      <w:numFmt w:val="none"/>
      <w:lvlText w:val=""/>
      <w:lvlJc w:val="left"/>
      <w:pPr>
        <w:tabs>
          <w:tab w:val="num" w:pos="2835"/>
        </w:tabs>
        <w:ind w:left="2835" w:hanging="567"/>
      </w:pPr>
      <w:rPr>
        <w:rFonts w:hint="eastAsia"/>
      </w:rPr>
    </w:lvl>
    <w:lvl w:ilvl="7">
      <w:start w:val="1"/>
      <w:numFmt w:val="none"/>
      <w:lvlText w:val=""/>
      <w:lvlJc w:val="left"/>
      <w:pPr>
        <w:tabs>
          <w:tab w:val="num" w:pos="2835"/>
        </w:tabs>
        <w:ind w:left="2835" w:hanging="567"/>
      </w:pPr>
      <w:rPr>
        <w:rFonts w:hint="eastAsia"/>
      </w:rPr>
    </w:lvl>
    <w:lvl w:ilvl="8">
      <w:start w:val="1"/>
      <w:numFmt w:val="none"/>
      <w:lvlText w:val=""/>
      <w:lvlJc w:val="left"/>
      <w:pPr>
        <w:tabs>
          <w:tab w:val="num" w:pos="2835"/>
        </w:tabs>
        <w:ind w:left="2835" w:hanging="567"/>
      </w:pPr>
      <w:rPr>
        <w:rFonts w:hint="eastAsia"/>
      </w:rPr>
    </w:lvl>
  </w:abstractNum>
  <w:abstractNum w:abstractNumId="22" w15:restartNumberingAfterBreak="0">
    <w:nsid w:val="493234A7"/>
    <w:multiLevelType w:val="multilevel"/>
    <w:tmpl w:val="0C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 w15:restartNumberingAfterBreak="0">
    <w:nsid w:val="4A0C6AE6"/>
    <w:multiLevelType w:val="multilevel"/>
    <w:tmpl w:val="4A0C6AE6"/>
    <w:lvl w:ilvl="0">
      <w:start w:val="1"/>
      <w:numFmt w:val="upperLetter"/>
      <w:pStyle w:val="DeedBackground"/>
      <w:lvlText w:val="%1"/>
      <w:lvlJc w:val="left"/>
      <w:pPr>
        <w:tabs>
          <w:tab w:val="num" w:pos="1134"/>
        </w:tabs>
        <w:ind w:left="1134" w:hanging="283"/>
      </w:pPr>
      <w:rPr>
        <w:rFonts w:hint="default"/>
      </w:rPr>
    </w:lvl>
    <w:lvl w:ilvl="1">
      <w:start w:val="1"/>
      <w:numFmt w:val="none"/>
      <w:lvlText w:val="%2"/>
      <w:lvlJc w:val="left"/>
      <w:pPr>
        <w:tabs>
          <w:tab w:val="num" w:pos="1701"/>
        </w:tabs>
        <w:ind w:left="1701" w:hanging="567"/>
      </w:pPr>
      <w:rPr>
        <w:rFonts w:hint="default"/>
      </w:rPr>
    </w:lvl>
    <w:lvl w:ilvl="2">
      <w:start w:val="1"/>
      <w:numFmt w:val="none"/>
      <w:lvlText w:val="%3"/>
      <w:lvlJc w:val="left"/>
      <w:pPr>
        <w:tabs>
          <w:tab w:val="num" w:pos="1701"/>
        </w:tabs>
        <w:ind w:left="1701" w:hanging="567"/>
      </w:pPr>
      <w:rPr>
        <w:rFonts w:hint="default"/>
        <w:color w:val="auto"/>
        <w:sz w:val="16"/>
        <w:szCs w:val="16"/>
      </w:rPr>
    </w:lvl>
    <w:lvl w:ilvl="3">
      <w:start w:val="1"/>
      <w:numFmt w:val="none"/>
      <w:lvlText w:val=""/>
      <w:lvlJc w:val="left"/>
      <w:pPr>
        <w:tabs>
          <w:tab w:val="num" w:pos="1701"/>
        </w:tabs>
        <w:ind w:left="1701" w:hanging="567"/>
      </w:pPr>
      <w:rPr>
        <w:rFonts w:hint="default"/>
      </w:rPr>
    </w:lvl>
    <w:lvl w:ilvl="4">
      <w:start w:val="1"/>
      <w:numFmt w:val="none"/>
      <w:lvlText w:val=""/>
      <w:lvlJc w:val="left"/>
      <w:pPr>
        <w:tabs>
          <w:tab w:val="num" w:pos="1701"/>
        </w:tabs>
        <w:ind w:left="1701" w:hanging="567"/>
      </w:pPr>
      <w:rPr>
        <w:rFonts w:hint="default"/>
      </w:rPr>
    </w:lvl>
    <w:lvl w:ilvl="5">
      <w:start w:val="1"/>
      <w:numFmt w:val="none"/>
      <w:lvlText w:val=""/>
      <w:lvlJc w:val="left"/>
      <w:pPr>
        <w:tabs>
          <w:tab w:val="num" w:pos="1701"/>
        </w:tabs>
        <w:ind w:left="1701" w:hanging="567"/>
      </w:pPr>
      <w:rPr>
        <w:rFonts w:hint="default"/>
      </w:rPr>
    </w:lvl>
    <w:lvl w:ilvl="6">
      <w:start w:val="1"/>
      <w:numFmt w:val="none"/>
      <w:lvlText w:val="%7"/>
      <w:lvlJc w:val="left"/>
      <w:pPr>
        <w:tabs>
          <w:tab w:val="num" w:pos="1701"/>
        </w:tabs>
        <w:ind w:left="1701" w:hanging="567"/>
      </w:pPr>
      <w:rPr>
        <w:rFonts w:hint="default"/>
      </w:rPr>
    </w:lvl>
    <w:lvl w:ilvl="7">
      <w:start w:val="1"/>
      <w:numFmt w:val="none"/>
      <w:lvlText w:val="%8"/>
      <w:lvlJc w:val="left"/>
      <w:pPr>
        <w:tabs>
          <w:tab w:val="num" w:pos="1701"/>
        </w:tabs>
        <w:ind w:left="1701" w:hanging="567"/>
      </w:pPr>
      <w:rPr>
        <w:rFonts w:hint="default"/>
      </w:rPr>
    </w:lvl>
    <w:lvl w:ilvl="8">
      <w:start w:val="1"/>
      <w:numFmt w:val="none"/>
      <w:lvlText w:val="%9"/>
      <w:lvlJc w:val="left"/>
      <w:pPr>
        <w:tabs>
          <w:tab w:val="num" w:pos="1701"/>
        </w:tabs>
        <w:ind w:left="1134" w:firstLine="0"/>
      </w:pPr>
      <w:rPr>
        <w:rFonts w:hint="default"/>
      </w:rPr>
    </w:lvl>
  </w:abstractNum>
  <w:abstractNum w:abstractNumId="24" w15:restartNumberingAfterBreak="0">
    <w:nsid w:val="500358D7"/>
    <w:multiLevelType w:val="multilevel"/>
    <w:tmpl w:val="500358D7"/>
    <w:lvl w:ilvl="0">
      <w:start w:val="1"/>
      <w:numFmt w:val="bullet"/>
      <w:pStyle w:val="PrecListBullet"/>
      <w:lvlText w:val=""/>
      <w:lvlJc w:val="left"/>
      <w:pPr>
        <w:tabs>
          <w:tab w:val="num" w:pos="284"/>
        </w:tabs>
        <w:ind w:left="284" w:hanging="284"/>
      </w:pPr>
      <w:rPr>
        <w:rFonts w:ascii="Wingdings 2" w:hAnsi="Wingdings 2"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506F0BA3"/>
    <w:multiLevelType w:val="multilevel"/>
    <w:tmpl w:val="0B3E73A3"/>
    <w:lvl w:ilvl="0">
      <w:start w:val="1"/>
      <w:numFmt w:val="chineseCountingThousand"/>
      <w:lvlText w:val="%1、"/>
      <w:lvlJc w:val="left"/>
      <w:pPr>
        <w:tabs>
          <w:tab w:val="num" w:pos="567"/>
        </w:tabs>
        <w:ind w:left="567" w:hanging="567"/>
      </w:pPr>
      <w:rPr>
        <w:rFonts w:ascii="Arial" w:eastAsia="KaiTi_GB2312" w:hAnsi="Arial" w:hint="default"/>
      </w:rPr>
    </w:lvl>
    <w:lvl w:ilvl="1">
      <w:start w:val="1"/>
      <w:numFmt w:val="decimal"/>
      <w:lvlText w:val="%2."/>
      <w:lvlJc w:val="left"/>
      <w:pPr>
        <w:tabs>
          <w:tab w:val="num" w:pos="1844"/>
        </w:tabs>
        <w:ind w:left="1844" w:hanging="567"/>
      </w:pPr>
      <w:rPr>
        <w:rFonts w:hint="eastAsia"/>
      </w:rPr>
    </w:lvl>
    <w:lvl w:ilvl="2">
      <w:start w:val="1"/>
      <w:numFmt w:val="lowerLetter"/>
      <w:lvlText w:val="(%3)"/>
      <w:lvlJc w:val="left"/>
      <w:pPr>
        <w:tabs>
          <w:tab w:val="num" w:pos="8506"/>
        </w:tabs>
        <w:ind w:left="8506" w:hanging="567"/>
      </w:pPr>
      <w:rPr>
        <w:rFonts w:ascii="Arial" w:hAnsi="Arial" w:hint="default"/>
        <w:sz w:val="20"/>
      </w:rPr>
    </w:lvl>
    <w:lvl w:ilvl="3">
      <w:start w:val="1"/>
      <w:numFmt w:val="lowerRoman"/>
      <w:lvlText w:val="(%4)"/>
      <w:lvlJc w:val="left"/>
      <w:pPr>
        <w:tabs>
          <w:tab w:val="num" w:pos="2268"/>
        </w:tabs>
        <w:ind w:left="2268" w:hanging="567"/>
      </w:pPr>
      <w:rPr>
        <w:rFonts w:ascii="Arial" w:hAnsi="Arial" w:hint="default"/>
        <w:b w:val="0"/>
        <w:i w:val="0"/>
        <w:sz w:val="20"/>
      </w:rPr>
    </w:lvl>
    <w:lvl w:ilvl="4">
      <w:start w:val="1"/>
      <w:numFmt w:val="upperLetter"/>
      <w:lvlText w:val="(%5)"/>
      <w:lvlJc w:val="left"/>
      <w:pPr>
        <w:tabs>
          <w:tab w:val="num" w:pos="2835"/>
        </w:tabs>
        <w:ind w:left="2835" w:hanging="567"/>
      </w:pPr>
      <w:rPr>
        <w:rFonts w:ascii="Arial" w:hAnsi="Arial" w:hint="default"/>
        <w:sz w:val="20"/>
      </w:rPr>
    </w:lvl>
    <w:lvl w:ilvl="5">
      <w:start w:val="1"/>
      <w:numFmt w:val="chineseCountingThousand"/>
      <w:lvlText w:val="附录 %6"/>
      <w:lvlJc w:val="left"/>
      <w:pPr>
        <w:tabs>
          <w:tab w:val="num" w:pos="5813"/>
        </w:tabs>
        <w:ind w:left="5813" w:hanging="567"/>
      </w:pPr>
      <w:rPr>
        <w:rFonts w:hint="eastAsia"/>
      </w:rPr>
    </w:lvl>
    <w:lvl w:ilvl="6">
      <w:start w:val="1"/>
      <w:numFmt w:val="decimal"/>
      <w:lvlText w:val="%7"/>
      <w:lvlJc w:val="left"/>
      <w:pPr>
        <w:tabs>
          <w:tab w:val="num" w:pos="567"/>
        </w:tabs>
        <w:ind w:left="1134" w:hanging="567"/>
      </w:pPr>
      <w:rPr>
        <w:rFonts w:hint="eastAsia"/>
      </w:rPr>
    </w:lvl>
    <w:lvl w:ilvl="7">
      <w:start w:val="1"/>
      <w:numFmt w:val="upperLetter"/>
      <w:lvlText w:val="附件 %8"/>
      <w:lvlJc w:val="left"/>
      <w:pPr>
        <w:tabs>
          <w:tab w:val="num" w:pos="567"/>
        </w:tabs>
        <w:ind w:left="567" w:hanging="567"/>
      </w:pPr>
      <w:rPr>
        <w:rFonts w:hint="eastAsia"/>
      </w:rPr>
    </w:lvl>
    <w:lvl w:ilvl="8">
      <w:start w:val="1"/>
      <w:numFmt w:val="chineseCountingThousand"/>
      <w:lvlText w:val="第%9部分"/>
      <w:lvlJc w:val="left"/>
      <w:pPr>
        <w:tabs>
          <w:tab w:val="num" w:pos="567"/>
        </w:tabs>
        <w:ind w:left="567" w:hanging="567"/>
      </w:pPr>
      <w:rPr>
        <w:rFonts w:hint="eastAsia"/>
      </w:rPr>
    </w:lvl>
  </w:abstractNum>
  <w:abstractNum w:abstractNumId="26" w15:restartNumberingAfterBreak="0">
    <w:nsid w:val="64D050A2"/>
    <w:multiLevelType w:val="multilevel"/>
    <w:tmpl w:val="64D050A2"/>
    <w:lvl w:ilvl="0">
      <w:start w:val="1"/>
      <w:numFmt w:val="decimal"/>
      <w:lvlText w:val="%1"/>
      <w:lvlJc w:val="left"/>
      <w:pPr>
        <w:tabs>
          <w:tab w:val="num" w:pos="1701"/>
        </w:tabs>
        <w:ind w:left="1701" w:hanging="567"/>
      </w:pPr>
      <w:rPr>
        <w:rFonts w:hint="default"/>
      </w:rPr>
    </w:lvl>
    <w:lvl w:ilvl="1">
      <w:start w:val="1"/>
      <w:numFmt w:val="none"/>
      <w:lvlText w:val="%2"/>
      <w:lvlJc w:val="left"/>
      <w:pPr>
        <w:tabs>
          <w:tab w:val="num" w:pos="1134"/>
        </w:tabs>
        <w:ind w:left="1134" w:hanging="567"/>
      </w:pPr>
      <w:rPr>
        <w:rFonts w:hint="default"/>
      </w:rPr>
    </w:lvl>
    <w:lvl w:ilvl="2">
      <w:start w:val="1"/>
      <w:numFmt w:val="none"/>
      <w:lvlText w:val="%3"/>
      <w:lvlJc w:val="left"/>
      <w:pPr>
        <w:tabs>
          <w:tab w:val="num" w:pos="1134"/>
        </w:tabs>
        <w:ind w:left="1134" w:hanging="567"/>
      </w:pPr>
      <w:rPr>
        <w:rFonts w:hint="default"/>
        <w:color w:val="auto"/>
        <w:sz w:val="16"/>
        <w:szCs w:val="16"/>
      </w:rPr>
    </w:lvl>
    <w:lvl w:ilvl="3">
      <w:start w:val="1"/>
      <w:numFmt w:val="none"/>
      <w:lvlText w:val=""/>
      <w:lvlJc w:val="left"/>
      <w:pPr>
        <w:tabs>
          <w:tab w:val="num" w:pos="1134"/>
        </w:tabs>
        <w:ind w:left="1134" w:hanging="567"/>
      </w:pPr>
      <w:rPr>
        <w:rFonts w:hint="default"/>
      </w:rPr>
    </w:lvl>
    <w:lvl w:ilvl="4">
      <w:start w:val="1"/>
      <w:numFmt w:val="none"/>
      <w:lvlText w:val=""/>
      <w:lvlJc w:val="left"/>
      <w:pPr>
        <w:tabs>
          <w:tab w:val="num" w:pos="1134"/>
        </w:tabs>
        <w:ind w:left="1134" w:hanging="567"/>
      </w:pPr>
      <w:rPr>
        <w:rFonts w:hint="default"/>
      </w:rPr>
    </w:lvl>
    <w:lvl w:ilvl="5">
      <w:start w:val="1"/>
      <w:numFmt w:val="none"/>
      <w:lvlText w:val=""/>
      <w:lvlJc w:val="left"/>
      <w:pPr>
        <w:tabs>
          <w:tab w:val="num" w:pos="1134"/>
        </w:tabs>
        <w:ind w:left="1134" w:hanging="567"/>
      </w:pPr>
      <w:rPr>
        <w:rFonts w:hint="default"/>
      </w:rPr>
    </w:lvl>
    <w:lvl w:ilvl="6">
      <w:start w:val="1"/>
      <w:numFmt w:val="none"/>
      <w:lvlText w:val="%7"/>
      <w:lvlJc w:val="left"/>
      <w:pPr>
        <w:tabs>
          <w:tab w:val="num" w:pos="1134"/>
        </w:tabs>
        <w:ind w:left="1134" w:hanging="567"/>
      </w:pPr>
      <w:rPr>
        <w:rFonts w:hint="default"/>
      </w:rPr>
    </w:lvl>
    <w:lvl w:ilvl="7">
      <w:start w:val="1"/>
      <w:numFmt w:val="none"/>
      <w:lvlText w:val="%8"/>
      <w:lvlJc w:val="left"/>
      <w:pPr>
        <w:tabs>
          <w:tab w:val="num" w:pos="1134"/>
        </w:tabs>
        <w:ind w:left="1134" w:hanging="567"/>
      </w:pPr>
      <w:rPr>
        <w:rFonts w:hint="default"/>
      </w:rPr>
    </w:lvl>
    <w:lvl w:ilvl="8">
      <w:start w:val="1"/>
      <w:numFmt w:val="none"/>
      <w:lvlText w:val="%9"/>
      <w:lvlJc w:val="left"/>
      <w:pPr>
        <w:tabs>
          <w:tab w:val="num" w:pos="1134"/>
        </w:tabs>
        <w:ind w:left="567" w:firstLine="0"/>
      </w:pPr>
      <w:rPr>
        <w:rFonts w:hint="default"/>
      </w:rPr>
    </w:lvl>
  </w:abstractNum>
  <w:abstractNum w:abstractNumId="27" w15:restartNumberingAfterBreak="0">
    <w:nsid w:val="6928680F"/>
    <w:multiLevelType w:val="multilevel"/>
    <w:tmpl w:val="6928680F"/>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8" w15:restartNumberingAfterBreak="0">
    <w:nsid w:val="776C46F8"/>
    <w:multiLevelType w:val="multilevel"/>
    <w:tmpl w:val="776C46F8"/>
    <w:lvl w:ilvl="0">
      <w:start w:val="1"/>
      <w:numFmt w:val="bullet"/>
      <w:pStyle w:val="PrecListBullet2"/>
      <w:lvlText w:val=""/>
      <w:lvlJc w:val="left"/>
      <w:pPr>
        <w:tabs>
          <w:tab w:val="num" w:pos="567"/>
        </w:tabs>
        <w:ind w:left="567" w:hanging="283"/>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79F212C2"/>
    <w:multiLevelType w:val="multilevel"/>
    <w:tmpl w:val="0B3E73A3"/>
    <w:lvl w:ilvl="0">
      <w:start w:val="1"/>
      <w:numFmt w:val="chineseCountingThousand"/>
      <w:lvlText w:val="%1、"/>
      <w:lvlJc w:val="left"/>
      <w:pPr>
        <w:tabs>
          <w:tab w:val="num" w:pos="567"/>
        </w:tabs>
        <w:ind w:left="567" w:hanging="567"/>
      </w:pPr>
      <w:rPr>
        <w:rFonts w:ascii="Arial" w:eastAsia="KaiTi_GB2312" w:hAnsi="Arial" w:hint="default"/>
      </w:rPr>
    </w:lvl>
    <w:lvl w:ilvl="1">
      <w:start w:val="1"/>
      <w:numFmt w:val="decimal"/>
      <w:lvlText w:val="%2."/>
      <w:lvlJc w:val="left"/>
      <w:pPr>
        <w:tabs>
          <w:tab w:val="num" w:pos="1844"/>
        </w:tabs>
        <w:ind w:left="1844" w:hanging="567"/>
      </w:pPr>
      <w:rPr>
        <w:rFonts w:hint="eastAsia"/>
      </w:rPr>
    </w:lvl>
    <w:lvl w:ilvl="2">
      <w:start w:val="1"/>
      <w:numFmt w:val="lowerLetter"/>
      <w:lvlText w:val="(%3)"/>
      <w:lvlJc w:val="left"/>
      <w:pPr>
        <w:tabs>
          <w:tab w:val="num" w:pos="8506"/>
        </w:tabs>
        <w:ind w:left="8506" w:hanging="567"/>
      </w:pPr>
      <w:rPr>
        <w:rFonts w:ascii="Arial" w:hAnsi="Arial" w:hint="default"/>
        <w:sz w:val="20"/>
      </w:rPr>
    </w:lvl>
    <w:lvl w:ilvl="3">
      <w:start w:val="1"/>
      <w:numFmt w:val="lowerRoman"/>
      <w:lvlText w:val="(%4)"/>
      <w:lvlJc w:val="left"/>
      <w:pPr>
        <w:tabs>
          <w:tab w:val="num" w:pos="2268"/>
        </w:tabs>
        <w:ind w:left="2268" w:hanging="567"/>
      </w:pPr>
      <w:rPr>
        <w:rFonts w:ascii="Arial" w:hAnsi="Arial" w:hint="default"/>
        <w:b w:val="0"/>
        <w:i w:val="0"/>
        <w:sz w:val="20"/>
      </w:rPr>
    </w:lvl>
    <w:lvl w:ilvl="4">
      <w:start w:val="1"/>
      <w:numFmt w:val="upperLetter"/>
      <w:lvlText w:val="(%5)"/>
      <w:lvlJc w:val="left"/>
      <w:pPr>
        <w:tabs>
          <w:tab w:val="num" w:pos="2835"/>
        </w:tabs>
        <w:ind w:left="2835" w:hanging="567"/>
      </w:pPr>
      <w:rPr>
        <w:rFonts w:ascii="Arial" w:hAnsi="Arial" w:hint="default"/>
        <w:sz w:val="20"/>
      </w:rPr>
    </w:lvl>
    <w:lvl w:ilvl="5">
      <w:start w:val="1"/>
      <w:numFmt w:val="chineseCountingThousand"/>
      <w:lvlText w:val="附录 %6"/>
      <w:lvlJc w:val="left"/>
      <w:pPr>
        <w:tabs>
          <w:tab w:val="num" w:pos="5813"/>
        </w:tabs>
        <w:ind w:left="5813" w:hanging="567"/>
      </w:pPr>
      <w:rPr>
        <w:rFonts w:hint="eastAsia"/>
      </w:rPr>
    </w:lvl>
    <w:lvl w:ilvl="6">
      <w:start w:val="1"/>
      <w:numFmt w:val="decimal"/>
      <w:lvlText w:val="%7"/>
      <w:lvlJc w:val="left"/>
      <w:pPr>
        <w:tabs>
          <w:tab w:val="num" w:pos="567"/>
        </w:tabs>
        <w:ind w:left="1134" w:hanging="567"/>
      </w:pPr>
      <w:rPr>
        <w:rFonts w:hint="eastAsia"/>
      </w:rPr>
    </w:lvl>
    <w:lvl w:ilvl="7">
      <w:start w:val="1"/>
      <w:numFmt w:val="upperLetter"/>
      <w:lvlText w:val="附件 %8"/>
      <w:lvlJc w:val="left"/>
      <w:pPr>
        <w:tabs>
          <w:tab w:val="num" w:pos="567"/>
        </w:tabs>
        <w:ind w:left="567" w:hanging="567"/>
      </w:pPr>
      <w:rPr>
        <w:rFonts w:hint="eastAsia"/>
      </w:rPr>
    </w:lvl>
    <w:lvl w:ilvl="8">
      <w:start w:val="1"/>
      <w:numFmt w:val="chineseCountingThousand"/>
      <w:lvlText w:val="第%9部分"/>
      <w:lvlJc w:val="left"/>
      <w:pPr>
        <w:tabs>
          <w:tab w:val="num" w:pos="567"/>
        </w:tabs>
        <w:ind w:left="567" w:hanging="567"/>
      </w:pPr>
      <w:rPr>
        <w:rFonts w:hint="eastAsia"/>
      </w:rPr>
    </w:lvl>
  </w:abstractNum>
  <w:num w:numId="1" w16cid:durableId="815419811">
    <w:abstractNumId w:val="13"/>
  </w:num>
  <w:num w:numId="2" w16cid:durableId="57173247">
    <w:abstractNumId w:val="11"/>
  </w:num>
  <w:num w:numId="3" w16cid:durableId="1385328215">
    <w:abstractNumId w:val="5"/>
  </w:num>
  <w:num w:numId="4" w16cid:durableId="1462840747">
    <w:abstractNumId w:val="18"/>
  </w:num>
  <w:num w:numId="5" w16cid:durableId="1357081159">
    <w:abstractNumId w:val="9"/>
  </w:num>
  <w:num w:numId="6" w16cid:durableId="58525813">
    <w:abstractNumId w:val="3"/>
  </w:num>
  <w:num w:numId="7" w16cid:durableId="1063480138">
    <w:abstractNumId w:val="6"/>
  </w:num>
  <w:num w:numId="8" w16cid:durableId="41515641">
    <w:abstractNumId w:val="24"/>
  </w:num>
  <w:num w:numId="9" w16cid:durableId="2070490010">
    <w:abstractNumId w:val="16"/>
  </w:num>
  <w:num w:numId="10" w16cid:durableId="1258169482">
    <w:abstractNumId w:val="10"/>
  </w:num>
  <w:num w:numId="11" w16cid:durableId="486677833">
    <w:abstractNumId w:val="17"/>
  </w:num>
  <w:num w:numId="12" w16cid:durableId="1712075398">
    <w:abstractNumId w:val="26"/>
  </w:num>
  <w:num w:numId="13" w16cid:durableId="1791242825">
    <w:abstractNumId w:val="1"/>
  </w:num>
  <w:num w:numId="14" w16cid:durableId="1193419531">
    <w:abstractNumId w:val="7"/>
  </w:num>
  <w:num w:numId="15" w16cid:durableId="2064795028">
    <w:abstractNumId w:val="21"/>
  </w:num>
  <w:num w:numId="16" w16cid:durableId="459999431">
    <w:abstractNumId w:val="4"/>
  </w:num>
  <w:num w:numId="17" w16cid:durableId="76172843">
    <w:abstractNumId w:val="2"/>
  </w:num>
  <w:num w:numId="18" w16cid:durableId="1296136993">
    <w:abstractNumId w:val="0"/>
  </w:num>
  <w:num w:numId="19" w16cid:durableId="643198399">
    <w:abstractNumId w:val="23"/>
  </w:num>
  <w:num w:numId="20" w16cid:durableId="283078067">
    <w:abstractNumId w:val="28"/>
  </w:num>
  <w:num w:numId="21" w16cid:durableId="624385425">
    <w:abstractNumId w:val="8"/>
  </w:num>
  <w:num w:numId="22" w16cid:durableId="821625585">
    <w:abstractNumId w:val="19"/>
  </w:num>
  <w:num w:numId="23" w16cid:durableId="842863875">
    <w:abstractNumId w:val="14"/>
  </w:num>
  <w:num w:numId="24" w16cid:durableId="867839294">
    <w:abstractNumId w:val="27"/>
  </w:num>
  <w:num w:numId="25" w16cid:durableId="1210334890">
    <w:abstractNumId w:val="29"/>
  </w:num>
  <w:num w:numId="26" w16cid:durableId="733820838">
    <w:abstractNumId w:val="20"/>
  </w:num>
  <w:num w:numId="27" w16cid:durableId="712922693">
    <w:abstractNumId w:val="12"/>
  </w:num>
  <w:num w:numId="28" w16cid:durableId="1689522628">
    <w:abstractNumId w:val="22"/>
  </w:num>
  <w:num w:numId="29" w16cid:durableId="1888639265">
    <w:abstractNumId w:val="25"/>
  </w:num>
  <w:num w:numId="30" w16cid:durableId="617953062">
    <w:abstractNumId w:val="15"/>
  </w:num>
  <w:num w:numId="31" w16cid:durableId="340082878">
    <w:abstractNumId w:val="11"/>
  </w:num>
  <w:num w:numId="32" w16cid:durableId="1420325284">
    <w:abstractNumId w:val="11"/>
  </w:num>
  <w:num w:numId="33" w16cid:durableId="1269384614">
    <w:abstractNumId w:val="11"/>
  </w:num>
  <w:num w:numId="34" w16cid:durableId="936982726">
    <w:abstractNumId w:val="11"/>
  </w:num>
  <w:num w:numId="35" w16cid:durableId="1968390171">
    <w:abstractNumId w:val="11"/>
  </w:num>
  <w:num w:numId="36" w16cid:durableId="146495799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162741516">
    <w:abstractNumId w:val="11"/>
  </w:num>
  <w:num w:numId="38" w16cid:durableId="1759592430">
    <w:abstractNumId w:val="11"/>
  </w:num>
  <w:num w:numId="39" w16cid:durableId="963268001">
    <w:abstractNumId w:val="11"/>
  </w:num>
  <w:num w:numId="40" w16cid:durableId="1752896035">
    <w:abstractNumId w:val="11"/>
  </w:num>
  <w:num w:numId="41" w16cid:durableId="612439570">
    <w:abstractNumId w:val="11"/>
  </w:num>
  <w:num w:numId="42" w16cid:durableId="170723870">
    <w:abstractNumId w:val="11"/>
  </w:num>
  <w:num w:numId="43" w16cid:durableId="1623805593">
    <w:abstractNumId w:val="11"/>
  </w:num>
  <w:num w:numId="44" w16cid:durableId="1799566266">
    <w:abstractNumId w:val="11"/>
  </w:num>
  <w:num w:numId="45" w16cid:durableId="833374428">
    <w:abstractNumId w:val="11"/>
  </w:num>
  <w:num w:numId="46" w16cid:durableId="885800396">
    <w:abstractNumId w:val="11"/>
  </w:num>
  <w:num w:numId="47" w16cid:durableId="1288008618">
    <w:abstractNumId w:val="11"/>
  </w:num>
  <w:num w:numId="48" w16cid:durableId="518738766">
    <w:abstractNumId w:val="11"/>
  </w:num>
  <w:num w:numId="49" w16cid:durableId="557321547">
    <w:abstractNumId w:val="11"/>
  </w:num>
  <w:num w:numId="50" w16cid:durableId="1018777427">
    <w:abstractNumId w:val="11"/>
  </w:num>
  <w:num w:numId="51" w16cid:durableId="1509633706">
    <w:abstractNumId w:val="11"/>
  </w:num>
  <w:num w:numId="52" w16cid:durableId="969018381">
    <w:abstractNumId w:val="11"/>
  </w:num>
  <w:num w:numId="53" w16cid:durableId="1141580525">
    <w:abstractNumId w:val="11"/>
  </w:num>
  <w:num w:numId="54" w16cid:durableId="1764035892">
    <w:abstractNumId w:val="11"/>
  </w:num>
  <w:num w:numId="55" w16cid:durableId="114107725">
    <w:abstractNumId w:val="11"/>
  </w:num>
  <w:num w:numId="56" w16cid:durableId="1526481615">
    <w:abstractNumId w:val="11"/>
  </w:num>
  <w:num w:numId="57" w16cid:durableId="1507598254">
    <w:abstractNumId w:val="11"/>
  </w:num>
  <w:num w:numId="58" w16cid:durableId="1888879512">
    <w:abstractNumId w:val="11"/>
  </w:num>
  <w:num w:numId="59" w16cid:durableId="2053383761">
    <w:abstractNumId w:val="11"/>
  </w:num>
  <w:num w:numId="60" w16cid:durableId="142202651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92288381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32073617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158433963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1706754524">
    <w:abstractNumId w:val="11"/>
  </w:num>
  <w:num w:numId="65" w16cid:durableId="656811872">
    <w:abstractNumId w:val="11"/>
  </w:num>
  <w:num w:numId="66" w16cid:durableId="2140806048">
    <w:abstractNumId w:val="11"/>
  </w:num>
  <w:num w:numId="67" w16cid:durableId="358434132">
    <w:abstractNumId w:val="11"/>
  </w:num>
  <w:num w:numId="68" w16cid:durableId="1381594527">
    <w:abstractNumId w:val="11"/>
  </w:num>
  <w:num w:numId="69" w16cid:durableId="3438124">
    <w:abstractNumId w:val="11"/>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displayBackgroundShape/>
  <w:bordersDoNotSurroundHeader/>
  <w:bordersDoNotSurroundFooter/>
  <w:proofState w:spelling="clean" w:grammar="clean"/>
  <w:attachedTemplate r:id="rId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567"/>
  <w:drawingGridHorizontalSpacing w:val="116"/>
  <w:displayHorizontalDrawingGridEvery w:val="2"/>
  <w:noPunctuationKerning/>
  <w:characterSpacingControl w:val="doNotCompress"/>
  <w:hdrShapeDefaults>
    <o:shapedefaults v:ext="edit" spidmax="2050" fill="f" stroke="f">
      <v:fill on="f"/>
      <v:stroke on="f"/>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07F6"/>
    <w:rsid w:val="0000558D"/>
    <w:rsid w:val="00007A50"/>
    <w:rsid w:val="0001003A"/>
    <w:rsid w:val="000117BC"/>
    <w:rsid w:val="00011FAC"/>
    <w:rsid w:val="00013F9D"/>
    <w:rsid w:val="0001481B"/>
    <w:rsid w:val="00016023"/>
    <w:rsid w:val="00020A51"/>
    <w:rsid w:val="000235D5"/>
    <w:rsid w:val="00023C85"/>
    <w:rsid w:val="000247BF"/>
    <w:rsid w:val="00027136"/>
    <w:rsid w:val="00027C88"/>
    <w:rsid w:val="00027EEF"/>
    <w:rsid w:val="00031575"/>
    <w:rsid w:val="00031CDE"/>
    <w:rsid w:val="000331F5"/>
    <w:rsid w:val="00035240"/>
    <w:rsid w:val="00035AC6"/>
    <w:rsid w:val="0004202C"/>
    <w:rsid w:val="00042A7A"/>
    <w:rsid w:val="00042D3E"/>
    <w:rsid w:val="00043BC3"/>
    <w:rsid w:val="00043E3E"/>
    <w:rsid w:val="00043F76"/>
    <w:rsid w:val="0004437C"/>
    <w:rsid w:val="00044CD7"/>
    <w:rsid w:val="0004573B"/>
    <w:rsid w:val="00051D6A"/>
    <w:rsid w:val="00052003"/>
    <w:rsid w:val="0005271C"/>
    <w:rsid w:val="00054B2E"/>
    <w:rsid w:val="00055F5F"/>
    <w:rsid w:val="00056E80"/>
    <w:rsid w:val="0006017E"/>
    <w:rsid w:val="00061199"/>
    <w:rsid w:val="00061BF8"/>
    <w:rsid w:val="00061C3F"/>
    <w:rsid w:val="000626DE"/>
    <w:rsid w:val="000631C9"/>
    <w:rsid w:val="00064990"/>
    <w:rsid w:val="00067133"/>
    <w:rsid w:val="000703FE"/>
    <w:rsid w:val="00072D89"/>
    <w:rsid w:val="0007346E"/>
    <w:rsid w:val="00073995"/>
    <w:rsid w:val="00073CA6"/>
    <w:rsid w:val="00074071"/>
    <w:rsid w:val="00075455"/>
    <w:rsid w:val="00076458"/>
    <w:rsid w:val="000807F2"/>
    <w:rsid w:val="00083124"/>
    <w:rsid w:val="00084A36"/>
    <w:rsid w:val="000903B8"/>
    <w:rsid w:val="00090FA8"/>
    <w:rsid w:val="00091412"/>
    <w:rsid w:val="00091A29"/>
    <w:rsid w:val="0009352E"/>
    <w:rsid w:val="000972B3"/>
    <w:rsid w:val="000A04DD"/>
    <w:rsid w:val="000A1406"/>
    <w:rsid w:val="000A3013"/>
    <w:rsid w:val="000A3E02"/>
    <w:rsid w:val="000A6614"/>
    <w:rsid w:val="000A75E4"/>
    <w:rsid w:val="000A78B1"/>
    <w:rsid w:val="000B188F"/>
    <w:rsid w:val="000B25E3"/>
    <w:rsid w:val="000B5A0B"/>
    <w:rsid w:val="000C16D2"/>
    <w:rsid w:val="000C1AA1"/>
    <w:rsid w:val="000C2E81"/>
    <w:rsid w:val="000C33EA"/>
    <w:rsid w:val="000C3441"/>
    <w:rsid w:val="000C364B"/>
    <w:rsid w:val="000C46B5"/>
    <w:rsid w:val="000C4E3F"/>
    <w:rsid w:val="000C6A22"/>
    <w:rsid w:val="000C7CD5"/>
    <w:rsid w:val="000D02A8"/>
    <w:rsid w:val="000D1AD7"/>
    <w:rsid w:val="000D2F46"/>
    <w:rsid w:val="000D31D5"/>
    <w:rsid w:val="000D42AC"/>
    <w:rsid w:val="000D5315"/>
    <w:rsid w:val="000D6149"/>
    <w:rsid w:val="000D623E"/>
    <w:rsid w:val="000D6AFC"/>
    <w:rsid w:val="000E04E0"/>
    <w:rsid w:val="000E1FF6"/>
    <w:rsid w:val="000E396B"/>
    <w:rsid w:val="000E3F6A"/>
    <w:rsid w:val="000E4C29"/>
    <w:rsid w:val="000E4CCE"/>
    <w:rsid w:val="000E4D1D"/>
    <w:rsid w:val="000E64DD"/>
    <w:rsid w:val="000E67E0"/>
    <w:rsid w:val="000E6DB6"/>
    <w:rsid w:val="000E72F3"/>
    <w:rsid w:val="000F4B00"/>
    <w:rsid w:val="000F5FF9"/>
    <w:rsid w:val="000F7637"/>
    <w:rsid w:val="00102D6A"/>
    <w:rsid w:val="00105974"/>
    <w:rsid w:val="001063F1"/>
    <w:rsid w:val="001117BF"/>
    <w:rsid w:val="001118AF"/>
    <w:rsid w:val="00111F8F"/>
    <w:rsid w:val="00112AF7"/>
    <w:rsid w:val="001139E4"/>
    <w:rsid w:val="0011561B"/>
    <w:rsid w:val="001159A7"/>
    <w:rsid w:val="001231B3"/>
    <w:rsid w:val="00123AAC"/>
    <w:rsid w:val="001270D7"/>
    <w:rsid w:val="00127A61"/>
    <w:rsid w:val="00127E74"/>
    <w:rsid w:val="00131B9E"/>
    <w:rsid w:val="0013509B"/>
    <w:rsid w:val="00135DE6"/>
    <w:rsid w:val="00135E20"/>
    <w:rsid w:val="00136822"/>
    <w:rsid w:val="00137977"/>
    <w:rsid w:val="00141103"/>
    <w:rsid w:val="0014116A"/>
    <w:rsid w:val="001429B2"/>
    <w:rsid w:val="00142AFD"/>
    <w:rsid w:val="00142E6A"/>
    <w:rsid w:val="00143CA7"/>
    <w:rsid w:val="001446FA"/>
    <w:rsid w:val="001451DB"/>
    <w:rsid w:val="001468E3"/>
    <w:rsid w:val="001472A3"/>
    <w:rsid w:val="00147F73"/>
    <w:rsid w:val="00150363"/>
    <w:rsid w:val="001506B3"/>
    <w:rsid w:val="00150C50"/>
    <w:rsid w:val="00151432"/>
    <w:rsid w:val="00151A7F"/>
    <w:rsid w:val="00152640"/>
    <w:rsid w:val="00152A75"/>
    <w:rsid w:val="00153944"/>
    <w:rsid w:val="001539A8"/>
    <w:rsid w:val="00153DC7"/>
    <w:rsid w:val="00155093"/>
    <w:rsid w:val="00156417"/>
    <w:rsid w:val="00157110"/>
    <w:rsid w:val="00160972"/>
    <w:rsid w:val="001616CA"/>
    <w:rsid w:val="001672D6"/>
    <w:rsid w:val="00167A21"/>
    <w:rsid w:val="00170803"/>
    <w:rsid w:val="001708FF"/>
    <w:rsid w:val="00170A62"/>
    <w:rsid w:val="0017151E"/>
    <w:rsid w:val="0017155E"/>
    <w:rsid w:val="00172141"/>
    <w:rsid w:val="00172845"/>
    <w:rsid w:val="00173B7E"/>
    <w:rsid w:val="001741FC"/>
    <w:rsid w:val="00175D39"/>
    <w:rsid w:val="00175F5F"/>
    <w:rsid w:val="0018140F"/>
    <w:rsid w:val="00181DCF"/>
    <w:rsid w:val="00182821"/>
    <w:rsid w:val="00182DD2"/>
    <w:rsid w:val="0018338B"/>
    <w:rsid w:val="0018347F"/>
    <w:rsid w:val="0018414B"/>
    <w:rsid w:val="00185298"/>
    <w:rsid w:val="00187B7F"/>
    <w:rsid w:val="0019006D"/>
    <w:rsid w:val="0019184D"/>
    <w:rsid w:val="00194CBF"/>
    <w:rsid w:val="001A1A7A"/>
    <w:rsid w:val="001A1B1A"/>
    <w:rsid w:val="001A2106"/>
    <w:rsid w:val="001A21F3"/>
    <w:rsid w:val="001A226B"/>
    <w:rsid w:val="001A278A"/>
    <w:rsid w:val="001A4075"/>
    <w:rsid w:val="001A4D74"/>
    <w:rsid w:val="001A6D15"/>
    <w:rsid w:val="001A7616"/>
    <w:rsid w:val="001A7836"/>
    <w:rsid w:val="001A7B5B"/>
    <w:rsid w:val="001B3746"/>
    <w:rsid w:val="001B596E"/>
    <w:rsid w:val="001B5FA1"/>
    <w:rsid w:val="001C071C"/>
    <w:rsid w:val="001C1263"/>
    <w:rsid w:val="001C13C8"/>
    <w:rsid w:val="001C1FB0"/>
    <w:rsid w:val="001C3CC5"/>
    <w:rsid w:val="001C4BC8"/>
    <w:rsid w:val="001D0250"/>
    <w:rsid w:val="001D0D1A"/>
    <w:rsid w:val="001D10F5"/>
    <w:rsid w:val="001D1505"/>
    <w:rsid w:val="001D1AAF"/>
    <w:rsid w:val="001D2C1A"/>
    <w:rsid w:val="001D5DB0"/>
    <w:rsid w:val="001D6A4A"/>
    <w:rsid w:val="001D6F43"/>
    <w:rsid w:val="001D7087"/>
    <w:rsid w:val="001E0743"/>
    <w:rsid w:val="001E3B40"/>
    <w:rsid w:val="001E3F62"/>
    <w:rsid w:val="001E6115"/>
    <w:rsid w:val="001E671E"/>
    <w:rsid w:val="001F0865"/>
    <w:rsid w:val="001F3743"/>
    <w:rsid w:val="001F3B25"/>
    <w:rsid w:val="001F4B5D"/>
    <w:rsid w:val="001F6AAC"/>
    <w:rsid w:val="001F6B65"/>
    <w:rsid w:val="001F7167"/>
    <w:rsid w:val="001F7B86"/>
    <w:rsid w:val="002000BD"/>
    <w:rsid w:val="002031C5"/>
    <w:rsid w:val="0020373D"/>
    <w:rsid w:val="002037BF"/>
    <w:rsid w:val="00204A44"/>
    <w:rsid w:val="00204E01"/>
    <w:rsid w:val="002058D7"/>
    <w:rsid w:val="002064F2"/>
    <w:rsid w:val="002100E2"/>
    <w:rsid w:val="00211C20"/>
    <w:rsid w:val="00211CA7"/>
    <w:rsid w:val="00212230"/>
    <w:rsid w:val="00212AE2"/>
    <w:rsid w:val="00212F76"/>
    <w:rsid w:val="00217235"/>
    <w:rsid w:val="002174B2"/>
    <w:rsid w:val="00221151"/>
    <w:rsid w:val="002211AE"/>
    <w:rsid w:val="0022120D"/>
    <w:rsid w:val="00221C54"/>
    <w:rsid w:val="00221D05"/>
    <w:rsid w:val="00221D11"/>
    <w:rsid w:val="00222B37"/>
    <w:rsid w:val="00222B95"/>
    <w:rsid w:val="00222D58"/>
    <w:rsid w:val="002237BD"/>
    <w:rsid w:val="00223D72"/>
    <w:rsid w:val="00227560"/>
    <w:rsid w:val="00230581"/>
    <w:rsid w:val="00230EFB"/>
    <w:rsid w:val="002315F9"/>
    <w:rsid w:val="00231FD5"/>
    <w:rsid w:val="00233563"/>
    <w:rsid w:val="00233D88"/>
    <w:rsid w:val="00233FC7"/>
    <w:rsid w:val="002367EA"/>
    <w:rsid w:val="00236D9E"/>
    <w:rsid w:val="00242D80"/>
    <w:rsid w:val="00242F78"/>
    <w:rsid w:val="0024427A"/>
    <w:rsid w:val="00244545"/>
    <w:rsid w:val="00245180"/>
    <w:rsid w:val="002465DA"/>
    <w:rsid w:val="00246F42"/>
    <w:rsid w:val="00247828"/>
    <w:rsid w:val="0025097B"/>
    <w:rsid w:val="00250996"/>
    <w:rsid w:val="00250C4C"/>
    <w:rsid w:val="00253447"/>
    <w:rsid w:val="00253C62"/>
    <w:rsid w:val="002559F3"/>
    <w:rsid w:val="00257223"/>
    <w:rsid w:val="00257C28"/>
    <w:rsid w:val="00261398"/>
    <w:rsid w:val="00261E5E"/>
    <w:rsid w:val="00262506"/>
    <w:rsid w:val="0026733D"/>
    <w:rsid w:val="00267540"/>
    <w:rsid w:val="00267CA6"/>
    <w:rsid w:val="002724D2"/>
    <w:rsid w:val="00272669"/>
    <w:rsid w:val="00273144"/>
    <w:rsid w:val="002738C1"/>
    <w:rsid w:val="00273C36"/>
    <w:rsid w:val="0027453E"/>
    <w:rsid w:val="00276BA5"/>
    <w:rsid w:val="00282961"/>
    <w:rsid w:val="00282C5E"/>
    <w:rsid w:val="002848D7"/>
    <w:rsid w:val="00284BDE"/>
    <w:rsid w:val="00284E24"/>
    <w:rsid w:val="002865CE"/>
    <w:rsid w:val="002877C0"/>
    <w:rsid w:val="00292C7E"/>
    <w:rsid w:val="002933E6"/>
    <w:rsid w:val="0029379C"/>
    <w:rsid w:val="0029458F"/>
    <w:rsid w:val="00296DDA"/>
    <w:rsid w:val="002A01B2"/>
    <w:rsid w:val="002A060C"/>
    <w:rsid w:val="002A0660"/>
    <w:rsid w:val="002A147A"/>
    <w:rsid w:val="002A2417"/>
    <w:rsid w:val="002A28FD"/>
    <w:rsid w:val="002A4967"/>
    <w:rsid w:val="002A4A59"/>
    <w:rsid w:val="002A6448"/>
    <w:rsid w:val="002B55EC"/>
    <w:rsid w:val="002B5760"/>
    <w:rsid w:val="002B6613"/>
    <w:rsid w:val="002B6CE8"/>
    <w:rsid w:val="002B7830"/>
    <w:rsid w:val="002C08E0"/>
    <w:rsid w:val="002C10A1"/>
    <w:rsid w:val="002C1770"/>
    <w:rsid w:val="002C1C79"/>
    <w:rsid w:val="002C2302"/>
    <w:rsid w:val="002C2369"/>
    <w:rsid w:val="002C395D"/>
    <w:rsid w:val="002C45ED"/>
    <w:rsid w:val="002C463D"/>
    <w:rsid w:val="002C492E"/>
    <w:rsid w:val="002C53B2"/>
    <w:rsid w:val="002C555E"/>
    <w:rsid w:val="002C69E6"/>
    <w:rsid w:val="002C72D9"/>
    <w:rsid w:val="002C7936"/>
    <w:rsid w:val="002D04D7"/>
    <w:rsid w:val="002D051B"/>
    <w:rsid w:val="002D126F"/>
    <w:rsid w:val="002D25E5"/>
    <w:rsid w:val="002D3E2C"/>
    <w:rsid w:val="002D4517"/>
    <w:rsid w:val="002D4668"/>
    <w:rsid w:val="002D4EA5"/>
    <w:rsid w:val="002D63C5"/>
    <w:rsid w:val="002D6526"/>
    <w:rsid w:val="002D6EB3"/>
    <w:rsid w:val="002D71E6"/>
    <w:rsid w:val="002E2C32"/>
    <w:rsid w:val="002E40F1"/>
    <w:rsid w:val="002E462F"/>
    <w:rsid w:val="002E4776"/>
    <w:rsid w:val="002E767B"/>
    <w:rsid w:val="002F07A7"/>
    <w:rsid w:val="002F4BC0"/>
    <w:rsid w:val="002F5BED"/>
    <w:rsid w:val="002F788D"/>
    <w:rsid w:val="003001A8"/>
    <w:rsid w:val="0030027B"/>
    <w:rsid w:val="00300749"/>
    <w:rsid w:val="00302E7A"/>
    <w:rsid w:val="00304A99"/>
    <w:rsid w:val="00305EF5"/>
    <w:rsid w:val="00306BF9"/>
    <w:rsid w:val="003070F1"/>
    <w:rsid w:val="00307D7E"/>
    <w:rsid w:val="003105BB"/>
    <w:rsid w:val="00310A4A"/>
    <w:rsid w:val="0031779D"/>
    <w:rsid w:val="00317AF3"/>
    <w:rsid w:val="00317C1F"/>
    <w:rsid w:val="00317D58"/>
    <w:rsid w:val="00320D3E"/>
    <w:rsid w:val="003213CD"/>
    <w:rsid w:val="003221EF"/>
    <w:rsid w:val="003225AB"/>
    <w:rsid w:val="00326AC5"/>
    <w:rsid w:val="00330384"/>
    <w:rsid w:val="0033118D"/>
    <w:rsid w:val="0033122D"/>
    <w:rsid w:val="00331698"/>
    <w:rsid w:val="0033251F"/>
    <w:rsid w:val="00333588"/>
    <w:rsid w:val="00334B06"/>
    <w:rsid w:val="003376C9"/>
    <w:rsid w:val="00340263"/>
    <w:rsid w:val="0034115A"/>
    <w:rsid w:val="003414AA"/>
    <w:rsid w:val="00344D49"/>
    <w:rsid w:val="003450E4"/>
    <w:rsid w:val="00345310"/>
    <w:rsid w:val="00345318"/>
    <w:rsid w:val="00345849"/>
    <w:rsid w:val="00345C98"/>
    <w:rsid w:val="0034632D"/>
    <w:rsid w:val="00347FCD"/>
    <w:rsid w:val="00351E56"/>
    <w:rsid w:val="003520DF"/>
    <w:rsid w:val="00352A4A"/>
    <w:rsid w:val="00357C2A"/>
    <w:rsid w:val="00357D59"/>
    <w:rsid w:val="00357FDD"/>
    <w:rsid w:val="003605F6"/>
    <w:rsid w:val="00360787"/>
    <w:rsid w:val="0036133E"/>
    <w:rsid w:val="003636BB"/>
    <w:rsid w:val="00363AD1"/>
    <w:rsid w:val="00364ACF"/>
    <w:rsid w:val="003662D0"/>
    <w:rsid w:val="003664B7"/>
    <w:rsid w:val="00366ECF"/>
    <w:rsid w:val="00366FF6"/>
    <w:rsid w:val="003675AB"/>
    <w:rsid w:val="00367648"/>
    <w:rsid w:val="00370070"/>
    <w:rsid w:val="00371C65"/>
    <w:rsid w:val="003752D4"/>
    <w:rsid w:val="00375D82"/>
    <w:rsid w:val="003761F8"/>
    <w:rsid w:val="00376DF2"/>
    <w:rsid w:val="00376E2F"/>
    <w:rsid w:val="00377018"/>
    <w:rsid w:val="0037703B"/>
    <w:rsid w:val="00377BF4"/>
    <w:rsid w:val="00381425"/>
    <w:rsid w:val="00381DD2"/>
    <w:rsid w:val="00383C64"/>
    <w:rsid w:val="00383D69"/>
    <w:rsid w:val="0038477F"/>
    <w:rsid w:val="00390071"/>
    <w:rsid w:val="00390608"/>
    <w:rsid w:val="00391DAB"/>
    <w:rsid w:val="00393E28"/>
    <w:rsid w:val="003971BC"/>
    <w:rsid w:val="003977C4"/>
    <w:rsid w:val="003A09AD"/>
    <w:rsid w:val="003A0FB4"/>
    <w:rsid w:val="003A10EC"/>
    <w:rsid w:val="003A1531"/>
    <w:rsid w:val="003A2B20"/>
    <w:rsid w:val="003A332A"/>
    <w:rsid w:val="003A3591"/>
    <w:rsid w:val="003A38A1"/>
    <w:rsid w:val="003A4B03"/>
    <w:rsid w:val="003A4BC3"/>
    <w:rsid w:val="003A5322"/>
    <w:rsid w:val="003A53D1"/>
    <w:rsid w:val="003A74CC"/>
    <w:rsid w:val="003A7DC9"/>
    <w:rsid w:val="003B020D"/>
    <w:rsid w:val="003B1ED0"/>
    <w:rsid w:val="003B2437"/>
    <w:rsid w:val="003B2631"/>
    <w:rsid w:val="003B2E71"/>
    <w:rsid w:val="003B34A0"/>
    <w:rsid w:val="003B3B40"/>
    <w:rsid w:val="003B58D8"/>
    <w:rsid w:val="003B6457"/>
    <w:rsid w:val="003B7BB5"/>
    <w:rsid w:val="003B7FC1"/>
    <w:rsid w:val="003C08DD"/>
    <w:rsid w:val="003C14E4"/>
    <w:rsid w:val="003C4428"/>
    <w:rsid w:val="003C7336"/>
    <w:rsid w:val="003D2219"/>
    <w:rsid w:val="003D2DB3"/>
    <w:rsid w:val="003D3810"/>
    <w:rsid w:val="003D3AD3"/>
    <w:rsid w:val="003D4137"/>
    <w:rsid w:val="003D41C3"/>
    <w:rsid w:val="003D63CB"/>
    <w:rsid w:val="003D6588"/>
    <w:rsid w:val="003D691B"/>
    <w:rsid w:val="003D7268"/>
    <w:rsid w:val="003D7BC4"/>
    <w:rsid w:val="003D7BCC"/>
    <w:rsid w:val="003E1950"/>
    <w:rsid w:val="003E2170"/>
    <w:rsid w:val="003E3320"/>
    <w:rsid w:val="003E3935"/>
    <w:rsid w:val="003E43FC"/>
    <w:rsid w:val="003E555A"/>
    <w:rsid w:val="003E556E"/>
    <w:rsid w:val="003E5E2B"/>
    <w:rsid w:val="003E5F47"/>
    <w:rsid w:val="003E7576"/>
    <w:rsid w:val="003F0554"/>
    <w:rsid w:val="003F176D"/>
    <w:rsid w:val="003F187C"/>
    <w:rsid w:val="003F18A8"/>
    <w:rsid w:val="003F2264"/>
    <w:rsid w:val="003F3367"/>
    <w:rsid w:val="003F3F40"/>
    <w:rsid w:val="003F4BDF"/>
    <w:rsid w:val="003F55BB"/>
    <w:rsid w:val="003F56E2"/>
    <w:rsid w:val="003F64CD"/>
    <w:rsid w:val="003F64DA"/>
    <w:rsid w:val="003F6FB5"/>
    <w:rsid w:val="003F7261"/>
    <w:rsid w:val="003F72CC"/>
    <w:rsid w:val="003F72FA"/>
    <w:rsid w:val="003F73EA"/>
    <w:rsid w:val="003F7AD8"/>
    <w:rsid w:val="004009FC"/>
    <w:rsid w:val="00402418"/>
    <w:rsid w:val="00402EEF"/>
    <w:rsid w:val="0040361B"/>
    <w:rsid w:val="0040573E"/>
    <w:rsid w:val="00405D5D"/>
    <w:rsid w:val="004072EA"/>
    <w:rsid w:val="004074FA"/>
    <w:rsid w:val="00411674"/>
    <w:rsid w:val="00411B43"/>
    <w:rsid w:val="00413B24"/>
    <w:rsid w:val="00416447"/>
    <w:rsid w:val="00417D83"/>
    <w:rsid w:val="00421893"/>
    <w:rsid w:val="00421B5C"/>
    <w:rsid w:val="00422C26"/>
    <w:rsid w:val="00424D43"/>
    <w:rsid w:val="0042612D"/>
    <w:rsid w:val="00427059"/>
    <w:rsid w:val="00430874"/>
    <w:rsid w:val="004364C5"/>
    <w:rsid w:val="00443136"/>
    <w:rsid w:val="00443380"/>
    <w:rsid w:val="00443BED"/>
    <w:rsid w:val="0044427B"/>
    <w:rsid w:val="00445F72"/>
    <w:rsid w:val="00445FDE"/>
    <w:rsid w:val="004466F0"/>
    <w:rsid w:val="00450496"/>
    <w:rsid w:val="00451314"/>
    <w:rsid w:val="004524DE"/>
    <w:rsid w:val="0045290F"/>
    <w:rsid w:val="0045424F"/>
    <w:rsid w:val="00455AB3"/>
    <w:rsid w:val="00456D51"/>
    <w:rsid w:val="00457B30"/>
    <w:rsid w:val="00457D12"/>
    <w:rsid w:val="004609F5"/>
    <w:rsid w:val="00460D32"/>
    <w:rsid w:val="00461001"/>
    <w:rsid w:val="00462C08"/>
    <w:rsid w:val="004633D1"/>
    <w:rsid w:val="00463AB1"/>
    <w:rsid w:val="004667D7"/>
    <w:rsid w:val="0046706F"/>
    <w:rsid w:val="004704FA"/>
    <w:rsid w:val="0047540C"/>
    <w:rsid w:val="004757BD"/>
    <w:rsid w:val="00477807"/>
    <w:rsid w:val="00483E63"/>
    <w:rsid w:val="00484D5F"/>
    <w:rsid w:val="00486345"/>
    <w:rsid w:val="004867E7"/>
    <w:rsid w:val="00492E1C"/>
    <w:rsid w:val="00494BD3"/>
    <w:rsid w:val="0049720D"/>
    <w:rsid w:val="004A06CA"/>
    <w:rsid w:val="004A13D4"/>
    <w:rsid w:val="004A17C6"/>
    <w:rsid w:val="004A29A9"/>
    <w:rsid w:val="004A2DE0"/>
    <w:rsid w:val="004A3CF0"/>
    <w:rsid w:val="004A4338"/>
    <w:rsid w:val="004A5F9A"/>
    <w:rsid w:val="004A6A0B"/>
    <w:rsid w:val="004A78F3"/>
    <w:rsid w:val="004B1102"/>
    <w:rsid w:val="004B127F"/>
    <w:rsid w:val="004B128C"/>
    <w:rsid w:val="004B1752"/>
    <w:rsid w:val="004B2FC3"/>
    <w:rsid w:val="004B6D05"/>
    <w:rsid w:val="004B7AC8"/>
    <w:rsid w:val="004B7D63"/>
    <w:rsid w:val="004C0B82"/>
    <w:rsid w:val="004C0E03"/>
    <w:rsid w:val="004C339C"/>
    <w:rsid w:val="004C4E41"/>
    <w:rsid w:val="004C59C8"/>
    <w:rsid w:val="004C6398"/>
    <w:rsid w:val="004D085B"/>
    <w:rsid w:val="004D2D8E"/>
    <w:rsid w:val="004D2F45"/>
    <w:rsid w:val="004D38B4"/>
    <w:rsid w:val="004D484B"/>
    <w:rsid w:val="004D6D72"/>
    <w:rsid w:val="004D7C88"/>
    <w:rsid w:val="004E08CC"/>
    <w:rsid w:val="004E099F"/>
    <w:rsid w:val="004E1BAF"/>
    <w:rsid w:val="004E1C44"/>
    <w:rsid w:val="004E1D54"/>
    <w:rsid w:val="004E2772"/>
    <w:rsid w:val="004E2931"/>
    <w:rsid w:val="004E5DBC"/>
    <w:rsid w:val="004E6A51"/>
    <w:rsid w:val="004E6E6E"/>
    <w:rsid w:val="004E7781"/>
    <w:rsid w:val="004F09E5"/>
    <w:rsid w:val="004F2ABD"/>
    <w:rsid w:val="004F2ED5"/>
    <w:rsid w:val="004F3173"/>
    <w:rsid w:val="004F40EB"/>
    <w:rsid w:val="004F4105"/>
    <w:rsid w:val="004F4FC3"/>
    <w:rsid w:val="004F505F"/>
    <w:rsid w:val="004F52FE"/>
    <w:rsid w:val="004F6B2D"/>
    <w:rsid w:val="004F78C6"/>
    <w:rsid w:val="00500A85"/>
    <w:rsid w:val="00501805"/>
    <w:rsid w:val="00501DAB"/>
    <w:rsid w:val="00501EFC"/>
    <w:rsid w:val="005037F6"/>
    <w:rsid w:val="00505253"/>
    <w:rsid w:val="00507686"/>
    <w:rsid w:val="00507C51"/>
    <w:rsid w:val="00510FEA"/>
    <w:rsid w:val="00512C58"/>
    <w:rsid w:val="00513DEE"/>
    <w:rsid w:val="00514919"/>
    <w:rsid w:val="00515037"/>
    <w:rsid w:val="0051557A"/>
    <w:rsid w:val="00515C73"/>
    <w:rsid w:val="005162ED"/>
    <w:rsid w:val="00516974"/>
    <w:rsid w:val="0051745B"/>
    <w:rsid w:val="00517DD5"/>
    <w:rsid w:val="0052004F"/>
    <w:rsid w:val="005206C5"/>
    <w:rsid w:val="0052222B"/>
    <w:rsid w:val="00522665"/>
    <w:rsid w:val="00524376"/>
    <w:rsid w:val="00524F9E"/>
    <w:rsid w:val="00526439"/>
    <w:rsid w:val="0053023F"/>
    <w:rsid w:val="00530CAE"/>
    <w:rsid w:val="005327B2"/>
    <w:rsid w:val="00532D96"/>
    <w:rsid w:val="00533A2A"/>
    <w:rsid w:val="005340DA"/>
    <w:rsid w:val="005415F9"/>
    <w:rsid w:val="0054235B"/>
    <w:rsid w:val="00543045"/>
    <w:rsid w:val="0054473F"/>
    <w:rsid w:val="00545C94"/>
    <w:rsid w:val="00550815"/>
    <w:rsid w:val="005508D4"/>
    <w:rsid w:val="00550EB8"/>
    <w:rsid w:val="00552BC8"/>
    <w:rsid w:val="005559CC"/>
    <w:rsid w:val="005565F4"/>
    <w:rsid w:val="005568C7"/>
    <w:rsid w:val="0055755A"/>
    <w:rsid w:val="005602BB"/>
    <w:rsid w:val="00560BC8"/>
    <w:rsid w:val="00563181"/>
    <w:rsid w:val="00563846"/>
    <w:rsid w:val="00564F3D"/>
    <w:rsid w:val="005659D2"/>
    <w:rsid w:val="0057025B"/>
    <w:rsid w:val="00572528"/>
    <w:rsid w:val="00573035"/>
    <w:rsid w:val="005750B9"/>
    <w:rsid w:val="005752E2"/>
    <w:rsid w:val="00576490"/>
    <w:rsid w:val="005775D8"/>
    <w:rsid w:val="00577838"/>
    <w:rsid w:val="005805F5"/>
    <w:rsid w:val="00580FBF"/>
    <w:rsid w:val="005830C1"/>
    <w:rsid w:val="00583441"/>
    <w:rsid w:val="00583ACA"/>
    <w:rsid w:val="00583B8C"/>
    <w:rsid w:val="0058461D"/>
    <w:rsid w:val="00585454"/>
    <w:rsid w:val="0058653C"/>
    <w:rsid w:val="00590E0E"/>
    <w:rsid w:val="00591481"/>
    <w:rsid w:val="00591EBF"/>
    <w:rsid w:val="0059448C"/>
    <w:rsid w:val="005944DC"/>
    <w:rsid w:val="00595CA7"/>
    <w:rsid w:val="00595CF8"/>
    <w:rsid w:val="00596E3C"/>
    <w:rsid w:val="005A4050"/>
    <w:rsid w:val="005A56EA"/>
    <w:rsid w:val="005A5F5E"/>
    <w:rsid w:val="005A7067"/>
    <w:rsid w:val="005B093C"/>
    <w:rsid w:val="005B4920"/>
    <w:rsid w:val="005B4C60"/>
    <w:rsid w:val="005B62DC"/>
    <w:rsid w:val="005B67B8"/>
    <w:rsid w:val="005C0B60"/>
    <w:rsid w:val="005C31B9"/>
    <w:rsid w:val="005C3AB1"/>
    <w:rsid w:val="005C4457"/>
    <w:rsid w:val="005C5D35"/>
    <w:rsid w:val="005C5FD3"/>
    <w:rsid w:val="005C7967"/>
    <w:rsid w:val="005C7B74"/>
    <w:rsid w:val="005D1A49"/>
    <w:rsid w:val="005E1B29"/>
    <w:rsid w:val="005E29C0"/>
    <w:rsid w:val="005E3A55"/>
    <w:rsid w:val="005E4A99"/>
    <w:rsid w:val="005F08AA"/>
    <w:rsid w:val="005F0D76"/>
    <w:rsid w:val="005F147D"/>
    <w:rsid w:val="005F499C"/>
    <w:rsid w:val="005F506A"/>
    <w:rsid w:val="005F6500"/>
    <w:rsid w:val="005F74C7"/>
    <w:rsid w:val="005F7551"/>
    <w:rsid w:val="006012E1"/>
    <w:rsid w:val="00601A66"/>
    <w:rsid w:val="00602F14"/>
    <w:rsid w:val="006047E2"/>
    <w:rsid w:val="00604B25"/>
    <w:rsid w:val="00605840"/>
    <w:rsid w:val="00605ECC"/>
    <w:rsid w:val="00606CC5"/>
    <w:rsid w:val="006074A8"/>
    <w:rsid w:val="0061040B"/>
    <w:rsid w:val="00610810"/>
    <w:rsid w:val="00611C01"/>
    <w:rsid w:val="00611D81"/>
    <w:rsid w:val="00614C96"/>
    <w:rsid w:val="006156FA"/>
    <w:rsid w:val="00616F50"/>
    <w:rsid w:val="00617E10"/>
    <w:rsid w:val="006210CF"/>
    <w:rsid w:val="00621CAE"/>
    <w:rsid w:val="00622231"/>
    <w:rsid w:val="0062232A"/>
    <w:rsid w:val="00623A9D"/>
    <w:rsid w:val="00627148"/>
    <w:rsid w:val="006303EB"/>
    <w:rsid w:val="006333F9"/>
    <w:rsid w:val="006350F1"/>
    <w:rsid w:val="0063510A"/>
    <w:rsid w:val="00635389"/>
    <w:rsid w:val="006353E4"/>
    <w:rsid w:val="00636144"/>
    <w:rsid w:val="006369C1"/>
    <w:rsid w:val="006379D6"/>
    <w:rsid w:val="006402C1"/>
    <w:rsid w:val="0064137A"/>
    <w:rsid w:val="0064337B"/>
    <w:rsid w:val="006437DE"/>
    <w:rsid w:val="00643B7D"/>
    <w:rsid w:val="006469A4"/>
    <w:rsid w:val="0064738C"/>
    <w:rsid w:val="00651486"/>
    <w:rsid w:val="00651605"/>
    <w:rsid w:val="00651DFB"/>
    <w:rsid w:val="00652F64"/>
    <w:rsid w:val="00653F7A"/>
    <w:rsid w:val="006552B0"/>
    <w:rsid w:val="006566D2"/>
    <w:rsid w:val="00661F46"/>
    <w:rsid w:val="006631DD"/>
    <w:rsid w:val="00664B1B"/>
    <w:rsid w:val="00665AC1"/>
    <w:rsid w:val="006717B4"/>
    <w:rsid w:val="006724E9"/>
    <w:rsid w:val="006727B4"/>
    <w:rsid w:val="0067458E"/>
    <w:rsid w:val="006746C2"/>
    <w:rsid w:val="00674C1C"/>
    <w:rsid w:val="00675672"/>
    <w:rsid w:val="00676346"/>
    <w:rsid w:val="006773A3"/>
    <w:rsid w:val="00680559"/>
    <w:rsid w:val="006824D8"/>
    <w:rsid w:val="00683592"/>
    <w:rsid w:val="00684E7B"/>
    <w:rsid w:val="0068656B"/>
    <w:rsid w:val="006877B5"/>
    <w:rsid w:val="00690504"/>
    <w:rsid w:val="006934CA"/>
    <w:rsid w:val="00694844"/>
    <w:rsid w:val="006A06C7"/>
    <w:rsid w:val="006A07CC"/>
    <w:rsid w:val="006A298F"/>
    <w:rsid w:val="006A6733"/>
    <w:rsid w:val="006A6929"/>
    <w:rsid w:val="006A7A98"/>
    <w:rsid w:val="006B0E0E"/>
    <w:rsid w:val="006B182D"/>
    <w:rsid w:val="006B505E"/>
    <w:rsid w:val="006B5297"/>
    <w:rsid w:val="006B5D32"/>
    <w:rsid w:val="006B6BCE"/>
    <w:rsid w:val="006B7ACE"/>
    <w:rsid w:val="006C0047"/>
    <w:rsid w:val="006C12EF"/>
    <w:rsid w:val="006C67F4"/>
    <w:rsid w:val="006C7035"/>
    <w:rsid w:val="006C76FA"/>
    <w:rsid w:val="006C797D"/>
    <w:rsid w:val="006D0062"/>
    <w:rsid w:val="006D4C6D"/>
    <w:rsid w:val="006D4E7F"/>
    <w:rsid w:val="006D5323"/>
    <w:rsid w:val="006D5789"/>
    <w:rsid w:val="006E2E81"/>
    <w:rsid w:val="006E3057"/>
    <w:rsid w:val="006E352D"/>
    <w:rsid w:val="006E3F43"/>
    <w:rsid w:val="006E49C6"/>
    <w:rsid w:val="006E4EA5"/>
    <w:rsid w:val="006E5307"/>
    <w:rsid w:val="006E5C26"/>
    <w:rsid w:val="006E7A01"/>
    <w:rsid w:val="006F063D"/>
    <w:rsid w:val="006F37A6"/>
    <w:rsid w:val="006F3E12"/>
    <w:rsid w:val="006F752F"/>
    <w:rsid w:val="006F7E9B"/>
    <w:rsid w:val="00700486"/>
    <w:rsid w:val="007005D8"/>
    <w:rsid w:val="00700C09"/>
    <w:rsid w:val="00701B0B"/>
    <w:rsid w:val="00703B8F"/>
    <w:rsid w:val="007042E5"/>
    <w:rsid w:val="007057FD"/>
    <w:rsid w:val="00706F63"/>
    <w:rsid w:val="00710BCB"/>
    <w:rsid w:val="00711AE2"/>
    <w:rsid w:val="00713E54"/>
    <w:rsid w:val="0071489D"/>
    <w:rsid w:val="007161E9"/>
    <w:rsid w:val="00716BF5"/>
    <w:rsid w:val="00717147"/>
    <w:rsid w:val="00717213"/>
    <w:rsid w:val="007204C1"/>
    <w:rsid w:val="00720FB5"/>
    <w:rsid w:val="00722D4C"/>
    <w:rsid w:val="00723399"/>
    <w:rsid w:val="00724377"/>
    <w:rsid w:val="007251FA"/>
    <w:rsid w:val="00725A7B"/>
    <w:rsid w:val="00725E45"/>
    <w:rsid w:val="007277EC"/>
    <w:rsid w:val="00727912"/>
    <w:rsid w:val="00731312"/>
    <w:rsid w:val="0073234E"/>
    <w:rsid w:val="00732AB9"/>
    <w:rsid w:val="00732DD5"/>
    <w:rsid w:val="00732DE8"/>
    <w:rsid w:val="00733816"/>
    <w:rsid w:val="00736BE7"/>
    <w:rsid w:val="00737F13"/>
    <w:rsid w:val="00740D95"/>
    <w:rsid w:val="00740F11"/>
    <w:rsid w:val="00742F0B"/>
    <w:rsid w:val="007452BC"/>
    <w:rsid w:val="007456DD"/>
    <w:rsid w:val="0074572E"/>
    <w:rsid w:val="007457F7"/>
    <w:rsid w:val="00750967"/>
    <w:rsid w:val="00752BB6"/>
    <w:rsid w:val="007532BF"/>
    <w:rsid w:val="00753B62"/>
    <w:rsid w:val="007548DA"/>
    <w:rsid w:val="0075649C"/>
    <w:rsid w:val="007565F6"/>
    <w:rsid w:val="00756DF2"/>
    <w:rsid w:val="00757775"/>
    <w:rsid w:val="00761684"/>
    <w:rsid w:val="007634CB"/>
    <w:rsid w:val="0076371F"/>
    <w:rsid w:val="00763AB7"/>
    <w:rsid w:val="00763EA9"/>
    <w:rsid w:val="00764F15"/>
    <w:rsid w:val="00765B54"/>
    <w:rsid w:val="00766D2C"/>
    <w:rsid w:val="00770680"/>
    <w:rsid w:val="00772F58"/>
    <w:rsid w:val="00774E53"/>
    <w:rsid w:val="0078011A"/>
    <w:rsid w:val="00780855"/>
    <w:rsid w:val="00781C77"/>
    <w:rsid w:val="00782250"/>
    <w:rsid w:val="007844D4"/>
    <w:rsid w:val="00784977"/>
    <w:rsid w:val="0078565B"/>
    <w:rsid w:val="0078630C"/>
    <w:rsid w:val="0079174B"/>
    <w:rsid w:val="00793CBF"/>
    <w:rsid w:val="00794055"/>
    <w:rsid w:val="00794433"/>
    <w:rsid w:val="00794BDD"/>
    <w:rsid w:val="00795401"/>
    <w:rsid w:val="00795A1F"/>
    <w:rsid w:val="00795A49"/>
    <w:rsid w:val="00795E30"/>
    <w:rsid w:val="00796300"/>
    <w:rsid w:val="0079649F"/>
    <w:rsid w:val="007A1782"/>
    <w:rsid w:val="007A274F"/>
    <w:rsid w:val="007A41E8"/>
    <w:rsid w:val="007A42B7"/>
    <w:rsid w:val="007A4ECD"/>
    <w:rsid w:val="007A519C"/>
    <w:rsid w:val="007A538A"/>
    <w:rsid w:val="007B0B6C"/>
    <w:rsid w:val="007B1FCE"/>
    <w:rsid w:val="007B2449"/>
    <w:rsid w:val="007B4CB0"/>
    <w:rsid w:val="007B4FA8"/>
    <w:rsid w:val="007B578D"/>
    <w:rsid w:val="007B5D58"/>
    <w:rsid w:val="007B66E1"/>
    <w:rsid w:val="007B7F9E"/>
    <w:rsid w:val="007C1416"/>
    <w:rsid w:val="007D0208"/>
    <w:rsid w:val="007D4B42"/>
    <w:rsid w:val="007D4C3F"/>
    <w:rsid w:val="007D6B9B"/>
    <w:rsid w:val="007D7CF5"/>
    <w:rsid w:val="007E061E"/>
    <w:rsid w:val="007E1B15"/>
    <w:rsid w:val="007E2548"/>
    <w:rsid w:val="007E35F1"/>
    <w:rsid w:val="007E7C8E"/>
    <w:rsid w:val="007F1CFC"/>
    <w:rsid w:val="007F6E11"/>
    <w:rsid w:val="007F738D"/>
    <w:rsid w:val="00802833"/>
    <w:rsid w:val="00802862"/>
    <w:rsid w:val="00804082"/>
    <w:rsid w:val="00805ACE"/>
    <w:rsid w:val="00812394"/>
    <w:rsid w:val="0081313A"/>
    <w:rsid w:val="00814798"/>
    <w:rsid w:val="0081698C"/>
    <w:rsid w:val="0081706B"/>
    <w:rsid w:val="00817629"/>
    <w:rsid w:val="00817640"/>
    <w:rsid w:val="00822313"/>
    <w:rsid w:val="00825AB4"/>
    <w:rsid w:val="00825ECA"/>
    <w:rsid w:val="00826318"/>
    <w:rsid w:val="00827FA9"/>
    <w:rsid w:val="00830437"/>
    <w:rsid w:val="00831075"/>
    <w:rsid w:val="0083115F"/>
    <w:rsid w:val="008317F8"/>
    <w:rsid w:val="00831B38"/>
    <w:rsid w:val="00831DC0"/>
    <w:rsid w:val="00832170"/>
    <w:rsid w:val="008326F0"/>
    <w:rsid w:val="00832B43"/>
    <w:rsid w:val="00832D3F"/>
    <w:rsid w:val="00834454"/>
    <w:rsid w:val="0083775D"/>
    <w:rsid w:val="00837AFF"/>
    <w:rsid w:val="00841EEA"/>
    <w:rsid w:val="00843C86"/>
    <w:rsid w:val="0084447B"/>
    <w:rsid w:val="00846F94"/>
    <w:rsid w:val="00847F21"/>
    <w:rsid w:val="008517F2"/>
    <w:rsid w:val="00852514"/>
    <w:rsid w:val="008534AF"/>
    <w:rsid w:val="00855B7B"/>
    <w:rsid w:val="008604B0"/>
    <w:rsid w:val="008606A1"/>
    <w:rsid w:val="00860E42"/>
    <w:rsid w:val="008613FA"/>
    <w:rsid w:val="008615D2"/>
    <w:rsid w:val="00861CA3"/>
    <w:rsid w:val="0086204F"/>
    <w:rsid w:val="008633CD"/>
    <w:rsid w:val="008640D7"/>
    <w:rsid w:val="00864745"/>
    <w:rsid w:val="0086540F"/>
    <w:rsid w:val="008660A5"/>
    <w:rsid w:val="00866781"/>
    <w:rsid w:val="008667CE"/>
    <w:rsid w:val="00866C9E"/>
    <w:rsid w:val="008672EA"/>
    <w:rsid w:val="0086783B"/>
    <w:rsid w:val="0086799C"/>
    <w:rsid w:val="00871213"/>
    <w:rsid w:val="00872F3A"/>
    <w:rsid w:val="00873438"/>
    <w:rsid w:val="00874686"/>
    <w:rsid w:val="00875583"/>
    <w:rsid w:val="008765BB"/>
    <w:rsid w:val="008768D6"/>
    <w:rsid w:val="00876B32"/>
    <w:rsid w:val="00876CE3"/>
    <w:rsid w:val="008829E2"/>
    <w:rsid w:val="00884069"/>
    <w:rsid w:val="00884184"/>
    <w:rsid w:val="008849D6"/>
    <w:rsid w:val="00886263"/>
    <w:rsid w:val="0088638B"/>
    <w:rsid w:val="00887508"/>
    <w:rsid w:val="00891B14"/>
    <w:rsid w:val="00891E84"/>
    <w:rsid w:val="00892463"/>
    <w:rsid w:val="008939EE"/>
    <w:rsid w:val="008939FC"/>
    <w:rsid w:val="0089423C"/>
    <w:rsid w:val="00894EA3"/>
    <w:rsid w:val="008950A4"/>
    <w:rsid w:val="008953E9"/>
    <w:rsid w:val="00895822"/>
    <w:rsid w:val="00896474"/>
    <w:rsid w:val="008964E2"/>
    <w:rsid w:val="008A01AB"/>
    <w:rsid w:val="008A14EE"/>
    <w:rsid w:val="008A1EBB"/>
    <w:rsid w:val="008A21C2"/>
    <w:rsid w:val="008A31DE"/>
    <w:rsid w:val="008A32C1"/>
    <w:rsid w:val="008A72EC"/>
    <w:rsid w:val="008A73CA"/>
    <w:rsid w:val="008B1310"/>
    <w:rsid w:val="008B1703"/>
    <w:rsid w:val="008B2582"/>
    <w:rsid w:val="008B4750"/>
    <w:rsid w:val="008B4E2B"/>
    <w:rsid w:val="008B4EE0"/>
    <w:rsid w:val="008B50A8"/>
    <w:rsid w:val="008B7050"/>
    <w:rsid w:val="008C1558"/>
    <w:rsid w:val="008C554A"/>
    <w:rsid w:val="008C7FAA"/>
    <w:rsid w:val="008D3592"/>
    <w:rsid w:val="008D3678"/>
    <w:rsid w:val="008D6CA2"/>
    <w:rsid w:val="008D7998"/>
    <w:rsid w:val="008E36D4"/>
    <w:rsid w:val="008F13AB"/>
    <w:rsid w:val="008F2668"/>
    <w:rsid w:val="008F26D5"/>
    <w:rsid w:val="008F2984"/>
    <w:rsid w:val="008F2CA6"/>
    <w:rsid w:val="008F450A"/>
    <w:rsid w:val="008F4B4C"/>
    <w:rsid w:val="008F7657"/>
    <w:rsid w:val="0090058D"/>
    <w:rsid w:val="00900B9F"/>
    <w:rsid w:val="00900D18"/>
    <w:rsid w:val="00901004"/>
    <w:rsid w:val="00904293"/>
    <w:rsid w:val="00904B7D"/>
    <w:rsid w:val="00905262"/>
    <w:rsid w:val="009052EA"/>
    <w:rsid w:val="00906FCC"/>
    <w:rsid w:val="00907D77"/>
    <w:rsid w:val="00911299"/>
    <w:rsid w:val="009112DC"/>
    <w:rsid w:val="00913EE5"/>
    <w:rsid w:val="00915360"/>
    <w:rsid w:val="009208B6"/>
    <w:rsid w:val="00921911"/>
    <w:rsid w:val="00922802"/>
    <w:rsid w:val="00922AD7"/>
    <w:rsid w:val="00922CF2"/>
    <w:rsid w:val="00923360"/>
    <w:rsid w:val="00924179"/>
    <w:rsid w:val="009274A2"/>
    <w:rsid w:val="00930AFD"/>
    <w:rsid w:val="009326CD"/>
    <w:rsid w:val="0093314C"/>
    <w:rsid w:val="00933550"/>
    <w:rsid w:val="0093410A"/>
    <w:rsid w:val="009359C5"/>
    <w:rsid w:val="00935D39"/>
    <w:rsid w:val="009367F7"/>
    <w:rsid w:val="009369D7"/>
    <w:rsid w:val="00937832"/>
    <w:rsid w:val="00937E67"/>
    <w:rsid w:val="00940B10"/>
    <w:rsid w:val="00940BC8"/>
    <w:rsid w:val="0094169A"/>
    <w:rsid w:val="0094192A"/>
    <w:rsid w:val="00941ADE"/>
    <w:rsid w:val="009425D1"/>
    <w:rsid w:val="009431B6"/>
    <w:rsid w:val="009433E5"/>
    <w:rsid w:val="00943B43"/>
    <w:rsid w:val="009455E6"/>
    <w:rsid w:val="00947AFE"/>
    <w:rsid w:val="009513DF"/>
    <w:rsid w:val="00952A4D"/>
    <w:rsid w:val="0095361F"/>
    <w:rsid w:val="00960110"/>
    <w:rsid w:val="0096078D"/>
    <w:rsid w:val="009607F6"/>
    <w:rsid w:val="00961554"/>
    <w:rsid w:val="0096380E"/>
    <w:rsid w:val="00963D9A"/>
    <w:rsid w:val="00964F3A"/>
    <w:rsid w:val="00965F32"/>
    <w:rsid w:val="009662A6"/>
    <w:rsid w:val="0096659F"/>
    <w:rsid w:val="009717F3"/>
    <w:rsid w:val="00972DDC"/>
    <w:rsid w:val="0097341F"/>
    <w:rsid w:val="009736C0"/>
    <w:rsid w:val="00973DA8"/>
    <w:rsid w:val="009753C6"/>
    <w:rsid w:val="00980EAF"/>
    <w:rsid w:val="0098344C"/>
    <w:rsid w:val="00986DD6"/>
    <w:rsid w:val="00987C5D"/>
    <w:rsid w:val="00987FED"/>
    <w:rsid w:val="009924C1"/>
    <w:rsid w:val="00994E4F"/>
    <w:rsid w:val="00995135"/>
    <w:rsid w:val="00995988"/>
    <w:rsid w:val="00995BA4"/>
    <w:rsid w:val="009961F1"/>
    <w:rsid w:val="00996840"/>
    <w:rsid w:val="0099706B"/>
    <w:rsid w:val="00997165"/>
    <w:rsid w:val="009979A0"/>
    <w:rsid w:val="009A0C25"/>
    <w:rsid w:val="009A207B"/>
    <w:rsid w:val="009A302E"/>
    <w:rsid w:val="009A435A"/>
    <w:rsid w:val="009A44A3"/>
    <w:rsid w:val="009A4A0E"/>
    <w:rsid w:val="009A7554"/>
    <w:rsid w:val="009B1737"/>
    <w:rsid w:val="009B5177"/>
    <w:rsid w:val="009B6316"/>
    <w:rsid w:val="009B63C7"/>
    <w:rsid w:val="009C0228"/>
    <w:rsid w:val="009C0DE3"/>
    <w:rsid w:val="009C2C4B"/>
    <w:rsid w:val="009C4219"/>
    <w:rsid w:val="009C4432"/>
    <w:rsid w:val="009C5BD0"/>
    <w:rsid w:val="009C6D18"/>
    <w:rsid w:val="009C744C"/>
    <w:rsid w:val="009C7EE7"/>
    <w:rsid w:val="009D0056"/>
    <w:rsid w:val="009D3AE9"/>
    <w:rsid w:val="009D43EE"/>
    <w:rsid w:val="009E1C2B"/>
    <w:rsid w:val="009E3432"/>
    <w:rsid w:val="009E3A8A"/>
    <w:rsid w:val="009E4CDE"/>
    <w:rsid w:val="009E516B"/>
    <w:rsid w:val="009E57B5"/>
    <w:rsid w:val="009F07DF"/>
    <w:rsid w:val="009F0955"/>
    <w:rsid w:val="009F13DA"/>
    <w:rsid w:val="009F1812"/>
    <w:rsid w:val="009F4605"/>
    <w:rsid w:val="009F4BF9"/>
    <w:rsid w:val="009F5441"/>
    <w:rsid w:val="009F60E3"/>
    <w:rsid w:val="009F6FA1"/>
    <w:rsid w:val="00A024B0"/>
    <w:rsid w:val="00A02A04"/>
    <w:rsid w:val="00A036CD"/>
    <w:rsid w:val="00A04724"/>
    <w:rsid w:val="00A05E70"/>
    <w:rsid w:val="00A0677E"/>
    <w:rsid w:val="00A068B3"/>
    <w:rsid w:val="00A07C47"/>
    <w:rsid w:val="00A07E11"/>
    <w:rsid w:val="00A119FE"/>
    <w:rsid w:val="00A11BCD"/>
    <w:rsid w:val="00A12098"/>
    <w:rsid w:val="00A14D04"/>
    <w:rsid w:val="00A15DC9"/>
    <w:rsid w:val="00A16078"/>
    <w:rsid w:val="00A1694C"/>
    <w:rsid w:val="00A1709D"/>
    <w:rsid w:val="00A17849"/>
    <w:rsid w:val="00A2113F"/>
    <w:rsid w:val="00A21886"/>
    <w:rsid w:val="00A22E0D"/>
    <w:rsid w:val="00A24F52"/>
    <w:rsid w:val="00A250FB"/>
    <w:rsid w:val="00A25100"/>
    <w:rsid w:val="00A3039B"/>
    <w:rsid w:val="00A308E5"/>
    <w:rsid w:val="00A30C0A"/>
    <w:rsid w:val="00A314F2"/>
    <w:rsid w:val="00A31D59"/>
    <w:rsid w:val="00A33715"/>
    <w:rsid w:val="00A34B2C"/>
    <w:rsid w:val="00A354A5"/>
    <w:rsid w:val="00A37A69"/>
    <w:rsid w:val="00A37E6C"/>
    <w:rsid w:val="00A4030A"/>
    <w:rsid w:val="00A40B1B"/>
    <w:rsid w:val="00A40F6B"/>
    <w:rsid w:val="00A500F5"/>
    <w:rsid w:val="00A523A9"/>
    <w:rsid w:val="00A52F89"/>
    <w:rsid w:val="00A57A47"/>
    <w:rsid w:val="00A604BD"/>
    <w:rsid w:val="00A60DE1"/>
    <w:rsid w:val="00A61EF2"/>
    <w:rsid w:val="00A62B45"/>
    <w:rsid w:val="00A62B8D"/>
    <w:rsid w:val="00A62F4A"/>
    <w:rsid w:val="00A6325B"/>
    <w:rsid w:val="00A632E4"/>
    <w:rsid w:val="00A64578"/>
    <w:rsid w:val="00A64DA1"/>
    <w:rsid w:val="00A67395"/>
    <w:rsid w:val="00A73868"/>
    <w:rsid w:val="00A760BC"/>
    <w:rsid w:val="00A76781"/>
    <w:rsid w:val="00A76C52"/>
    <w:rsid w:val="00A808B5"/>
    <w:rsid w:val="00A81CC5"/>
    <w:rsid w:val="00A8254D"/>
    <w:rsid w:val="00A84C31"/>
    <w:rsid w:val="00A873D0"/>
    <w:rsid w:val="00A87DB1"/>
    <w:rsid w:val="00A91060"/>
    <w:rsid w:val="00A91651"/>
    <w:rsid w:val="00A923B2"/>
    <w:rsid w:val="00A9283B"/>
    <w:rsid w:val="00A94FAB"/>
    <w:rsid w:val="00A957F7"/>
    <w:rsid w:val="00A979B2"/>
    <w:rsid w:val="00AA227F"/>
    <w:rsid w:val="00AA2AA0"/>
    <w:rsid w:val="00AA3322"/>
    <w:rsid w:val="00AA6A69"/>
    <w:rsid w:val="00AA7219"/>
    <w:rsid w:val="00AA799B"/>
    <w:rsid w:val="00AB08A1"/>
    <w:rsid w:val="00AB10F4"/>
    <w:rsid w:val="00AB34BD"/>
    <w:rsid w:val="00AB373A"/>
    <w:rsid w:val="00AB3842"/>
    <w:rsid w:val="00AB570E"/>
    <w:rsid w:val="00AB7423"/>
    <w:rsid w:val="00AB7971"/>
    <w:rsid w:val="00AC3505"/>
    <w:rsid w:val="00AC4292"/>
    <w:rsid w:val="00AC532E"/>
    <w:rsid w:val="00AC716E"/>
    <w:rsid w:val="00AD0A20"/>
    <w:rsid w:val="00AD1041"/>
    <w:rsid w:val="00AD15ED"/>
    <w:rsid w:val="00AD2A8F"/>
    <w:rsid w:val="00AD2BDE"/>
    <w:rsid w:val="00AD2F3C"/>
    <w:rsid w:val="00AD5AB3"/>
    <w:rsid w:val="00AE011C"/>
    <w:rsid w:val="00AE03A6"/>
    <w:rsid w:val="00AE03EE"/>
    <w:rsid w:val="00AE1ED9"/>
    <w:rsid w:val="00AE2848"/>
    <w:rsid w:val="00AE3AAC"/>
    <w:rsid w:val="00AE5854"/>
    <w:rsid w:val="00AE5A77"/>
    <w:rsid w:val="00AE76B8"/>
    <w:rsid w:val="00AF03B7"/>
    <w:rsid w:val="00AF0CE2"/>
    <w:rsid w:val="00AF1E8F"/>
    <w:rsid w:val="00AF3BE3"/>
    <w:rsid w:val="00AF5290"/>
    <w:rsid w:val="00AF5DE6"/>
    <w:rsid w:val="00AF7BE1"/>
    <w:rsid w:val="00AF7F4B"/>
    <w:rsid w:val="00B009BD"/>
    <w:rsid w:val="00B014FB"/>
    <w:rsid w:val="00B02053"/>
    <w:rsid w:val="00B0269B"/>
    <w:rsid w:val="00B04038"/>
    <w:rsid w:val="00B050D2"/>
    <w:rsid w:val="00B11606"/>
    <w:rsid w:val="00B12365"/>
    <w:rsid w:val="00B13B5F"/>
    <w:rsid w:val="00B15155"/>
    <w:rsid w:val="00B15E1F"/>
    <w:rsid w:val="00B16489"/>
    <w:rsid w:val="00B16815"/>
    <w:rsid w:val="00B1723C"/>
    <w:rsid w:val="00B17343"/>
    <w:rsid w:val="00B17C05"/>
    <w:rsid w:val="00B22578"/>
    <w:rsid w:val="00B229ED"/>
    <w:rsid w:val="00B238E3"/>
    <w:rsid w:val="00B24052"/>
    <w:rsid w:val="00B24155"/>
    <w:rsid w:val="00B2577B"/>
    <w:rsid w:val="00B2707E"/>
    <w:rsid w:val="00B270C0"/>
    <w:rsid w:val="00B30690"/>
    <w:rsid w:val="00B31375"/>
    <w:rsid w:val="00B31561"/>
    <w:rsid w:val="00B3240C"/>
    <w:rsid w:val="00B34566"/>
    <w:rsid w:val="00B34ACC"/>
    <w:rsid w:val="00B360D8"/>
    <w:rsid w:val="00B3676E"/>
    <w:rsid w:val="00B4474F"/>
    <w:rsid w:val="00B44CC3"/>
    <w:rsid w:val="00B46C16"/>
    <w:rsid w:val="00B47485"/>
    <w:rsid w:val="00B5372B"/>
    <w:rsid w:val="00B55EBC"/>
    <w:rsid w:val="00B61360"/>
    <w:rsid w:val="00B618C5"/>
    <w:rsid w:val="00B61DC1"/>
    <w:rsid w:val="00B6253E"/>
    <w:rsid w:val="00B6463A"/>
    <w:rsid w:val="00B65033"/>
    <w:rsid w:val="00B65126"/>
    <w:rsid w:val="00B66002"/>
    <w:rsid w:val="00B67050"/>
    <w:rsid w:val="00B71684"/>
    <w:rsid w:val="00B75085"/>
    <w:rsid w:val="00B75491"/>
    <w:rsid w:val="00B75709"/>
    <w:rsid w:val="00B766DF"/>
    <w:rsid w:val="00B76F9E"/>
    <w:rsid w:val="00B77354"/>
    <w:rsid w:val="00B8011C"/>
    <w:rsid w:val="00B80183"/>
    <w:rsid w:val="00B801E1"/>
    <w:rsid w:val="00B813E6"/>
    <w:rsid w:val="00B81454"/>
    <w:rsid w:val="00B854C5"/>
    <w:rsid w:val="00B85A34"/>
    <w:rsid w:val="00B86B81"/>
    <w:rsid w:val="00B87DD3"/>
    <w:rsid w:val="00B9026A"/>
    <w:rsid w:val="00B90FAE"/>
    <w:rsid w:val="00B9148C"/>
    <w:rsid w:val="00B923E4"/>
    <w:rsid w:val="00B93F1E"/>
    <w:rsid w:val="00B954C9"/>
    <w:rsid w:val="00B95D7E"/>
    <w:rsid w:val="00B9613D"/>
    <w:rsid w:val="00B9648B"/>
    <w:rsid w:val="00B96CE5"/>
    <w:rsid w:val="00B97A47"/>
    <w:rsid w:val="00B97BF8"/>
    <w:rsid w:val="00BA1F14"/>
    <w:rsid w:val="00BA2BB2"/>
    <w:rsid w:val="00BA35D9"/>
    <w:rsid w:val="00BA4140"/>
    <w:rsid w:val="00BA4568"/>
    <w:rsid w:val="00BA682B"/>
    <w:rsid w:val="00BA698B"/>
    <w:rsid w:val="00BA79E1"/>
    <w:rsid w:val="00BB0DD2"/>
    <w:rsid w:val="00BB4262"/>
    <w:rsid w:val="00BB4356"/>
    <w:rsid w:val="00BB56FF"/>
    <w:rsid w:val="00BB6D44"/>
    <w:rsid w:val="00BB7EC2"/>
    <w:rsid w:val="00BC0686"/>
    <w:rsid w:val="00BC1674"/>
    <w:rsid w:val="00BC1D7F"/>
    <w:rsid w:val="00BC29D7"/>
    <w:rsid w:val="00BC2B57"/>
    <w:rsid w:val="00BC3BB4"/>
    <w:rsid w:val="00BC3E8C"/>
    <w:rsid w:val="00BC466F"/>
    <w:rsid w:val="00BC4A06"/>
    <w:rsid w:val="00BC7F8A"/>
    <w:rsid w:val="00BC7FAF"/>
    <w:rsid w:val="00BD02AA"/>
    <w:rsid w:val="00BD1606"/>
    <w:rsid w:val="00BD27AA"/>
    <w:rsid w:val="00BD2CCB"/>
    <w:rsid w:val="00BD2DA9"/>
    <w:rsid w:val="00BD3915"/>
    <w:rsid w:val="00BD52FE"/>
    <w:rsid w:val="00BD5BCF"/>
    <w:rsid w:val="00BD656E"/>
    <w:rsid w:val="00BD65BE"/>
    <w:rsid w:val="00BD726D"/>
    <w:rsid w:val="00BE1562"/>
    <w:rsid w:val="00BE1EA2"/>
    <w:rsid w:val="00BE2FB8"/>
    <w:rsid w:val="00BE30EC"/>
    <w:rsid w:val="00BE376D"/>
    <w:rsid w:val="00BE3860"/>
    <w:rsid w:val="00BE3ED9"/>
    <w:rsid w:val="00BE6A58"/>
    <w:rsid w:val="00BE74A6"/>
    <w:rsid w:val="00BE7C28"/>
    <w:rsid w:val="00BF01AB"/>
    <w:rsid w:val="00BF4AC7"/>
    <w:rsid w:val="00BF7230"/>
    <w:rsid w:val="00C0084C"/>
    <w:rsid w:val="00C008B4"/>
    <w:rsid w:val="00C0379E"/>
    <w:rsid w:val="00C03930"/>
    <w:rsid w:val="00C10C0A"/>
    <w:rsid w:val="00C120AA"/>
    <w:rsid w:val="00C168AC"/>
    <w:rsid w:val="00C17CC6"/>
    <w:rsid w:val="00C20A7E"/>
    <w:rsid w:val="00C2251C"/>
    <w:rsid w:val="00C26346"/>
    <w:rsid w:val="00C26676"/>
    <w:rsid w:val="00C26A7E"/>
    <w:rsid w:val="00C30306"/>
    <w:rsid w:val="00C305C7"/>
    <w:rsid w:val="00C31DA1"/>
    <w:rsid w:val="00C33848"/>
    <w:rsid w:val="00C33EDB"/>
    <w:rsid w:val="00C342A5"/>
    <w:rsid w:val="00C35F95"/>
    <w:rsid w:val="00C37F59"/>
    <w:rsid w:val="00C411A5"/>
    <w:rsid w:val="00C415DA"/>
    <w:rsid w:val="00C443C1"/>
    <w:rsid w:val="00C46302"/>
    <w:rsid w:val="00C47100"/>
    <w:rsid w:val="00C50559"/>
    <w:rsid w:val="00C53552"/>
    <w:rsid w:val="00C53966"/>
    <w:rsid w:val="00C53FD3"/>
    <w:rsid w:val="00C56A90"/>
    <w:rsid w:val="00C620A4"/>
    <w:rsid w:val="00C6215A"/>
    <w:rsid w:val="00C6270E"/>
    <w:rsid w:val="00C62BAF"/>
    <w:rsid w:val="00C63BB6"/>
    <w:rsid w:val="00C64BC4"/>
    <w:rsid w:val="00C65A58"/>
    <w:rsid w:val="00C6600A"/>
    <w:rsid w:val="00C66D55"/>
    <w:rsid w:val="00C746E3"/>
    <w:rsid w:val="00C74824"/>
    <w:rsid w:val="00C75865"/>
    <w:rsid w:val="00C7614F"/>
    <w:rsid w:val="00C76B44"/>
    <w:rsid w:val="00C76E4F"/>
    <w:rsid w:val="00C7720F"/>
    <w:rsid w:val="00C803C9"/>
    <w:rsid w:val="00C80B72"/>
    <w:rsid w:val="00C80E8E"/>
    <w:rsid w:val="00C8144B"/>
    <w:rsid w:val="00C82A22"/>
    <w:rsid w:val="00C82B41"/>
    <w:rsid w:val="00C84520"/>
    <w:rsid w:val="00C84801"/>
    <w:rsid w:val="00C85260"/>
    <w:rsid w:val="00C85F15"/>
    <w:rsid w:val="00C86A04"/>
    <w:rsid w:val="00C91840"/>
    <w:rsid w:val="00C943FD"/>
    <w:rsid w:val="00C9462B"/>
    <w:rsid w:val="00C96498"/>
    <w:rsid w:val="00CA0D4C"/>
    <w:rsid w:val="00CA2BBD"/>
    <w:rsid w:val="00CA3167"/>
    <w:rsid w:val="00CA4B71"/>
    <w:rsid w:val="00CA4FC3"/>
    <w:rsid w:val="00CA5482"/>
    <w:rsid w:val="00CA644A"/>
    <w:rsid w:val="00CA744A"/>
    <w:rsid w:val="00CA7AC8"/>
    <w:rsid w:val="00CC16CB"/>
    <w:rsid w:val="00CC2101"/>
    <w:rsid w:val="00CC2922"/>
    <w:rsid w:val="00CC2EA1"/>
    <w:rsid w:val="00CC3163"/>
    <w:rsid w:val="00CC47A5"/>
    <w:rsid w:val="00CC5814"/>
    <w:rsid w:val="00CC6193"/>
    <w:rsid w:val="00CC6D90"/>
    <w:rsid w:val="00CC7437"/>
    <w:rsid w:val="00CC7DAD"/>
    <w:rsid w:val="00CD1B27"/>
    <w:rsid w:val="00CD21E1"/>
    <w:rsid w:val="00CD38F9"/>
    <w:rsid w:val="00CD3A23"/>
    <w:rsid w:val="00CD52E1"/>
    <w:rsid w:val="00CD7D5C"/>
    <w:rsid w:val="00CE047B"/>
    <w:rsid w:val="00CE0DE7"/>
    <w:rsid w:val="00CE1B97"/>
    <w:rsid w:val="00CE1F22"/>
    <w:rsid w:val="00CE286D"/>
    <w:rsid w:val="00CE338A"/>
    <w:rsid w:val="00CE5786"/>
    <w:rsid w:val="00CE57B6"/>
    <w:rsid w:val="00CE6974"/>
    <w:rsid w:val="00CE75A9"/>
    <w:rsid w:val="00CE7614"/>
    <w:rsid w:val="00CE7E00"/>
    <w:rsid w:val="00CF0416"/>
    <w:rsid w:val="00CF4420"/>
    <w:rsid w:val="00CF560F"/>
    <w:rsid w:val="00CF62ED"/>
    <w:rsid w:val="00CF6EF8"/>
    <w:rsid w:val="00CF7229"/>
    <w:rsid w:val="00CF76B3"/>
    <w:rsid w:val="00D027E8"/>
    <w:rsid w:val="00D03FA3"/>
    <w:rsid w:val="00D069FB"/>
    <w:rsid w:val="00D10234"/>
    <w:rsid w:val="00D12294"/>
    <w:rsid w:val="00D13625"/>
    <w:rsid w:val="00D13825"/>
    <w:rsid w:val="00D1473D"/>
    <w:rsid w:val="00D14BF2"/>
    <w:rsid w:val="00D15235"/>
    <w:rsid w:val="00D1550A"/>
    <w:rsid w:val="00D21863"/>
    <w:rsid w:val="00D25323"/>
    <w:rsid w:val="00D25364"/>
    <w:rsid w:val="00D25385"/>
    <w:rsid w:val="00D2607F"/>
    <w:rsid w:val="00D260FB"/>
    <w:rsid w:val="00D26B6E"/>
    <w:rsid w:val="00D277EA"/>
    <w:rsid w:val="00D3147B"/>
    <w:rsid w:val="00D316BD"/>
    <w:rsid w:val="00D3182D"/>
    <w:rsid w:val="00D32EC1"/>
    <w:rsid w:val="00D33F79"/>
    <w:rsid w:val="00D3431E"/>
    <w:rsid w:val="00D35953"/>
    <w:rsid w:val="00D3641A"/>
    <w:rsid w:val="00D40612"/>
    <w:rsid w:val="00D415A5"/>
    <w:rsid w:val="00D43437"/>
    <w:rsid w:val="00D44803"/>
    <w:rsid w:val="00D45516"/>
    <w:rsid w:val="00D45FD1"/>
    <w:rsid w:val="00D47D56"/>
    <w:rsid w:val="00D5046B"/>
    <w:rsid w:val="00D53ADA"/>
    <w:rsid w:val="00D53C25"/>
    <w:rsid w:val="00D54921"/>
    <w:rsid w:val="00D55A7D"/>
    <w:rsid w:val="00D57194"/>
    <w:rsid w:val="00D6075E"/>
    <w:rsid w:val="00D61108"/>
    <w:rsid w:val="00D62AB6"/>
    <w:rsid w:val="00D62F03"/>
    <w:rsid w:val="00D66795"/>
    <w:rsid w:val="00D6697C"/>
    <w:rsid w:val="00D70759"/>
    <w:rsid w:val="00D711A0"/>
    <w:rsid w:val="00D73025"/>
    <w:rsid w:val="00D73579"/>
    <w:rsid w:val="00D76746"/>
    <w:rsid w:val="00D80571"/>
    <w:rsid w:val="00D81CC2"/>
    <w:rsid w:val="00D82D98"/>
    <w:rsid w:val="00D8357F"/>
    <w:rsid w:val="00D84AA0"/>
    <w:rsid w:val="00D85ECA"/>
    <w:rsid w:val="00D87870"/>
    <w:rsid w:val="00D90211"/>
    <w:rsid w:val="00D90500"/>
    <w:rsid w:val="00D909C8"/>
    <w:rsid w:val="00D91312"/>
    <w:rsid w:val="00D9211D"/>
    <w:rsid w:val="00D925F9"/>
    <w:rsid w:val="00D93A71"/>
    <w:rsid w:val="00D93B8B"/>
    <w:rsid w:val="00D93DB4"/>
    <w:rsid w:val="00D94AFD"/>
    <w:rsid w:val="00D95543"/>
    <w:rsid w:val="00D968A2"/>
    <w:rsid w:val="00D97963"/>
    <w:rsid w:val="00D97DDA"/>
    <w:rsid w:val="00DA66A1"/>
    <w:rsid w:val="00DA7E8C"/>
    <w:rsid w:val="00DA7F5F"/>
    <w:rsid w:val="00DB0041"/>
    <w:rsid w:val="00DB08E9"/>
    <w:rsid w:val="00DB54EB"/>
    <w:rsid w:val="00DB592E"/>
    <w:rsid w:val="00DB5BEB"/>
    <w:rsid w:val="00DC0101"/>
    <w:rsid w:val="00DC0DAB"/>
    <w:rsid w:val="00DC2212"/>
    <w:rsid w:val="00DC29FD"/>
    <w:rsid w:val="00DC2FBF"/>
    <w:rsid w:val="00DC3224"/>
    <w:rsid w:val="00DC368F"/>
    <w:rsid w:val="00DC4B82"/>
    <w:rsid w:val="00DC57DC"/>
    <w:rsid w:val="00DC591B"/>
    <w:rsid w:val="00DC5CCB"/>
    <w:rsid w:val="00DC612F"/>
    <w:rsid w:val="00DC6302"/>
    <w:rsid w:val="00DC6969"/>
    <w:rsid w:val="00DC77AC"/>
    <w:rsid w:val="00DD39F9"/>
    <w:rsid w:val="00DD7C37"/>
    <w:rsid w:val="00DE099D"/>
    <w:rsid w:val="00DE0EBD"/>
    <w:rsid w:val="00DE2B81"/>
    <w:rsid w:val="00DE55BB"/>
    <w:rsid w:val="00DE782B"/>
    <w:rsid w:val="00DE7F28"/>
    <w:rsid w:val="00DE7FB7"/>
    <w:rsid w:val="00DF2EDC"/>
    <w:rsid w:val="00DF3CE2"/>
    <w:rsid w:val="00DF5C76"/>
    <w:rsid w:val="00DF61C0"/>
    <w:rsid w:val="00E01D1E"/>
    <w:rsid w:val="00E037AA"/>
    <w:rsid w:val="00E04E95"/>
    <w:rsid w:val="00E076DF"/>
    <w:rsid w:val="00E07C9D"/>
    <w:rsid w:val="00E10FDD"/>
    <w:rsid w:val="00E11F3E"/>
    <w:rsid w:val="00E14C18"/>
    <w:rsid w:val="00E15EBA"/>
    <w:rsid w:val="00E1627B"/>
    <w:rsid w:val="00E20AD0"/>
    <w:rsid w:val="00E20DBA"/>
    <w:rsid w:val="00E213A7"/>
    <w:rsid w:val="00E225F5"/>
    <w:rsid w:val="00E23067"/>
    <w:rsid w:val="00E23C24"/>
    <w:rsid w:val="00E24388"/>
    <w:rsid w:val="00E24E0E"/>
    <w:rsid w:val="00E25E14"/>
    <w:rsid w:val="00E26A49"/>
    <w:rsid w:val="00E26ADE"/>
    <w:rsid w:val="00E26E44"/>
    <w:rsid w:val="00E2755C"/>
    <w:rsid w:val="00E27A1E"/>
    <w:rsid w:val="00E27E51"/>
    <w:rsid w:val="00E30823"/>
    <w:rsid w:val="00E3292D"/>
    <w:rsid w:val="00E3310E"/>
    <w:rsid w:val="00E36D4B"/>
    <w:rsid w:val="00E37621"/>
    <w:rsid w:val="00E37697"/>
    <w:rsid w:val="00E4024B"/>
    <w:rsid w:val="00E407F6"/>
    <w:rsid w:val="00E45255"/>
    <w:rsid w:val="00E462F8"/>
    <w:rsid w:val="00E464EB"/>
    <w:rsid w:val="00E47182"/>
    <w:rsid w:val="00E5155C"/>
    <w:rsid w:val="00E5181F"/>
    <w:rsid w:val="00E51883"/>
    <w:rsid w:val="00E51C26"/>
    <w:rsid w:val="00E533CB"/>
    <w:rsid w:val="00E54072"/>
    <w:rsid w:val="00E5581D"/>
    <w:rsid w:val="00E569C6"/>
    <w:rsid w:val="00E574EB"/>
    <w:rsid w:val="00E616EE"/>
    <w:rsid w:val="00E61F4F"/>
    <w:rsid w:val="00E62218"/>
    <w:rsid w:val="00E6278A"/>
    <w:rsid w:val="00E64113"/>
    <w:rsid w:val="00E658C0"/>
    <w:rsid w:val="00E6644B"/>
    <w:rsid w:val="00E67CE7"/>
    <w:rsid w:val="00E710CF"/>
    <w:rsid w:val="00E72913"/>
    <w:rsid w:val="00E738AB"/>
    <w:rsid w:val="00E74937"/>
    <w:rsid w:val="00E7613F"/>
    <w:rsid w:val="00E771C8"/>
    <w:rsid w:val="00E800B4"/>
    <w:rsid w:val="00E8033E"/>
    <w:rsid w:val="00E817BE"/>
    <w:rsid w:val="00E81907"/>
    <w:rsid w:val="00E82487"/>
    <w:rsid w:val="00E83212"/>
    <w:rsid w:val="00E8385B"/>
    <w:rsid w:val="00E843CA"/>
    <w:rsid w:val="00E847F9"/>
    <w:rsid w:val="00E90551"/>
    <w:rsid w:val="00E91234"/>
    <w:rsid w:val="00E91293"/>
    <w:rsid w:val="00E91430"/>
    <w:rsid w:val="00E9375C"/>
    <w:rsid w:val="00E93C1E"/>
    <w:rsid w:val="00E955EF"/>
    <w:rsid w:val="00E968DC"/>
    <w:rsid w:val="00EA03B1"/>
    <w:rsid w:val="00EA0827"/>
    <w:rsid w:val="00EA1A6E"/>
    <w:rsid w:val="00EA1F6E"/>
    <w:rsid w:val="00EA2044"/>
    <w:rsid w:val="00EA2350"/>
    <w:rsid w:val="00EA53C6"/>
    <w:rsid w:val="00EA64B4"/>
    <w:rsid w:val="00EB0BCE"/>
    <w:rsid w:val="00EB2CC8"/>
    <w:rsid w:val="00EB7AB7"/>
    <w:rsid w:val="00EC0773"/>
    <w:rsid w:val="00EC1792"/>
    <w:rsid w:val="00EC2E62"/>
    <w:rsid w:val="00EC62C6"/>
    <w:rsid w:val="00EC747C"/>
    <w:rsid w:val="00ED1F2A"/>
    <w:rsid w:val="00ED2B6D"/>
    <w:rsid w:val="00ED41DB"/>
    <w:rsid w:val="00ED4877"/>
    <w:rsid w:val="00ED4A68"/>
    <w:rsid w:val="00ED53D9"/>
    <w:rsid w:val="00ED5EF9"/>
    <w:rsid w:val="00ED6E7C"/>
    <w:rsid w:val="00EE0EAA"/>
    <w:rsid w:val="00EE1D60"/>
    <w:rsid w:val="00EE2ADA"/>
    <w:rsid w:val="00EE2C65"/>
    <w:rsid w:val="00EE3673"/>
    <w:rsid w:val="00EE3CF0"/>
    <w:rsid w:val="00EE3E28"/>
    <w:rsid w:val="00EE6AEE"/>
    <w:rsid w:val="00EE7291"/>
    <w:rsid w:val="00EF2C2C"/>
    <w:rsid w:val="00EF3B85"/>
    <w:rsid w:val="00EF694F"/>
    <w:rsid w:val="00F0018B"/>
    <w:rsid w:val="00F00FB3"/>
    <w:rsid w:val="00F01397"/>
    <w:rsid w:val="00F01593"/>
    <w:rsid w:val="00F01CE9"/>
    <w:rsid w:val="00F01DB3"/>
    <w:rsid w:val="00F04F16"/>
    <w:rsid w:val="00F053DB"/>
    <w:rsid w:val="00F057D1"/>
    <w:rsid w:val="00F06244"/>
    <w:rsid w:val="00F11F51"/>
    <w:rsid w:val="00F161FA"/>
    <w:rsid w:val="00F16953"/>
    <w:rsid w:val="00F17589"/>
    <w:rsid w:val="00F20275"/>
    <w:rsid w:val="00F20A25"/>
    <w:rsid w:val="00F21302"/>
    <w:rsid w:val="00F22B44"/>
    <w:rsid w:val="00F23684"/>
    <w:rsid w:val="00F24A76"/>
    <w:rsid w:val="00F25F45"/>
    <w:rsid w:val="00F26351"/>
    <w:rsid w:val="00F268CE"/>
    <w:rsid w:val="00F30E03"/>
    <w:rsid w:val="00F31285"/>
    <w:rsid w:val="00F31424"/>
    <w:rsid w:val="00F321B4"/>
    <w:rsid w:val="00F32BDB"/>
    <w:rsid w:val="00F32EF0"/>
    <w:rsid w:val="00F33952"/>
    <w:rsid w:val="00F34019"/>
    <w:rsid w:val="00F34198"/>
    <w:rsid w:val="00F34456"/>
    <w:rsid w:val="00F34D69"/>
    <w:rsid w:val="00F34FAE"/>
    <w:rsid w:val="00F352DD"/>
    <w:rsid w:val="00F35F95"/>
    <w:rsid w:val="00F36E34"/>
    <w:rsid w:val="00F401DC"/>
    <w:rsid w:val="00F41A4F"/>
    <w:rsid w:val="00F44BE8"/>
    <w:rsid w:val="00F47FAF"/>
    <w:rsid w:val="00F501E5"/>
    <w:rsid w:val="00F56349"/>
    <w:rsid w:val="00F56844"/>
    <w:rsid w:val="00F57383"/>
    <w:rsid w:val="00F575F7"/>
    <w:rsid w:val="00F579CC"/>
    <w:rsid w:val="00F6145F"/>
    <w:rsid w:val="00F618E1"/>
    <w:rsid w:val="00F61FC9"/>
    <w:rsid w:val="00F62250"/>
    <w:rsid w:val="00F62C31"/>
    <w:rsid w:val="00F62F0D"/>
    <w:rsid w:val="00F64E7F"/>
    <w:rsid w:val="00F666CD"/>
    <w:rsid w:val="00F66CFC"/>
    <w:rsid w:val="00F72B63"/>
    <w:rsid w:val="00F74A8C"/>
    <w:rsid w:val="00F761CE"/>
    <w:rsid w:val="00F769D9"/>
    <w:rsid w:val="00F77117"/>
    <w:rsid w:val="00F77C83"/>
    <w:rsid w:val="00F806FC"/>
    <w:rsid w:val="00F84F80"/>
    <w:rsid w:val="00F85619"/>
    <w:rsid w:val="00F86398"/>
    <w:rsid w:val="00F86C81"/>
    <w:rsid w:val="00F904E1"/>
    <w:rsid w:val="00F911A3"/>
    <w:rsid w:val="00F916DE"/>
    <w:rsid w:val="00F975F3"/>
    <w:rsid w:val="00FA2018"/>
    <w:rsid w:val="00FA3709"/>
    <w:rsid w:val="00FA3BEF"/>
    <w:rsid w:val="00FA3FD4"/>
    <w:rsid w:val="00FA4E16"/>
    <w:rsid w:val="00FA50E8"/>
    <w:rsid w:val="00FA6693"/>
    <w:rsid w:val="00FA73CA"/>
    <w:rsid w:val="00FA7546"/>
    <w:rsid w:val="00FA7FDC"/>
    <w:rsid w:val="00FB03BA"/>
    <w:rsid w:val="00FB03D1"/>
    <w:rsid w:val="00FB0EB7"/>
    <w:rsid w:val="00FB1063"/>
    <w:rsid w:val="00FB15C8"/>
    <w:rsid w:val="00FB1F30"/>
    <w:rsid w:val="00FB5DBD"/>
    <w:rsid w:val="00FB6480"/>
    <w:rsid w:val="00FB6E1D"/>
    <w:rsid w:val="00FC0F77"/>
    <w:rsid w:val="00FC3222"/>
    <w:rsid w:val="00FC3933"/>
    <w:rsid w:val="00FC569F"/>
    <w:rsid w:val="00FC588D"/>
    <w:rsid w:val="00FC66BE"/>
    <w:rsid w:val="00FD1F4E"/>
    <w:rsid w:val="00FD2814"/>
    <w:rsid w:val="00FD28F5"/>
    <w:rsid w:val="00FD338E"/>
    <w:rsid w:val="00FD33CB"/>
    <w:rsid w:val="00FD6A3F"/>
    <w:rsid w:val="00FE1CDE"/>
    <w:rsid w:val="00FE260D"/>
    <w:rsid w:val="00FE2DE8"/>
    <w:rsid w:val="00FF05F2"/>
    <w:rsid w:val="00FF0ED9"/>
    <w:rsid w:val="00FF13FF"/>
    <w:rsid w:val="00FF15FB"/>
    <w:rsid w:val="00FF608E"/>
    <w:rsid w:val="00FF6EDE"/>
    <w:rsid w:val="00FF7448"/>
    <w:rsid w:val="0C6F78A5"/>
    <w:rsid w:val="42F73609"/>
    <w:rsid w:val="45D07F54"/>
    <w:rsid w:val="4C336EFF"/>
    <w:rsid w:val="4E4C1B02"/>
    <w:rsid w:val="6BA610CE"/>
    <w:rsid w:val="6BEC3580"/>
    <w:rsid w:val="71281D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stroke="f">
      <v:fill on="f"/>
      <v:stroke on="f"/>
    </o:shapedefaults>
    <o:shapelayout v:ext="edit">
      <o:idmap v:ext="edit" data="2"/>
    </o:shapelayout>
  </w:shapeDefaults>
  <w:decimalSymbol w:val="."/>
  <w:listSeparator w:val=","/>
  <w14:docId w14:val="19FB2FFD"/>
  <w15:chartTrackingRefBased/>
  <w15:docId w15:val="{DA9B0D15-7273-CA43-B6BB-7919E881E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4" w:uiPriority="39"/>
    <w:lsdException w:name="caption" w:qFormat="1"/>
    <w:lsdException w:name="Title" w:qFormat="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Arial" w:eastAsia="KaiTi_GB2312" w:hAnsi="Arial"/>
      <w:spacing w:val="-8"/>
      <w:sz w:val="24"/>
      <w:szCs w:val="28"/>
      <w:lang w:eastAsia="en-US"/>
    </w:rPr>
  </w:style>
  <w:style w:type="paragraph" w:styleId="Heading1">
    <w:name w:val="heading 1"/>
    <w:basedOn w:val="Normal"/>
    <w:next w:val="BodyText"/>
    <w:qFormat/>
    <w:pPr>
      <w:keepNext/>
      <w:numPr>
        <w:numId w:val="1"/>
      </w:numPr>
      <w:pBdr>
        <w:top w:val="single" w:sz="6" w:space="6" w:color="000000"/>
      </w:pBdr>
      <w:tabs>
        <w:tab w:val="left" w:pos="567"/>
      </w:tabs>
      <w:spacing w:after="240"/>
      <w:outlineLvl w:val="0"/>
    </w:pPr>
    <w:rPr>
      <w:rFonts w:ascii="Arial Bold" w:hAnsi="Arial Bold"/>
      <w:b/>
      <w:kern w:val="28"/>
      <w:sz w:val="28"/>
    </w:rPr>
  </w:style>
  <w:style w:type="paragraph" w:styleId="Heading2">
    <w:name w:val="heading 2"/>
    <w:basedOn w:val="Normal"/>
    <w:next w:val="BodyText"/>
    <w:qFormat/>
    <w:pPr>
      <w:keepNext/>
      <w:numPr>
        <w:ilvl w:val="1"/>
        <w:numId w:val="1"/>
      </w:numPr>
      <w:tabs>
        <w:tab w:val="left" w:pos="567"/>
      </w:tabs>
      <w:spacing w:after="240"/>
      <w:outlineLvl w:val="1"/>
    </w:pPr>
    <w:rPr>
      <w:b/>
    </w:rPr>
  </w:style>
  <w:style w:type="paragraph" w:styleId="Heading3">
    <w:name w:val="heading 3"/>
    <w:basedOn w:val="Heading2"/>
    <w:link w:val="Heading3Char"/>
    <w:qFormat/>
    <w:pPr>
      <w:keepNext w:val="0"/>
      <w:numPr>
        <w:ilvl w:val="2"/>
      </w:numPr>
      <w:tabs>
        <w:tab w:val="left" w:pos="1701"/>
      </w:tabs>
      <w:outlineLvl w:val="2"/>
    </w:pPr>
    <w:rPr>
      <w:b w:val="0"/>
    </w:rPr>
  </w:style>
  <w:style w:type="paragraph" w:styleId="Heading4">
    <w:name w:val="heading 4"/>
    <w:basedOn w:val="BodyText"/>
    <w:link w:val="Heading4Char"/>
    <w:qFormat/>
    <w:pPr>
      <w:numPr>
        <w:ilvl w:val="3"/>
        <w:numId w:val="1"/>
      </w:numPr>
      <w:tabs>
        <w:tab w:val="left" w:pos="2268"/>
      </w:tabs>
      <w:outlineLvl w:val="3"/>
    </w:pPr>
  </w:style>
  <w:style w:type="paragraph" w:styleId="Heading5">
    <w:name w:val="heading 5"/>
    <w:basedOn w:val="BodyText"/>
    <w:link w:val="Heading5Char"/>
    <w:qFormat/>
    <w:pPr>
      <w:numPr>
        <w:ilvl w:val="4"/>
        <w:numId w:val="1"/>
      </w:numPr>
      <w:tabs>
        <w:tab w:val="left" w:pos="2268"/>
      </w:tabs>
      <w:outlineLvl w:val="4"/>
    </w:pPr>
  </w:style>
  <w:style w:type="paragraph" w:styleId="Heading6">
    <w:name w:val="heading 6"/>
    <w:basedOn w:val="Heading1"/>
    <w:next w:val="BodyText"/>
    <w:link w:val="Heading6Char"/>
    <w:qFormat/>
    <w:pPr>
      <w:numPr>
        <w:ilvl w:val="5"/>
      </w:numPr>
      <w:pBdr>
        <w:top w:val="single" w:sz="6" w:space="6" w:color="auto"/>
      </w:pBdr>
      <w:tabs>
        <w:tab w:val="left" w:pos="567"/>
      </w:tabs>
      <w:outlineLvl w:val="5"/>
    </w:pPr>
  </w:style>
  <w:style w:type="paragraph" w:styleId="Heading7">
    <w:name w:val="heading 7"/>
    <w:basedOn w:val="Heading1"/>
    <w:next w:val="BodyText"/>
    <w:link w:val="Heading7Char"/>
    <w:qFormat/>
    <w:pPr>
      <w:numPr>
        <w:ilvl w:val="6"/>
      </w:numPr>
      <w:tabs>
        <w:tab w:val="left" w:pos="567"/>
      </w:tabs>
      <w:outlineLvl w:val="6"/>
    </w:pPr>
  </w:style>
  <w:style w:type="paragraph" w:styleId="Heading8">
    <w:name w:val="heading 8"/>
    <w:basedOn w:val="Heading1"/>
    <w:next w:val="BodyText"/>
    <w:link w:val="Heading8Char"/>
    <w:qFormat/>
    <w:pPr>
      <w:numPr>
        <w:ilvl w:val="7"/>
      </w:numPr>
      <w:pBdr>
        <w:top w:val="single" w:sz="4" w:space="6" w:color="auto"/>
      </w:pBdr>
      <w:tabs>
        <w:tab w:val="left" w:pos="567"/>
      </w:tabs>
      <w:outlineLvl w:val="7"/>
    </w:pPr>
  </w:style>
  <w:style w:type="paragraph" w:styleId="Heading9">
    <w:name w:val="heading 9"/>
    <w:basedOn w:val="Normal"/>
    <w:next w:val="BodyText"/>
    <w:link w:val="Heading9Char"/>
    <w:qFormat/>
    <w:pPr>
      <w:keepNext/>
      <w:numPr>
        <w:ilvl w:val="8"/>
        <w:numId w:val="1"/>
      </w:numPr>
      <w:tabs>
        <w:tab w:val="left" w:pos="567"/>
        <w:tab w:val="left" w:pos="1134"/>
      </w:tabs>
      <w:spacing w:after="240"/>
      <w:outlineLvl w:val="8"/>
    </w:pPr>
    <w:rPr>
      <w:b/>
      <w:kern w:val="28"/>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MacroTextChar">
    <w:name w:val="Macro Text Char"/>
    <w:link w:val="MacroText"/>
    <w:rPr>
      <w:rFonts w:ascii="Courier New" w:hAnsi="Courier New" w:cs="Courier New"/>
      <w:color w:val="333333"/>
      <w:lang w:eastAsia="en-US"/>
    </w:rPr>
  </w:style>
  <w:style w:type="character" w:styleId="FollowedHyperlink">
    <w:name w:val="FollowedHyperlink"/>
    <w:rPr>
      <w:color w:val="800080"/>
      <w:u w:val="single"/>
    </w:rPr>
  </w:style>
  <w:style w:type="character" w:customStyle="1" w:styleId="ClosingChar">
    <w:name w:val="Closing Char"/>
    <w:link w:val="Closing"/>
    <w:rPr>
      <w:rFonts w:ascii="Arial" w:eastAsia="KaiTi_GB2312" w:hAnsi="Arial"/>
      <w:spacing w:val="-8"/>
      <w:sz w:val="24"/>
      <w:szCs w:val="28"/>
      <w:lang w:eastAsia="en-US"/>
    </w:rPr>
  </w:style>
  <w:style w:type="character" w:customStyle="1" w:styleId="BalloonTextChar">
    <w:name w:val="Balloon Text Char"/>
    <w:link w:val="BalloonText"/>
    <w:rPr>
      <w:rFonts w:ascii="Arial" w:eastAsia="KaiTi_GB2312" w:hAnsi="Arial" w:cs="Tahoma"/>
      <w:color w:val="000000"/>
      <w:sz w:val="24"/>
      <w:szCs w:val="16"/>
      <w:lang w:eastAsia="en-US"/>
    </w:rPr>
  </w:style>
  <w:style w:type="character" w:customStyle="1" w:styleId="KWheading3Char">
    <w:name w:val="K&amp;W heading 3 Char"/>
    <w:link w:val="KWheading3"/>
    <w:rPr>
      <w:rFonts w:ascii="Arial" w:eastAsia="KaiTi_GB2312" w:hAnsi="Arial"/>
      <w:color w:val="000000"/>
      <w:sz w:val="24"/>
      <w:lang w:val="en-US" w:eastAsia="en-US" w:bidi="ar-SA"/>
    </w:rPr>
  </w:style>
  <w:style w:type="character" w:customStyle="1" w:styleId="Heading5Char">
    <w:name w:val="Heading 5 Char"/>
    <w:link w:val="Heading5"/>
    <w:rPr>
      <w:rFonts w:ascii="Arial" w:eastAsia="KaiTi_GB2312" w:hAnsi="Arial"/>
      <w:spacing w:val="-8"/>
      <w:sz w:val="24"/>
      <w:szCs w:val="28"/>
      <w:lang w:eastAsia="en-US"/>
    </w:rPr>
  </w:style>
  <w:style w:type="character" w:styleId="Hyperlink">
    <w:name w:val="Hyperlink"/>
    <w:uiPriority w:val="99"/>
    <w:rPr>
      <w:color w:val="0000FF"/>
      <w:u w:val="single"/>
    </w:rPr>
  </w:style>
  <w:style w:type="character" w:customStyle="1" w:styleId="BodyTextFirstIndent2Char">
    <w:name w:val="Body Text First Indent 2 Char"/>
    <w:link w:val="BodyTextFirstIndent2"/>
  </w:style>
  <w:style w:type="character" w:styleId="FootnoteReference">
    <w:name w:val="footnote reference"/>
    <w:rPr>
      <w:rFonts w:ascii="Arial" w:hAnsi="Arial"/>
      <w:vertAlign w:val="superscript"/>
    </w:rPr>
  </w:style>
  <w:style w:type="character" w:customStyle="1" w:styleId="BodyTextIndent2Char">
    <w:name w:val="Body Text Indent 2 Char"/>
    <w:link w:val="BodyTextIndent2"/>
    <w:rPr>
      <w:rFonts w:ascii="Arial" w:eastAsia="KaiTi_GB2312" w:hAnsi="Arial"/>
      <w:spacing w:val="-8"/>
      <w:sz w:val="24"/>
      <w:szCs w:val="28"/>
      <w:lang w:eastAsia="en-US"/>
    </w:rPr>
  </w:style>
  <w:style w:type="character" w:customStyle="1" w:styleId="KWNormalChar">
    <w:name w:val="K&amp;W Normal Char"/>
    <w:link w:val="KWNormal"/>
    <w:rPr>
      <w:rFonts w:ascii="Arial" w:eastAsia="KaiTi_GB2312" w:hAnsi="Arial"/>
      <w:color w:val="000000"/>
      <w:sz w:val="24"/>
      <w:lang w:val="en-US" w:eastAsia="en-US" w:bidi="ar-SA"/>
    </w:rPr>
  </w:style>
  <w:style w:type="character" w:customStyle="1" w:styleId="HTMLPreformattedChar">
    <w:name w:val="HTML Preformatted Char"/>
    <w:link w:val="HTMLPreformatted"/>
    <w:rPr>
      <w:rFonts w:ascii="Courier New" w:eastAsia="KaiTi_GB2312" w:hAnsi="Courier New" w:cs="Courier New"/>
      <w:spacing w:val="-8"/>
      <w:sz w:val="24"/>
      <w:szCs w:val="28"/>
      <w:lang w:eastAsia="en-US"/>
    </w:rPr>
  </w:style>
  <w:style w:type="character" w:styleId="CommentReference">
    <w:name w:val="annotation reference"/>
    <w:rPr>
      <w:sz w:val="16"/>
      <w:szCs w:val="16"/>
    </w:rPr>
  </w:style>
  <w:style w:type="character" w:styleId="Emphasis">
    <w:name w:val="Emphasis"/>
    <w:qFormat/>
    <w:rPr>
      <w:i/>
      <w:iCs/>
    </w:rPr>
  </w:style>
  <w:style w:type="character" w:customStyle="1" w:styleId="NoteHeadingChar">
    <w:name w:val="Note Heading Char"/>
    <w:link w:val="NoteHeading"/>
    <w:rPr>
      <w:rFonts w:ascii="Arial" w:eastAsia="KaiTi_GB2312" w:hAnsi="Arial"/>
      <w:spacing w:val="-8"/>
      <w:sz w:val="24"/>
      <w:szCs w:val="28"/>
      <w:lang w:eastAsia="en-US"/>
    </w:rPr>
  </w:style>
  <w:style w:type="character" w:styleId="HTMLCite">
    <w:name w:val="HTML Cite"/>
    <w:rPr>
      <w:i/>
      <w:iCs/>
    </w:rPr>
  </w:style>
  <w:style w:type="character" w:customStyle="1" w:styleId="BodyTextIndent3Char">
    <w:name w:val="Body Text Indent 3 Char"/>
    <w:link w:val="BodyTextIndent3"/>
    <w:rPr>
      <w:rFonts w:ascii="Arial" w:eastAsia="KaiTi_GB2312" w:hAnsi="Arial"/>
      <w:spacing w:val="-8"/>
      <w:sz w:val="16"/>
      <w:szCs w:val="16"/>
      <w:lang w:eastAsia="en-US"/>
    </w:rPr>
  </w:style>
  <w:style w:type="character" w:customStyle="1" w:styleId="DeedTOCChar">
    <w:name w:val="Deed_TOC Char"/>
    <w:link w:val="DeedTOC"/>
    <w:rPr>
      <w:rFonts w:ascii="Arial Bold" w:eastAsia="KaiTi_GB2312" w:hAnsi="Arial Bold"/>
      <w:b/>
      <w:bCs/>
      <w:spacing w:val="-8"/>
      <w:sz w:val="28"/>
      <w:szCs w:val="28"/>
      <w:lang w:eastAsia="en-US"/>
    </w:rPr>
  </w:style>
  <w:style w:type="character" w:customStyle="1" w:styleId="Heading6Char">
    <w:name w:val="Heading 6 Char"/>
    <w:link w:val="Heading6"/>
    <w:rPr>
      <w:rFonts w:ascii="Arial Bold" w:eastAsia="KaiTi_GB2312" w:hAnsi="Arial Bold"/>
      <w:b/>
      <w:spacing w:val="-8"/>
      <w:kern w:val="28"/>
      <w:sz w:val="28"/>
      <w:szCs w:val="28"/>
      <w:lang w:eastAsia="en-US"/>
    </w:rPr>
  </w:style>
  <w:style w:type="character" w:customStyle="1" w:styleId="EndnoteTextChar">
    <w:name w:val="Endnote Text Char"/>
    <w:link w:val="EndnoteText"/>
    <w:rPr>
      <w:rFonts w:ascii="Arial" w:eastAsia="KaiTi_GB2312" w:hAnsi="Arial"/>
      <w:sz w:val="18"/>
      <w:lang w:eastAsia="en-US"/>
    </w:rPr>
  </w:style>
  <w:style w:type="character" w:customStyle="1" w:styleId="MessageHeaderChar">
    <w:name w:val="Message Header Char"/>
    <w:link w:val="MessageHeader"/>
    <w:rPr>
      <w:rFonts w:ascii="Arial" w:eastAsia="KaiTi_GB2312" w:hAnsi="Arial" w:cs="Arial"/>
      <w:spacing w:val="-8"/>
      <w:sz w:val="24"/>
      <w:szCs w:val="24"/>
      <w:shd w:val="pct20" w:color="auto" w:fill="auto"/>
      <w:lang w:eastAsia="en-US"/>
    </w:rPr>
  </w:style>
  <w:style w:type="character" w:customStyle="1" w:styleId="BodyText2Char">
    <w:name w:val="Body Text 2 Char"/>
    <w:link w:val="BodyText2"/>
    <w:rPr>
      <w:rFonts w:ascii="Arial" w:eastAsia="KaiTi_GB2312" w:hAnsi="Arial"/>
      <w:spacing w:val="-8"/>
      <w:sz w:val="24"/>
      <w:szCs w:val="28"/>
      <w:lang w:eastAsia="en-US"/>
    </w:rPr>
  </w:style>
  <w:style w:type="character" w:styleId="Strong">
    <w:name w:val="Strong"/>
    <w:qFormat/>
    <w:rPr>
      <w:rFonts w:ascii="Arial" w:hAnsi="Arial"/>
      <w:b/>
      <w:bCs/>
      <w:sz w:val="20"/>
    </w:rPr>
  </w:style>
  <w:style w:type="character" w:styleId="EndnoteReference">
    <w:name w:val="endnote reference"/>
    <w:rPr>
      <w:vertAlign w:val="superscript"/>
    </w:rPr>
  </w:style>
  <w:style w:type="character" w:customStyle="1" w:styleId="SalutationChar">
    <w:name w:val="Salutation Char"/>
    <w:link w:val="Salutation"/>
    <w:rPr>
      <w:rFonts w:ascii="Arial" w:eastAsia="KaiTi_GB2312" w:hAnsi="Arial"/>
      <w:spacing w:val="-8"/>
      <w:sz w:val="24"/>
      <w:szCs w:val="28"/>
      <w:lang w:eastAsia="en-US"/>
    </w:rPr>
  </w:style>
  <w:style w:type="character" w:customStyle="1" w:styleId="DateChar">
    <w:name w:val="Date Char"/>
    <w:link w:val="Date"/>
    <w:rPr>
      <w:rFonts w:ascii="Arial" w:eastAsia="KaiTi_GB2312" w:hAnsi="Arial"/>
      <w:spacing w:val="-8"/>
      <w:sz w:val="24"/>
      <w:szCs w:val="28"/>
      <w:lang w:eastAsia="en-US"/>
    </w:rPr>
  </w:style>
  <w:style w:type="character" w:customStyle="1" w:styleId="QuoteChar">
    <w:name w:val="Quote Char"/>
    <w:link w:val="Quote"/>
    <w:uiPriority w:val="29"/>
    <w:rPr>
      <w:rFonts w:ascii="Arial" w:eastAsia="KaiTi_GB2312" w:hAnsi="Arial"/>
      <w:i/>
      <w:iCs/>
      <w:color w:val="000000"/>
      <w:spacing w:val="-8"/>
      <w:sz w:val="24"/>
      <w:szCs w:val="28"/>
      <w:lang w:eastAsia="en-US"/>
    </w:rPr>
  </w:style>
  <w:style w:type="character" w:customStyle="1" w:styleId="BodyTextFirstIndentChar">
    <w:name w:val="Body Text First Indent Char"/>
    <w:link w:val="BodyTextFirstIndent"/>
  </w:style>
  <w:style w:type="character" w:customStyle="1" w:styleId="DocumentMapChar">
    <w:name w:val="Document Map Char"/>
    <w:link w:val="DocumentMap"/>
    <w:rPr>
      <w:rFonts w:ascii="Tahoma" w:eastAsia="KaiTi_GB2312" w:hAnsi="Tahoma" w:cs="Tahoma"/>
      <w:spacing w:val="-8"/>
      <w:sz w:val="24"/>
      <w:szCs w:val="28"/>
      <w:shd w:val="clear" w:color="auto" w:fill="000080"/>
      <w:lang w:eastAsia="en-US"/>
    </w:rPr>
  </w:style>
  <w:style w:type="character" w:styleId="HTMLAcronym">
    <w:name w:val="HTML Acronym"/>
    <w:basedOn w:val="DefaultParagraphFont"/>
  </w:style>
  <w:style w:type="character" w:customStyle="1" w:styleId="SubtitleChar">
    <w:name w:val="Subtitle Char"/>
    <w:link w:val="Subtitle"/>
    <w:rPr>
      <w:rFonts w:ascii="Arial" w:eastAsia="KaiTi_GB2312" w:hAnsi="Arial" w:cs="Arial"/>
      <w:spacing w:val="-8"/>
      <w:sz w:val="24"/>
      <w:szCs w:val="24"/>
      <w:lang w:eastAsia="en-US"/>
    </w:rPr>
  </w:style>
  <w:style w:type="character" w:styleId="HTMLKeyboard">
    <w:name w:val="HTML Keyboard"/>
    <w:rPr>
      <w:rFonts w:ascii="Courier New" w:hAnsi="Courier New" w:cs="Courier New"/>
      <w:sz w:val="20"/>
      <w:szCs w:val="20"/>
    </w:rPr>
  </w:style>
  <w:style w:type="character" w:customStyle="1" w:styleId="EmailSignatureChar">
    <w:name w:val="Email Signature Char"/>
    <w:link w:val="EmailSignature"/>
    <w:rPr>
      <w:rFonts w:ascii="Arial" w:eastAsia="KaiTi_GB2312" w:hAnsi="Arial"/>
      <w:spacing w:val="-8"/>
      <w:sz w:val="24"/>
      <w:szCs w:val="28"/>
      <w:lang w:eastAsia="en-US"/>
    </w:rPr>
  </w:style>
  <w:style w:type="character" w:customStyle="1" w:styleId="Heading4Char">
    <w:name w:val="Heading 4 Char"/>
    <w:link w:val="Heading4"/>
    <w:rPr>
      <w:rFonts w:ascii="Arial" w:eastAsia="KaiTi_GB2312" w:hAnsi="Arial"/>
      <w:spacing w:val="-8"/>
      <w:sz w:val="24"/>
      <w:szCs w:val="28"/>
      <w:lang w:eastAsia="en-US"/>
    </w:rPr>
  </w:style>
  <w:style w:type="character" w:styleId="HTMLSample">
    <w:name w:val="HTML Sample"/>
    <w:rPr>
      <w:rFonts w:ascii="Courier New" w:hAnsi="Courier New" w:cs="Courier New"/>
    </w:rPr>
  </w:style>
  <w:style w:type="character" w:customStyle="1" w:styleId="Heading8Char">
    <w:name w:val="Heading 8 Char"/>
    <w:link w:val="Heading8"/>
    <w:rPr>
      <w:rFonts w:ascii="Arial Bold" w:eastAsia="KaiTi_GB2312" w:hAnsi="Arial Bold"/>
      <w:b/>
      <w:spacing w:val="-8"/>
      <w:kern w:val="28"/>
      <w:sz w:val="28"/>
      <w:szCs w:val="28"/>
      <w:lang w:eastAsia="en-US"/>
    </w:rPr>
  </w:style>
  <w:style w:type="character" w:styleId="PageNumber">
    <w:name w:val="page number"/>
    <w:rPr>
      <w:rFonts w:ascii="Arial" w:hAnsi="Arial"/>
      <w:b w:val="0"/>
      <w:color w:val="333333"/>
      <w:sz w:val="18"/>
    </w:rPr>
  </w:style>
  <w:style w:type="character" w:styleId="HTMLTypewriter">
    <w:name w:val="HTML Typewriter"/>
    <w:rPr>
      <w:rFonts w:ascii="Courier New" w:hAnsi="Courier New" w:cs="Courier New"/>
      <w:sz w:val="20"/>
      <w:szCs w:val="20"/>
    </w:rPr>
  </w:style>
  <w:style w:type="character" w:customStyle="1" w:styleId="BodyText3Char">
    <w:name w:val="Body Text 3 Char"/>
    <w:link w:val="BodyText3"/>
    <w:rPr>
      <w:rFonts w:ascii="Arial" w:eastAsia="KaiTi_GB2312" w:hAnsi="Arial"/>
      <w:spacing w:val="-8"/>
      <w:sz w:val="16"/>
      <w:szCs w:val="16"/>
      <w:lang w:eastAsia="en-US"/>
    </w:rPr>
  </w:style>
  <w:style w:type="character" w:customStyle="1" w:styleId="HTMLAddressChar">
    <w:name w:val="HTML Address Char"/>
    <w:link w:val="HTMLAddress"/>
    <w:rPr>
      <w:rFonts w:ascii="Arial" w:eastAsia="KaiTi_GB2312" w:hAnsi="Arial"/>
      <w:i/>
      <w:iCs/>
      <w:spacing w:val="-8"/>
      <w:sz w:val="24"/>
      <w:szCs w:val="28"/>
      <w:lang w:eastAsia="en-US"/>
    </w:rPr>
  </w:style>
  <w:style w:type="character" w:customStyle="1" w:styleId="Heading3Char">
    <w:name w:val="Heading 3 Char"/>
    <w:link w:val="Heading3"/>
    <w:rPr>
      <w:rFonts w:ascii="Arial" w:eastAsia="KaiTi_GB2312" w:hAnsi="Arial"/>
      <w:spacing w:val="-8"/>
      <w:sz w:val="24"/>
      <w:szCs w:val="28"/>
      <w:lang w:eastAsia="en-US"/>
    </w:rPr>
  </w:style>
  <w:style w:type="character" w:customStyle="1" w:styleId="Partreference">
    <w:name w:val="Part reference"/>
    <w:rPr>
      <w:b/>
      <w:sz w:val="16"/>
      <w:szCs w:val="16"/>
    </w:rPr>
  </w:style>
  <w:style w:type="character" w:styleId="HTMLCode">
    <w:name w:val="HTML Code"/>
    <w:rPr>
      <w:rFonts w:ascii="Courier New" w:hAnsi="Courier New" w:cs="Courier New"/>
      <w:sz w:val="20"/>
      <w:szCs w:val="20"/>
    </w:rPr>
  </w:style>
  <w:style w:type="character" w:customStyle="1" w:styleId="SignatureChar">
    <w:name w:val="Signature Char"/>
    <w:link w:val="Signature"/>
    <w:rPr>
      <w:rFonts w:ascii="Arial" w:eastAsia="KaiTi_GB2312" w:hAnsi="Arial"/>
      <w:spacing w:val="-8"/>
      <w:sz w:val="24"/>
      <w:szCs w:val="28"/>
      <w:lang w:eastAsia="en-US"/>
    </w:rPr>
  </w:style>
  <w:style w:type="character" w:styleId="HTMLVariable">
    <w:name w:val="HTML Variable"/>
    <w:rPr>
      <w:i/>
      <w:iCs/>
    </w:rPr>
  </w:style>
  <w:style w:type="character" w:styleId="LineNumber">
    <w:name w:val="line number"/>
    <w:basedOn w:val="DefaultParagraphFont"/>
  </w:style>
  <w:style w:type="character" w:customStyle="1" w:styleId="BodyTextIndentChar">
    <w:name w:val="Body Text Indent Char"/>
    <w:link w:val="BodyTextIndent"/>
    <w:rPr>
      <w:rFonts w:ascii="Arial" w:eastAsia="KaiTi_GB2312" w:hAnsi="Arial"/>
      <w:spacing w:val="-8"/>
      <w:sz w:val="24"/>
      <w:szCs w:val="28"/>
      <w:lang w:eastAsia="en-US"/>
    </w:rPr>
  </w:style>
  <w:style w:type="character" w:customStyle="1" w:styleId="TitleChar">
    <w:name w:val="Title Char"/>
    <w:link w:val="Title"/>
    <w:rPr>
      <w:rFonts w:ascii="Arial" w:eastAsia="KaiTi_GB2312" w:hAnsi="Arial" w:cs="Arial"/>
      <w:b/>
      <w:bCs/>
      <w:spacing w:val="-8"/>
      <w:kern w:val="28"/>
      <w:sz w:val="32"/>
      <w:szCs w:val="32"/>
      <w:lang w:eastAsia="en-US"/>
    </w:rPr>
  </w:style>
  <w:style w:type="character" w:customStyle="1" w:styleId="IntenseQuoteChar">
    <w:name w:val="Intense Quote Char"/>
    <w:link w:val="IntenseQuote"/>
    <w:uiPriority w:val="30"/>
    <w:rPr>
      <w:rFonts w:ascii="Arial" w:eastAsia="KaiTi_GB2312" w:hAnsi="Arial"/>
      <w:b/>
      <w:bCs/>
      <w:i/>
      <w:iCs/>
      <w:color w:val="4F81BD"/>
      <w:spacing w:val="-8"/>
      <w:sz w:val="24"/>
      <w:szCs w:val="28"/>
      <w:lang w:eastAsia="en-US"/>
    </w:rPr>
  </w:style>
  <w:style w:type="character" w:customStyle="1" w:styleId="Heading9Char">
    <w:name w:val="Heading 9 Char"/>
    <w:link w:val="Heading9"/>
    <w:rPr>
      <w:rFonts w:ascii="Arial" w:eastAsia="KaiTi_GB2312" w:hAnsi="Arial"/>
      <w:b/>
      <w:spacing w:val="-8"/>
      <w:kern w:val="28"/>
      <w:sz w:val="28"/>
      <w:szCs w:val="28"/>
      <w:lang w:eastAsia="en-US"/>
    </w:rPr>
  </w:style>
  <w:style w:type="character" w:customStyle="1" w:styleId="BodyTextChar">
    <w:name w:val="Body Text Char"/>
    <w:link w:val="BodyText"/>
    <w:rPr>
      <w:rFonts w:ascii="Arial" w:eastAsia="KaiTi_GB2312" w:hAnsi="Arial"/>
      <w:spacing w:val="-8"/>
      <w:sz w:val="24"/>
      <w:szCs w:val="28"/>
      <w:lang w:eastAsia="en-US"/>
    </w:rPr>
  </w:style>
  <w:style w:type="character" w:customStyle="1" w:styleId="Heading7Char">
    <w:name w:val="Heading 7 Char"/>
    <w:link w:val="Heading7"/>
    <w:rPr>
      <w:rFonts w:ascii="Arial Bold" w:eastAsia="KaiTi_GB2312" w:hAnsi="Arial Bold"/>
      <w:b/>
      <w:spacing w:val="-8"/>
      <w:kern w:val="28"/>
      <w:sz w:val="28"/>
      <w:szCs w:val="28"/>
      <w:lang w:eastAsia="en-US"/>
    </w:rPr>
  </w:style>
  <w:style w:type="character" w:customStyle="1" w:styleId="FootnoteTextChar">
    <w:name w:val="Footnote Text Char"/>
    <w:link w:val="FootnoteText"/>
    <w:rPr>
      <w:rFonts w:ascii="Arial" w:eastAsia="KaiTi_GB2312" w:hAnsi="Arial"/>
      <w:sz w:val="18"/>
      <w:szCs w:val="16"/>
      <w:lang w:eastAsia="en-US"/>
    </w:rPr>
  </w:style>
  <w:style w:type="character" w:styleId="HTMLDefinition">
    <w:name w:val="HTML Definition"/>
    <w:rPr>
      <w:i/>
      <w:iCs/>
    </w:rPr>
  </w:style>
  <w:style w:type="paragraph" w:styleId="NoteHeading">
    <w:name w:val="Note Heading"/>
    <w:basedOn w:val="Normal"/>
    <w:next w:val="Normal"/>
    <w:link w:val="NoteHeadingChar"/>
  </w:style>
  <w:style w:type="paragraph" w:styleId="EnvelopeReturn">
    <w:name w:val="envelope return"/>
    <w:basedOn w:val="Normal"/>
    <w:rPr>
      <w:rFonts w:cs="Arial"/>
    </w:rPr>
  </w:style>
  <w:style w:type="paragraph" w:styleId="TOCHeading">
    <w:name w:val="TOC Heading"/>
    <w:basedOn w:val="Heading1"/>
    <w:next w:val="Normal"/>
    <w:uiPriority w:val="39"/>
    <w:qFormat/>
    <w:pPr>
      <w:keepLines/>
      <w:numPr>
        <w:numId w:val="0"/>
      </w:numPr>
      <w:pBdr>
        <w:top w:val="none" w:sz="0" w:space="0" w:color="auto"/>
      </w:pBdr>
      <w:tabs>
        <w:tab w:val="left" w:pos="567"/>
      </w:tabs>
      <w:spacing w:before="340" w:after="330" w:line="578" w:lineRule="auto"/>
      <w:outlineLvl w:val="9"/>
    </w:pPr>
    <w:rPr>
      <w:rFonts w:ascii="Arial" w:hAnsi="Arial"/>
      <w:bCs/>
      <w:kern w:val="44"/>
      <w:sz w:val="44"/>
      <w:szCs w:val="44"/>
    </w:rPr>
  </w:style>
  <w:style w:type="paragraph" w:customStyle="1" w:styleId="KWHeading">
    <w:name w:val="K&amp;W Heading"/>
    <w:basedOn w:val="KWheading1"/>
    <w:next w:val="KWBodytext"/>
    <w:pPr>
      <w:numPr>
        <w:numId w:val="0"/>
      </w:numPr>
      <w:tabs>
        <w:tab w:val="left" w:pos="567"/>
      </w:tabs>
    </w:pPr>
  </w:style>
  <w:style w:type="paragraph" w:styleId="Footer">
    <w:name w:val="footer"/>
    <w:pPr>
      <w:snapToGrid w:val="0"/>
    </w:pPr>
    <w:rPr>
      <w:rFonts w:ascii="Arial" w:eastAsia="KaiTi_GB2312" w:hAnsi="Arial"/>
      <w:color w:val="999999"/>
      <w:kern w:val="2"/>
      <w:sz w:val="18"/>
      <w:szCs w:val="18"/>
    </w:rPr>
  </w:style>
  <w:style w:type="paragraph" w:styleId="TOC8">
    <w:name w:val="toc 8"/>
    <w:basedOn w:val="Normal"/>
    <w:next w:val="Normal"/>
  </w:style>
  <w:style w:type="paragraph" w:customStyle="1" w:styleId="Instruction-Information">
    <w:name w:val="Instruction - Information"/>
    <w:basedOn w:val="Normal"/>
    <w:pPr>
      <w:spacing w:before="60" w:after="60" w:line="200" w:lineRule="atLeast"/>
    </w:pPr>
    <w:rPr>
      <w:sz w:val="16"/>
    </w:rPr>
  </w:style>
  <w:style w:type="paragraph" w:customStyle="1" w:styleId="DeedHeading">
    <w:name w:val="Deed_Heading"/>
    <w:basedOn w:val="Normal"/>
    <w:pPr>
      <w:pBdr>
        <w:top w:val="single" w:sz="12" w:space="7" w:color="auto"/>
      </w:pBdr>
      <w:spacing w:line="440" w:lineRule="exact"/>
    </w:pPr>
    <w:rPr>
      <w:rFonts w:ascii="Arial Black" w:hAnsi="Arial Black"/>
      <w:b/>
      <w:sz w:val="44"/>
    </w:rPr>
  </w:style>
  <w:style w:type="paragraph" w:styleId="Index4">
    <w:name w:val="index 4"/>
    <w:basedOn w:val="Normal"/>
    <w:next w:val="Normal"/>
    <w:pPr>
      <w:ind w:left="800" w:hanging="200"/>
    </w:pPr>
  </w:style>
  <w:style w:type="paragraph" w:customStyle="1" w:styleId="CharChar1CharCharCharCharCharCharCharCharCharCharCharCharCharCharCharCharCharCharCharCharCharCharCharCharCharCharCharCharCharCharCharCharCharCharCharCharCharChar">
    <w:name w:val="Char Char1 Char Char Char Char Char Char Char Char Char Char Char Char Char Char Char Char Char Char Char Char Char Char Char Char Char Char Char Char Char Char Char Char Char Char Char Char Char Char"/>
    <w:basedOn w:val="Normal"/>
    <w:pPr>
      <w:spacing w:after="160" w:line="240" w:lineRule="exact"/>
      <w:jc w:val="both"/>
    </w:pPr>
    <w:rPr>
      <w:rFonts w:ascii="Verdana" w:eastAsia="Times New Roman" w:hAnsi="Verdana" w:cs="Arial"/>
      <w:spacing w:val="0"/>
      <w:sz w:val="22"/>
      <w:szCs w:val="20"/>
    </w:rPr>
  </w:style>
  <w:style w:type="paragraph" w:styleId="BlockText">
    <w:name w:val="Block Text"/>
    <w:basedOn w:val="Normal"/>
    <w:next w:val="BodyText"/>
    <w:pPr>
      <w:spacing w:after="120" w:line="240" w:lineRule="atLeast"/>
      <w:ind w:left="1134"/>
    </w:pPr>
  </w:style>
  <w:style w:type="paragraph" w:customStyle="1" w:styleId="KWheading1">
    <w:name w:val="K&amp;W heading 1"/>
    <w:basedOn w:val="KWNormal"/>
    <w:next w:val="KWheading2"/>
    <w:pPr>
      <w:keepNext/>
      <w:widowControl w:val="0"/>
      <w:numPr>
        <w:numId w:val="2"/>
      </w:numPr>
      <w:spacing w:line="320" w:lineRule="exact"/>
      <w:outlineLvl w:val="0"/>
    </w:pPr>
    <w:rPr>
      <w:b/>
      <w:color w:val="auto"/>
      <w:sz w:val="28"/>
    </w:rPr>
  </w:style>
  <w:style w:type="paragraph" w:styleId="BodyTextFirstIndent2">
    <w:name w:val="Body Text First Indent 2"/>
    <w:basedOn w:val="BodyTextIndent"/>
    <w:link w:val="BodyTextFirstIndent2Char"/>
    <w:pPr>
      <w:ind w:firstLine="210"/>
    </w:pPr>
  </w:style>
  <w:style w:type="paragraph" w:styleId="CommentText">
    <w:name w:val="annotation text"/>
    <w:basedOn w:val="Normal"/>
  </w:style>
  <w:style w:type="paragraph" w:customStyle="1" w:styleId="DeedTOC">
    <w:name w:val="Deed_TOC"/>
    <w:basedOn w:val="Normal"/>
    <w:link w:val="DeedTOCChar"/>
    <w:pPr>
      <w:tabs>
        <w:tab w:val="left" w:pos="1134"/>
        <w:tab w:val="right" w:pos="7655"/>
      </w:tabs>
      <w:spacing w:before="240" w:after="240" w:line="260" w:lineRule="atLeast"/>
      <w:ind w:firstLine="567"/>
      <w:jc w:val="center"/>
    </w:pPr>
    <w:rPr>
      <w:rFonts w:ascii="Arial Bold" w:hAnsi="Arial Bold"/>
      <w:b/>
      <w:bCs/>
      <w:sz w:val="28"/>
    </w:rPr>
  </w:style>
  <w:style w:type="paragraph" w:styleId="BodyText2">
    <w:name w:val="Body Text 2"/>
    <w:basedOn w:val="Normal"/>
    <w:link w:val="BodyText2Char"/>
    <w:pPr>
      <w:spacing w:after="120" w:line="480" w:lineRule="auto"/>
    </w:pPr>
  </w:style>
  <w:style w:type="paragraph" w:styleId="DocumentMap">
    <w:name w:val="Document Map"/>
    <w:basedOn w:val="Normal"/>
    <w:link w:val="DocumentMapChar"/>
    <w:pPr>
      <w:shd w:val="clear" w:color="auto" w:fill="000080"/>
    </w:pPr>
    <w:rPr>
      <w:rFonts w:ascii="Tahoma" w:hAnsi="Tahoma" w:cs="Tahoma"/>
    </w:rPr>
  </w:style>
  <w:style w:type="paragraph" w:styleId="Index9">
    <w:name w:val="index 9"/>
    <w:basedOn w:val="Normal"/>
    <w:next w:val="Normal"/>
    <w:pPr>
      <w:ind w:left="1800" w:hanging="200"/>
    </w:pPr>
  </w:style>
  <w:style w:type="paragraph" w:customStyle="1" w:styleId="StyleStyleDeedPartiesBoldBold">
    <w:name w:val="Style Style Deed_Parties + Bold + Bold"/>
    <w:basedOn w:val="StyleDeedPartiesBold"/>
    <w:pPr>
      <w:ind w:left="539" w:hanging="539"/>
    </w:pPr>
    <w:rPr>
      <w:b/>
      <w:bCs/>
    </w:rPr>
  </w:style>
  <w:style w:type="paragraph" w:styleId="ListBullet4">
    <w:name w:val="List Bullet 4"/>
    <w:basedOn w:val="Normal"/>
    <w:pPr>
      <w:numPr>
        <w:numId w:val="3"/>
      </w:numPr>
      <w:tabs>
        <w:tab w:val="clear" w:pos="1209"/>
        <w:tab w:val="left" w:pos="360"/>
      </w:tabs>
      <w:ind w:left="0" w:firstLine="0"/>
    </w:pPr>
  </w:style>
  <w:style w:type="paragraph" w:styleId="EndnoteText">
    <w:name w:val="endnote text"/>
    <w:basedOn w:val="KWNormal"/>
    <w:link w:val="EndnoteTextChar"/>
    <w:pPr>
      <w:spacing w:afterLines="50" w:after="50" w:line="240" w:lineRule="auto"/>
      <w:ind w:left="85" w:hanging="85"/>
      <w:jc w:val="left"/>
    </w:pPr>
    <w:rPr>
      <w:color w:val="auto"/>
      <w:sz w:val="18"/>
    </w:rPr>
  </w:style>
  <w:style w:type="paragraph" w:customStyle="1" w:styleId="KWSch3">
    <w:name w:val="K&amp;W Sch 3"/>
    <w:basedOn w:val="KWheading3"/>
    <w:pPr>
      <w:numPr>
        <w:numId w:val="4"/>
      </w:numPr>
      <w:tabs>
        <w:tab w:val="left" w:pos="1701"/>
        <w:tab w:val="left" w:pos="8506"/>
      </w:tabs>
    </w:pPr>
  </w:style>
  <w:style w:type="paragraph" w:customStyle="1" w:styleId="KWListNumber">
    <w:name w:val="K&amp;W List Number"/>
    <w:basedOn w:val="KWNormal"/>
    <w:pPr>
      <w:numPr>
        <w:numId w:val="5"/>
      </w:numPr>
      <w:tabs>
        <w:tab w:val="left" w:pos="1701"/>
      </w:tabs>
      <w:spacing w:line="320" w:lineRule="exact"/>
    </w:pPr>
  </w:style>
  <w:style w:type="paragraph" w:styleId="TOC1">
    <w:name w:val="toc 1"/>
    <w:basedOn w:val="KWNormal"/>
    <w:next w:val="KWNormal"/>
    <w:uiPriority w:val="39"/>
    <w:pPr>
      <w:tabs>
        <w:tab w:val="left" w:pos="1701"/>
        <w:tab w:val="right" w:leader="dot" w:pos="8094"/>
      </w:tabs>
      <w:spacing w:after="240"/>
      <w:ind w:left="1701" w:right="1985" w:hanging="567"/>
      <w:jc w:val="left"/>
    </w:pPr>
  </w:style>
  <w:style w:type="paragraph" w:customStyle="1" w:styleId="KWNormal">
    <w:name w:val="K&amp;W Normal"/>
    <w:link w:val="KWNormalChar"/>
    <w:pPr>
      <w:spacing w:after="360" w:line="320" w:lineRule="atLeast"/>
      <w:jc w:val="both"/>
    </w:pPr>
    <w:rPr>
      <w:rFonts w:ascii="Arial" w:eastAsia="KaiTi_GB2312" w:hAnsi="Arial"/>
      <w:color w:val="000000"/>
      <w:sz w:val="24"/>
      <w:lang w:eastAsia="en-US"/>
    </w:rPr>
  </w:style>
  <w:style w:type="paragraph" w:styleId="TOC3">
    <w:name w:val="toc 3"/>
    <w:basedOn w:val="TOC2"/>
    <w:pPr>
      <w:ind w:left="2835"/>
    </w:pPr>
  </w:style>
  <w:style w:type="paragraph" w:customStyle="1" w:styleId="BodyTextNoIndent">
    <w:name w:val="Body Text No Indent"/>
    <w:basedOn w:val="BodyText"/>
    <w:pPr>
      <w:ind w:left="0"/>
    </w:pPr>
  </w:style>
  <w:style w:type="paragraph" w:styleId="TOC5">
    <w:name w:val="toc 5"/>
    <w:basedOn w:val="TOC4"/>
    <w:pPr>
      <w:ind w:left="3969"/>
    </w:pPr>
  </w:style>
  <w:style w:type="paragraph" w:styleId="BodyTextIndent">
    <w:name w:val="Body Text Indent"/>
    <w:basedOn w:val="Normal"/>
    <w:link w:val="BodyTextIndentChar"/>
    <w:pPr>
      <w:spacing w:after="120"/>
      <w:ind w:left="283"/>
    </w:pPr>
  </w:style>
  <w:style w:type="paragraph" w:customStyle="1" w:styleId="KWSubheading">
    <w:name w:val="K&amp;W Subheading"/>
    <w:basedOn w:val="KWheading2"/>
    <w:next w:val="KWBodytext"/>
    <w:pPr>
      <w:numPr>
        <w:ilvl w:val="0"/>
        <w:numId w:val="0"/>
      </w:numPr>
    </w:pPr>
    <w:rPr>
      <w:kern w:val="28"/>
    </w:rPr>
  </w:style>
  <w:style w:type="paragraph" w:styleId="Index5">
    <w:name w:val="index 5"/>
    <w:basedOn w:val="Normal"/>
    <w:next w:val="Normal"/>
    <w:pPr>
      <w:ind w:left="1000" w:hanging="200"/>
    </w:pPr>
  </w:style>
  <w:style w:type="paragraph" w:customStyle="1" w:styleId="ListBulletSmall">
    <w:name w:val="List Bullet Small"/>
    <w:basedOn w:val="ListBullet"/>
    <w:pPr>
      <w:numPr>
        <w:numId w:val="0"/>
      </w:numPr>
      <w:tabs>
        <w:tab w:val="left" w:pos="1701"/>
      </w:tabs>
      <w:spacing w:after="0"/>
    </w:pPr>
    <w:rPr>
      <w:sz w:val="16"/>
    </w:rPr>
  </w:style>
  <w:style w:type="paragraph" w:styleId="TableofFigures">
    <w:name w:val="table of figures"/>
    <w:basedOn w:val="Normal"/>
    <w:next w:val="Normal"/>
    <w:pPr>
      <w:ind w:left="400" w:hanging="400"/>
    </w:pPr>
  </w:style>
  <w:style w:type="paragraph" w:styleId="List3">
    <w:name w:val="List 3"/>
    <w:basedOn w:val="Normal"/>
    <w:pPr>
      <w:ind w:left="849" w:hanging="283"/>
    </w:pPr>
  </w:style>
  <w:style w:type="paragraph" w:styleId="FootnoteText">
    <w:name w:val="footnote text"/>
    <w:basedOn w:val="KWNormal"/>
    <w:link w:val="FootnoteTextChar"/>
    <w:pPr>
      <w:spacing w:afterLines="50" w:after="50" w:line="240" w:lineRule="auto"/>
      <w:ind w:left="85" w:hanging="85"/>
      <w:jc w:val="left"/>
    </w:pPr>
    <w:rPr>
      <w:color w:val="auto"/>
      <w:sz w:val="18"/>
      <w:szCs w:val="16"/>
    </w:rPr>
  </w:style>
  <w:style w:type="paragraph" w:styleId="Index8">
    <w:name w:val="index 8"/>
    <w:basedOn w:val="Normal"/>
    <w:next w:val="Normal"/>
    <w:pPr>
      <w:ind w:left="1600" w:hanging="200"/>
    </w:pPr>
  </w:style>
  <w:style w:type="paragraph" w:styleId="ListContinue4">
    <w:name w:val="List Continue 4"/>
    <w:basedOn w:val="Normal"/>
    <w:pPr>
      <w:spacing w:after="120"/>
      <w:ind w:left="1132"/>
    </w:pPr>
  </w:style>
  <w:style w:type="paragraph" w:styleId="ListNumber2">
    <w:name w:val="List Number 2"/>
    <w:basedOn w:val="Normal"/>
    <w:pPr>
      <w:numPr>
        <w:numId w:val="6"/>
      </w:numPr>
      <w:tabs>
        <w:tab w:val="left" w:pos="360"/>
      </w:tabs>
      <w:ind w:left="0" w:firstLine="0"/>
    </w:pPr>
  </w:style>
  <w:style w:type="paragraph" w:styleId="Date">
    <w:name w:val="Date"/>
    <w:basedOn w:val="Normal"/>
    <w:next w:val="Normal"/>
    <w:link w:val="DateChar"/>
  </w:style>
  <w:style w:type="paragraph" w:styleId="ListParagraph">
    <w:name w:val="List Paragraph"/>
    <w:basedOn w:val="Normal"/>
    <w:uiPriority w:val="34"/>
    <w:qFormat/>
    <w:pPr>
      <w:ind w:firstLineChars="200" w:firstLine="420"/>
    </w:pPr>
  </w:style>
  <w:style w:type="paragraph" w:styleId="PlainText">
    <w:name w:val="Plain Text"/>
    <w:basedOn w:val="Normal"/>
    <w:rPr>
      <w:rFonts w:ascii="Courier New" w:hAnsi="Courier New" w:cs="Courier New"/>
    </w:rPr>
  </w:style>
  <w:style w:type="paragraph" w:styleId="TOC2">
    <w:name w:val="toc 2"/>
    <w:basedOn w:val="TOC1"/>
    <w:uiPriority w:val="39"/>
    <w:pPr>
      <w:ind w:left="2268"/>
    </w:pPr>
    <w:rPr>
      <w:lang w:eastAsia="zh-CN"/>
    </w:rPr>
  </w:style>
  <w:style w:type="paragraph" w:styleId="Revision">
    <w:name w:val="Revision"/>
    <w:uiPriority w:val="99"/>
    <w:semiHidden/>
    <w:rPr>
      <w:rFonts w:ascii="Arial" w:eastAsia="KaiTi_GB2312" w:hAnsi="Arial"/>
      <w:spacing w:val="-8"/>
      <w:sz w:val="24"/>
      <w:szCs w:val="28"/>
      <w:lang w:eastAsia="en-US"/>
    </w:rPr>
  </w:style>
  <w:style w:type="paragraph" w:styleId="TOC4">
    <w:name w:val="toc 4"/>
    <w:basedOn w:val="TOC3"/>
    <w:uiPriority w:val="39"/>
    <w:pPr>
      <w:ind w:left="2268" w:hanging="1134"/>
    </w:pPr>
  </w:style>
  <w:style w:type="paragraph" w:customStyle="1" w:styleId="KWheading5">
    <w:name w:val="K&amp;W heading 5"/>
    <w:basedOn w:val="KWNormal"/>
    <w:pPr>
      <w:numPr>
        <w:ilvl w:val="4"/>
        <w:numId w:val="2"/>
      </w:numPr>
      <w:tabs>
        <w:tab w:val="left" w:pos="2835"/>
      </w:tabs>
      <w:spacing w:line="320" w:lineRule="exact"/>
      <w:outlineLvl w:val="4"/>
    </w:pPr>
    <w:rPr>
      <w:color w:val="auto"/>
    </w:rPr>
  </w:style>
  <w:style w:type="paragraph" w:styleId="ListBullet3">
    <w:name w:val="List Bullet 3"/>
    <w:basedOn w:val="Normal"/>
    <w:pPr>
      <w:numPr>
        <w:numId w:val="7"/>
      </w:numPr>
      <w:tabs>
        <w:tab w:val="clear" w:pos="926"/>
        <w:tab w:val="left" w:pos="360"/>
      </w:tabs>
      <w:ind w:left="0" w:firstLine="0"/>
    </w:pPr>
  </w:style>
  <w:style w:type="paragraph" w:styleId="Index1">
    <w:name w:val="index 1"/>
    <w:basedOn w:val="Normal"/>
    <w:next w:val="Normal"/>
    <w:pPr>
      <w:ind w:left="200" w:hanging="200"/>
    </w:pPr>
  </w:style>
  <w:style w:type="paragraph" w:customStyle="1" w:styleId="PrecListBullet">
    <w:name w:val="Prec List Bullet"/>
    <w:basedOn w:val="ListBullet"/>
    <w:pPr>
      <w:numPr>
        <w:numId w:val="8"/>
      </w:numPr>
      <w:tabs>
        <w:tab w:val="clear" w:pos="284"/>
        <w:tab w:val="left" w:pos="360"/>
        <w:tab w:val="left" w:pos="1701"/>
      </w:tabs>
      <w:spacing w:before="60" w:after="60"/>
      <w:ind w:left="0" w:firstLine="0"/>
    </w:pPr>
    <w:rPr>
      <w:sz w:val="16"/>
    </w:rPr>
  </w:style>
  <w:style w:type="paragraph" w:styleId="MessageHeader">
    <w:name w:val="Message Header"/>
    <w:basedOn w:val="Normal"/>
    <w:link w:val="MessageHeaderChar"/>
    <w:pPr>
      <w:pBdr>
        <w:top w:val="single" w:sz="6" w:space="1" w:color="auto"/>
        <w:left w:val="single" w:sz="6" w:space="1" w:color="auto"/>
        <w:bottom w:val="single" w:sz="6" w:space="1" w:color="auto"/>
        <w:right w:val="single" w:sz="6" w:space="1" w:color="auto"/>
      </w:pBdr>
      <w:shd w:val="pct20" w:color="auto" w:fill="auto"/>
      <w:ind w:left="1134" w:hanging="1134"/>
    </w:pPr>
    <w:rPr>
      <w:rFonts w:cs="Arial"/>
      <w:szCs w:val="24"/>
    </w:rPr>
  </w:style>
  <w:style w:type="paragraph" w:styleId="EnvelopeAddress">
    <w:name w:val="envelope address"/>
    <w:basedOn w:val="Normal"/>
    <w:pPr>
      <w:framePr w:w="7920" w:h="1980" w:hRule="exact" w:hSpace="180" w:wrap="around" w:hAnchor="page" w:xAlign="center" w:yAlign="bottom"/>
      <w:ind w:left="2880"/>
    </w:pPr>
    <w:rPr>
      <w:rFonts w:cs="Arial"/>
      <w:szCs w:val="24"/>
    </w:rPr>
  </w:style>
  <w:style w:type="paragraph" w:customStyle="1" w:styleId="KWHeading1NoNumber">
    <w:name w:val="K&amp;W Heading 1 No Number"/>
    <w:basedOn w:val="KWheading1"/>
    <w:next w:val="KWNormal"/>
    <w:pPr>
      <w:widowControl/>
      <w:numPr>
        <w:numId w:val="0"/>
      </w:numPr>
      <w:tabs>
        <w:tab w:val="left" w:pos="567"/>
      </w:tabs>
      <w:spacing w:after="440" w:line="240" w:lineRule="auto"/>
    </w:pPr>
    <w:rPr>
      <w:sz w:val="36"/>
    </w:rPr>
  </w:style>
  <w:style w:type="paragraph" w:styleId="ListBullet">
    <w:name w:val="List Bullet"/>
    <w:basedOn w:val="BodyText"/>
    <w:pPr>
      <w:numPr>
        <w:numId w:val="9"/>
      </w:numPr>
      <w:tabs>
        <w:tab w:val="left" w:pos="1701"/>
      </w:tabs>
    </w:pPr>
  </w:style>
  <w:style w:type="paragraph" w:styleId="Quote">
    <w:name w:val="Quote"/>
    <w:basedOn w:val="Normal"/>
    <w:next w:val="Normal"/>
    <w:link w:val="QuoteChar"/>
    <w:uiPriority w:val="29"/>
    <w:qFormat/>
    <w:rPr>
      <w:i/>
      <w:iCs/>
      <w:color w:val="000000"/>
    </w:rPr>
  </w:style>
  <w:style w:type="paragraph" w:styleId="List5">
    <w:name w:val="List 5"/>
    <w:basedOn w:val="Normal"/>
    <w:pPr>
      <w:ind w:left="1415" w:hanging="283"/>
    </w:pPr>
  </w:style>
  <w:style w:type="paragraph" w:customStyle="1" w:styleId="Sch1">
    <w:name w:val="Sch 1"/>
    <w:basedOn w:val="Heading1"/>
    <w:next w:val="BodyText"/>
    <w:pPr>
      <w:numPr>
        <w:numId w:val="0"/>
      </w:numPr>
      <w:pBdr>
        <w:top w:val="single" w:sz="4" w:space="6" w:color="auto"/>
      </w:pBdr>
      <w:tabs>
        <w:tab w:val="left" w:pos="567"/>
      </w:tabs>
      <w:ind w:left="567" w:hanging="567"/>
    </w:pPr>
    <w:rPr>
      <w:rFonts w:eastAsia="Times New Roman"/>
      <w:b w:val="0"/>
      <w:color w:val="195988"/>
      <w:spacing w:val="0"/>
    </w:rPr>
  </w:style>
  <w:style w:type="paragraph" w:customStyle="1" w:styleId="PrecBodyText">
    <w:name w:val="Prec_BodyText"/>
    <w:basedOn w:val="Normal"/>
    <w:pPr>
      <w:spacing w:after="240" w:line="240" w:lineRule="atLeast"/>
    </w:pPr>
    <w:rPr>
      <w:rFonts w:cs="Arial"/>
      <w:color w:val="195988"/>
      <w:spacing w:val="0"/>
      <w:szCs w:val="20"/>
    </w:rPr>
  </w:style>
  <w:style w:type="paragraph" w:customStyle="1" w:styleId="DeedAttachment">
    <w:name w:val="Deed_Attachment"/>
    <w:basedOn w:val="Normal"/>
    <w:next w:val="BodyText"/>
    <w:semiHidden/>
    <w:pPr>
      <w:numPr>
        <w:numId w:val="10"/>
      </w:numPr>
      <w:tabs>
        <w:tab w:val="clear" w:pos="284"/>
        <w:tab w:val="left" w:pos="360"/>
      </w:tabs>
      <w:spacing w:line="260" w:lineRule="atLeast"/>
      <w:ind w:left="0" w:firstLine="0"/>
    </w:pPr>
    <w:rPr>
      <w:rFonts w:ascii="Arial Bold" w:hAnsi="Arial Bold"/>
      <w:b/>
      <w:bCs/>
      <w:color w:val="195988"/>
      <w:sz w:val="28"/>
    </w:rPr>
  </w:style>
  <w:style w:type="paragraph" w:styleId="TOC6">
    <w:name w:val="toc 6"/>
    <w:basedOn w:val="Normal"/>
    <w:next w:val="Normal"/>
  </w:style>
  <w:style w:type="paragraph" w:customStyle="1" w:styleId="KWSch4">
    <w:name w:val="K&amp;W Sch 4"/>
    <w:basedOn w:val="KWheading4"/>
    <w:pPr>
      <w:numPr>
        <w:numId w:val="4"/>
      </w:numPr>
      <w:tabs>
        <w:tab w:val="left" w:pos="2268"/>
      </w:tabs>
    </w:pPr>
  </w:style>
  <w:style w:type="paragraph" w:styleId="Index3">
    <w:name w:val="index 3"/>
    <w:basedOn w:val="Normal"/>
    <w:next w:val="Normal"/>
    <w:pPr>
      <w:ind w:left="600" w:hanging="200"/>
    </w:pPr>
  </w:style>
  <w:style w:type="paragraph" w:customStyle="1" w:styleId="Sch2">
    <w:name w:val="Sch 2"/>
    <w:basedOn w:val="Heading2"/>
    <w:next w:val="BodyText"/>
    <w:pPr>
      <w:numPr>
        <w:ilvl w:val="0"/>
        <w:numId w:val="0"/>
      </w:numPr>
      <w:tabs>
        <w:tab w:val="left" w:pos="567"/>
      </w:tabs>
      <w:ind w:left="1134" w:hanging="567"/>
    </w:pPr>
    <w:rPr>
      <w:rFonts w:ascii="Arial Bold" w:eastAsia="Times New Roman" w:hAnsi="Arial Bold"/>
      <w:color w:val="333333"/>
      <w:spacing w:val="0"/>
      <w:sz w:val="20"/>
      <w:szCs w:val="20"/>
    </w:rPr>
  </w:style>
  <w:style w:type="paragraph" w:customStyle="1" w:styleId="Sch4">
    <w:name w:val="Sch 4"/>
    <w:basedOn w:val="Heading4"/>
    <w:pPr>
      <w:numPr>
        <w:ilvl w:val="0"/>
        <w:numId w:val="0"/>
      </w:numPr>
      <w:ind w:left="2268" w:hanging="567"/>
    </w:pPr>
    <w:rPr>
      <w:rFonts w:eastAsia="Times New Roman"/>
      <w:color w:val="333333"/>
      <w:spacing w:val="0"/>
      <w:sz w:val="20"/>
      <w:szCs w:val="20"/>
    </w:rPr>
  </w:style>
  <w:style w:type="paragraph" w:styleId="HTMLAddress">
    <w:name w:val="HTML Address"/>
    <w:basedOn w:val="Normal"/>
    <w:link w:val="HTMLAddressChar"/>
    <w:rPr>
      <w:i/>
      <w:iCs/>
    </w:rPr>
  </w:style>
  <w:style w:type="paragraph" w:styleId="HTMLPreformatted">
    <w:name w:val="HTML Preformatted"/>
    <w:basedOn w:val="Normal"/>
    <w:link w:val="HTMLPreformattedChar"/>
    <w:rPr>
      <w:rFonts w:ascii="Courier New" w:hAnsi="Courier New" w:cs="Courier New"/>
    </w:rPr>
  </w:style>
  <w:style w:type="paragraph" w:styleId="Salutation">
    <w:name w:val="Salutation"/>
    <w:basedOn w:val="Normal"/>
    <w:next w:val="Normal"/>
    <w:link w:val="SalutationChar"/>
  </w:style>
  <w:style w:type="paragraph" w:customStyle="1" w:styleId="KWheading3">
    <w:name w:val="K&amp;W heading 3"/>
    <w:basedOn w:val="KWNormal"/>
    <w:link w:val="KWheading3Char"/>
    <w:pPr>
      <w:numPr>
        <w:ilvl w:val="2"/>
        <w:numId w:val="2"/>
      </w:numPr>
      <w:tabs>
        <w:tab w:val="left" w:pos="8506"/>
      </w:tabs>
      <w:spacing w:line="320" w:lineRule="exact"/>
      <w:outlineLvl w:val="2"/>
    </w:pPr>
    <w:rPr>
      <w:color w:val="auto"/>
    </w:rPr>
  </w:style>
  <w:style w:type="paragraph" w:styleId="TOAHeading">
    <w:name w:val="toa heading"/>
    <w:basedOn w:val="Normal"/>
    <w:next w:val="Normal"/>
    <w:pPr>
      <w:spacing w:before="120"/>
    </w:pPr>
    <w:rPr>
      <w:rFonts w:cs="Arial"/>
      <w:b/>
      <w:bCs/>
      <w:szCs w:val="24"/>
    </w:rPr>
  </w:style>
  <w:style w:type="paragraph" w:styleId="ListNumber">
    <w:name w:val="List Number"/>
    <w:basedOn w:val="BodyText"/>
    <w:pPr>
      <w:numPr>
        <w:numId w:val="11"/>
      </w:numPr>
      <w:tabs>
        <w:tab w:val="clear" w:pos="1701"/>
        <w:tab w:val="left" w:pos="360"/>
      </w:tabs>
      <w:ind w:left="0" w:firstLine="0"/>
    </w:pPr>
  </w:style>
  <w:style w:type="paragraph" w:customStyle="1" w:styleId="KWSch1">
    <w:name w:val="K&amp;W Sch 1"/>
    <w:basedOn w:val="KWheading1"/>
    <w:next w:val="KWBodytext"/>
    <w:pPr>
      <w:numPr>
        <w:numId w:val="4"/>
      </w:numPr>
      <w:tabs>
        <w:tab w:val="left" w:pos="567"/>
      </w:tabs>
    </w:pPr>
    <w:rPr>
      <w:szCs w:val="28"/>
    </w:rPr>
  </w:style>
  <w:style w:type="paragraph" w:customStyle="1" w:styleId="KWHeading6">
    <w:name w:val="K&amp;W Heading 6"/>
    <w:basedOn w:val="KWheading1"/>
    <w:next w:val="KWBodytext"/>
    <w:pPr>
      <w:widowControl/>
      <w:numPr>
        <w:ilvl w:val="5"/>
      </w:numPr>
      <w:tabs>
        <w:tab w:val="left" w:pos="5813"/>
      </w:tabs>
      <w:spacing w:after="440" w:line="240" w:lineRule="auto"/>
      <w:outlineLvl w:val="5"/>
    </w:pPr>
    <w:rPr>
      <w:sz w:val="36"/>
      <w:lang w:eastAsia="zh-CN"/>
    </w:rPr>
  </w:style>
  <w:style w:type="paragraph" w:styleId="NormalWeb">
    <w:name w:val="Normal (Web)"/>
    <w:basedOn w:val="Normal"/>
    <w:rPr>
      <w:szCs w:val="24"/>
    </w:rPr>
  </w:style>
  <w:style w:type="paragraph" w:styleId="BodyText">
    <w:name w:val="Body Text"/>
    <w:basedOn w:val="Normal"/>
    <w:link w:val="BodyTextChar"/>
    <w:pPr>
      <w:spacing w:after="240"/>
      <w:ind w:left="1134"/>
    </w:pPr>
  </w:style>
  <w:style w:type="paragraph" w:customStyle="1" w:styleId="KWHeading8">
    <w:name w:val="K&amp;W Heading 8"/>
    <w:basedOn w:val="KWheading1"/>
    <w:next w:val="KWBodytext"/>
    <w:pPr>
      <w:numPr>
        <w:ilvl w:val="7"/>
      </w:numPr>
      <w:tabs>
        <w:tab w:val="left" w:pos="567"/>
      </w:tabs>
      <w:spacing w:after="440" w:line="240" w:lineRule="auto"/>
      <w:ind w:left="1701" w:hanging="1701"/>
      <w:outlineLvl w:val="7"/>
    </w:pPr>
    <w:rPr>
      <w:sz w:val="36"/>
    </w:rPr>
  </w:style>
  <w:style w:type="paragraph" w:customStyle="1" w:styleId="KWSch2">
    <w:name w:val="K&amp;W Sch 2"/>
    <w:basedOn w:val="KWheading2"/>
    <w:next w:val="KWBodytext"/>
    <w:pPr>
      <w:numPr>
        <w:numId w:val="4"/>
      </w:numPr>
      <w:tabs>
        <w:tab w:val="left" w:pos="567"/>
        <w:tab w:val="left" w:pos="1844"/>
      </w:tabs>
    </w:pPr>
    <w:rPr>
      <w:b/>
    </w:rPr>
  </w:style>
  <w:style w:type="paragraph" w:styleId="Signature">
    <w:name w:val="Signature"/>
    <w:basedOn w:val="Normal"/>
    <w:link w:val="SignatureChar"/>
    <w:pPr>
      <w:ind w:left="4252"/>
    </w:pPr>
  </w:style>
  <w:style w:type="paragraph" w:styleId="TableofAuthorities">
    <w:name w:val="table of authorities"/>
    <w:basedOn w:val="Normal"/>
    <w:next w:val="Normal"/>
    <w:pPr>
      <w:ind w:left="200" w:hanging="200"/>
    </w:pPr>
  </w:style>
  <w:style w:type="paragraph" w:styleId="Header">
    <w:name w:val="header"/>
    <w:basedOn w:val="Normal"/>
  </w:style>
  <w:style w:type="paragraph" w:customStyle="1" w:styleId="DeedSubHeading">
    <w:name w:val="Deed_SubHeading"/>
    <w:basedOn w:val="Normal"/>
    <w:pPr>
      <w:spacing w:before="120" w:line="440" w:lineRule="exact"/>
    </w:pPr>
    <w:rPr>
      <w:b/>
      <w:sz w:val="36"/>
    </w:rPr>
  </w:style>
  <w:style w:type="paragraph" w:styleId="List2">
    <w:name w:val="List 2"/>
    <w:basedOn w:val="Normal"/>
    <w:pPr>
      <w:ind w:left="566" w:hanging="283"/>
    </w:pPr>
  </w:style>
  <w:style w:type="paragraph" w:styleId="Closing">
    <w:name w:val="Closing"/>
    <w:basedOn w:val="Normal"/>
    <w:link w:val="ClosingChar"/>
    <w:pPr>
      <w:ind w:left="4252"/>
    </w:pPr>
  </w:style>
  <w:style w:type="paragraph" w:styleId="BodyText3">
    <w:name w:val="Body Text 3"/>
    <w:basedOn w:val="Normal"/>
    <w:link w:val="BodyText3Char"/>
    <w:pPr>
      <w:spacing w:after="120"/>
    </w:pPr>
    <w:rPr>
      <w:sz w:val="16"/>
      <w:szCs w:val="16"/>
    </w:rPr>
  </w:style>
  <w:style w:type="paragraph" w:customStyle="1" w:styleId="KWheading2">
    <w:name w:val="K&amp;W heading 2"/>
    <w:basedOn w:val="KWNormal"/>
    <w:pPr>
      <w:keepNext/>
      <w:widowControl w:val="0"/>
      <w:numPr>
        <w:ilvl w:val="1"/>
        <w:numId w:val="2"/>
      </w:numPr>
      <w:tabs>
        <w:tab w:val="left" w:pos="1844"/>
      </w:tabs>
      <w:spacing w:line="320" w:lineRule="exact"/>
      <w:outlineLvl w:val="1"/>
    </w:pPr>
    <w:rPr>
      <w:color w:val="auto"/>
    </w:rPr>
  </w:style>
  <w:style w:type="paragraph" w:styleId="TOC7">
    <w:name w:val="toc 7"/>
    <w:basedOn w:val="Normal"/>
    <w:next w:val="Normal"/>
  </w:style>
  <w:style w:type="paragraph" w:customStyle="1" w:styleId="Sch3">
    <w:name w:val="Sch 3"/>
    <w:basedOn w:val="Heading3"/>
    <w:pPr>
      <w:numPr>
        <w:ilvl w:val="0"/>
        <w:numId w:val="0"/>
      </w:numPr>
      <w:tabs>
        <w:tab w:val="left" w:pos="567"/>
      </w:tabs>
      <w:ind w:left="1701" w:hanging="567"/>
    </w:pPr>
    <w:rPr>
      <w:rFonts w:eastAsia="Times New Roman"/>
      <w:color w:val="333333"/>
      <w:spacing w:val="0"/>
      <w:sz w:val="20"/>
      <w:szCs w:val="20"/>
    </w:rPr>
  </w:style>
  <w:style w:type="paragraph" w:customStyle="1" w:styleId="Prectitle">
    <w:name w:val="Prec__title"/>
    <w:basedOn w:val="Normal"/>
    <w:pPr>
      <w:spacing w:line="240" w:lineRule="atLeast"/>
      <w:ind w:right="2552"/>
    </w:pPr>
    <w:rPr>
      <w:rFonts w:cs="Arial"/>
      <w:b/>
      <w:bCs/>
      <w:color w:val="195988"/>
      <w:spacing w:val="0"/>
      <w:sz w:val="36"/>
      <w:szCs w:val="20"/>
    </w:rPr>
  </w:style>
  <w:style w:type="paragraph" w:styleId="Subtitle">
    <w:name w:val="Subtitle"/>
    <w:basedOn w:val="Normal"/>
    <w:link w:val="SubtitleChar"/>
    <w:qFormat/>
    <w:pPr>
      <w:spacing w:after="60"/>
      <w:jc w:val="center"/>
      <w:outlineLvl w:val="1"/>
    </w:pPr>
    <w:rPr>
      <w:rFonts w:cs="Arial"/>
      <w:szCs w:val="24"/>
    </w:rPr>
  </w:style>
  <w:style w:type="paragraph" w:styleId="MacroText">
    <w:name w:val="macro"/>
    <w:link w:val="MacroTextChar"/>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color w:val="333333"/>
      <w:lang w:eastAsia="en-US"/>
    </w:rPr>
  </w:style>
  <w:style w:type="paragraph" w:customStyle="1" w:styleId="DeedParties">
    <w:name w:val="Deed_Parties"/>
    <w:basedOn w:val="BodyText"/>
    <w:pPr>
      <w:tabs>
        <w:tab w:val="left" w:pos="360"/>
      </w:tabs>
      <w:spacing w:after="120"/>
      <w:ind w:left="0"/>
    </w:pPr>
  </w:style>
  <w:style w:type="paragraph" w:styleId="IndexHeading">
    <w:name w:val="index heading"/>
    <w:basedOn w:val="Normal"/>
    <w:next w:val="Index1"/>
    <w:rPr>
      <w:rFonts w:cs="Arial"/>
      <w:b/>
      <w:bCs/>
    </w:rPr>
  </w:style>
  <w:style w:type="paragraph" w:styleId="BalloonText">
    <w:name w:val="Balloon Text"/>
    <w:basedOn w:val="KWNormal"/>
    <w:link w:val="BalloonTextChar"/>
    <w:pPr>
      <w:spacing w:after="0" w:line="240" w:lineRule="auto"/>
      <w:jc w:val="left"/>
    </w:pPr>
    <w:rPr>
      <w:rFonts w:cs="Tahoma"/>
      <w:szCs w:val="16"/>
    </w:rPr>
  </w:style>
  <w:style w:type="paragraph" w:customStyle="1" w:styleId="StyleBodyTextArialBlackBefore12pt">
    <w:name w:val="Style Body Text + Arial Black Before:  12 pt"/>
    <w:basedOn w:val="BodyText"/>
    <w:pPr>
      <w:spacing w:before="240"/>
      <w:ind w:left="567"/>
    </w:pPr>
    <w:rPr>
      <w:rFonts w:ascii="Arial Black" w:hAnsi="Arial Black"/>
    </w:rPr>
  </w:style>
  <w:style w:type="paragraph" w:styleId="BodyTextIndent2">
    <w:name w:val="Body Text Indent 2"/>
    <w:basedOn w:val="Normal"/>
    <w:link w:val="BodyTextIndent2Char"/>
    <w:pPr>
      <w:spacing w:after="120" w:line="480" w:lineRule="auto"/>
      <w:ind w:left="283"/>
    </w:pPr>
  </w:style>
  <w:style w:type="paragraph" w:customStyle="1" w:styleId="KWheading4">
    <w:name w:val="K&amp;W heading 4"/>
    <w:basedOn w:val="KWNormal"/>
    <w:pPr>
      <w:numPr>
        <w:ilvl w:val="3"/>
        <w:numId w:val="2"/>
      </w:numPr>
      <w:tabs>
        <w:tab w:val="left" w:pos="2268"/>
      </w:tabs>
      <w:spacing w:line="320" w:lineRule="exact"/>
      <w:outlineLvl w:val="3"/>
    </w:pPr>
    <w:rPr>
      <w:color w:val="auto"/>
    </w:rPr>
  </w:style>
  <w:style w:type="paragraph" w:styleId="ListNumber4">
    <w:name w:val="List Number 4"/>
    <w:basedOn w:val="Normal"/>
    <w:pPr>
      <w:numPr>
        <w:numId w:val="13"/>
      </w:numPr>
      <w:tabs>
        <w:tab w:val="clear" w:pos="1209"/>
        <w:tab w:val="left" w:pos="360"/>
      </w:tabs>
      <w:ind w:left="0" w:firstLine="0"/>
    </w:pPr>
  </w:style>
  <w:style w:type="paragraph" w:customStyle="1" w:styleId="KWHeading1Signing">
    <w:name w:val="K&amp;W Heading 1 Signing"/>
    <w:basedOn w:val="KWheading1"/>
    <w:next w:val="KWNormal"/>
    <w:pPr>
      <w:numPr>
        <w:numId w:val="0"/>
      </w:numPr>
      <w:tabs>
        <w:tab w:val="left" w:pos="567"/>
      </w:tabs>
      <w:spacing w:after="440" w:line="240" w:lineRule="auto"/>
    </w:pPr>
    <w:rPr>
      <w:sz w:val="36"/>
    </w:rPr>
  </w:style>
  <w:style w:type="paragraph" w:styleId="ListBullet2">
    <w:name w:val="List Bullet 2"/>
    <w:basedOn w:val="BodyText"/>
    <w:pPr>
      <w:numPr>
        <w:numId w:val="14"/>
      </w:numPr>
      <w:tabs>
        <w:tab w:val="clear" w:pos="567"/>
        <w:tab w:val="left" w:pos="360"/>
      </w:tabs>
      <w:ind w:left="0" w:firstLine="0"/>
    </w:pPr>
  </w:style>
  <w:style w:type="paragraph" w:customStyle="1" w:styleId="Instruction-Optional">
    <w:name w:val="Instruction - Optional"/>
    <w:basedOn w:val="Normal"/>
    <w:pPr>
      <w:spacing w:before="60" w:after="60" w:line="200" w:lineRule="atLeast"/>
    </w:pPr>
    <w:rPr>
      <w:sz w:val="16"/>
    </w:rPr>
  </w:style>
  <w:style w:type="paragraph" w:styleId="Index6">
    <w:name w:val="index 6"/>
    <w:basedOn w:val="Normal"/>
    <w:next w:val="Normal"/>
    <w:pPr>
      <w:ind w:left="1200" w:hanging="200"/>
    </w:pPr>
  </w:style>
  <w:style w:type="paragraph" w:customStyle="1" w:styleId="KWListBullet">
    <w:name w:val="K&amp;W List Bullet"/>
    <w:basedOn w:val="KWNormal"/>
    <w:pPr>
      <w:numPr>
        <w:numId w:val="15"/>
      </w:numPr>
      <w:tabs>
        <w:tab w:val="left" w:pos="1701"/>
      </w:tabs>
      <w:spacing w:line="320" w:lineRule="exact"/>
    </w:pPr>
  </w:style>
  <w:style w:type="paragraph" w:styleId="Caption">
    <w:name w:val="caption"/>
    <w:basedOn w:val="Normal"/>
    <w:next w:val="Normal"/>
    <w:qFormat/>
    <w:pPr>
      <w:spacing w:before="120" w:after="120"/>
    </w:pPr>
    <w:rPr>
      <w:b/>
      <w:bCs/>
    </w:rPr>
  </w:style>
  <w:style w:type="paragraph" w:customStyle="1" w:styleId="Instruction-Caution">
    <w:name w:val="Instruction - Caution"/>
    <w:basedOn w:val="BodyText"/>
    <w:pPr>
      <w:spacing w:before="60" w:after="60" w:line="200" w:lineRule="atLeast"/>
      <w:ind w:left="0"/>
    </w:pPr>
    <w:rPr>
      <w:rFonts w:eastAsia="SimSun"/>
      <w:color w:val="000000"/>
      <w:spacing w:val="0"/>
      <w:sz w:val="16"/>
      <w:szCs w:val="20"/>
    </w:rPr>
  </w:style>
  <w:style w:type="paragraph" w:styleId="ListContinue5">
    <w:name w:val="List Continue 5"/>
    <w:basedOn w:val="Normal"/>
    <w:pPr>
      <w:spacing w:after="120"/>
      <w:ind w:left="1415"/>
    </w:pPr>
  </w:style>
  <w:style w:type="paragraph" w:styleId="ListBullet5">
    <w:name w:val="List Bullet 5"/>
    <w:basedOn w:val="Normal"/>
    <w:pPr>
      <w:numPr>
        <w:numId w:val="16"/>
      </w:numPr>
      <w:tabs>
        <w:tab w:val="clear" w:pos="1492"/>
        <w:tab w:val="left" w:pos="360"/>
      </w:tabs>
      <w:ind w:left="0" w:firstLine="0"/>
    </w:pPr>
  </w:style>
  <w:style w:type="paragraph" w:styleId="NoSpacing">
    <w:name w:val="No Spacing"/>
    <w:uiPriority w:val="1"/>
    <w:qFormat/>
    <w:rPr>
      <w:rFonts w:ascii="Arial" w:eastAsia="KaiTi_GB2312" w:hAnsi="Arial"/>
      <w:spacing w:val="-8"/>
      <w:sz w:val="24"/>
      <w:szCs w:val="28"/>
      <w:lang w:eastAsia="en-US"/>
    </w:rPr>
  </w:style>
  <w:style w:type="paragraph" w:customStyle="1" w:styleId="KWHeading9">
    <w:name w:val="K&amp;W Heading 9"/>
    <w:basedOn w:val="KWheading1"/>
    <w:next w:val="KWBodytext"/>
    <w:pPr>
      <w:numPr>
        <w:ilvl w:val="8"/>
      </w:numPr>
      <w:tabs>
        <w:tab w:val="left" w:pos="567"/>
      </w:tabs>
      <w:spacing w:after="440" w:line="240" w:lineRule="auto"/>
      <w:ind w:left="1701" w:hanging="1701"/>
      <w:outlineLvl w:val="8"/>
    </w:pPr>
    <w:rPr>
      <w:sz w:val="36"/>
    </w:rPr>
  </w:style>
  <w:style w:type="paragraph" w:styleId="ListContinue">
    <w:name w:val="List Continue"/>
    <w:basedOn w:val="Normal"/>
    <w:pPr>
      <w:spacing w:after="120"/>
      <w:ind w:left="283"/>
    </w:pPr>
  </w:style>
  <w:style w:type="paragraph" w:styleId="List4">
    <w:name w:val="List 4"/>
    <w:basedOn w:val="Normal"/>
    <w:pPr>
      <w:ind w:left="1132" w:hanging="283"/>
    </w:pPr>
  </w:style>
  <w:style w:type="paragraph" w:styleId="ListNumber3">
    <w:name w:val="List Number 3"/>
    <w:basedOn w:val="Normal"/>
    <w:pPr>
      <w:numPr>
        <w:numId w:val="17"/>
      </w:numPr>
      <w:tabs>
        <w:tab w:val="left" w:pos="360"/>
      </w:tabs>
      <w:ind w:left="0" w:firstLine="0"/>
    </w:pPr>
  </w:style>
  <w:style w:type="paragraph" w:customStyle="1" w:styleId="KWheading7">
    <w:name w:val="K&amp;W heading 7"/>
    <w:basedOn w:val="KWheading1"/>
    <w:next w:val="KWBodytext"/>
    <w:pPr>
      <w:widowControl/>
      <w:numPr>
        <w:ilvl w:val="6"/>
      </w:numPr>
      <w:tabs>
        <w:tab w:val="left" w:pos="567"/>
      </w:tabs>
      <w:outlineLvl w:val="6"/>
    </w:pPr>
    <w:rPr>
      <w:lang w:eastAsia="zh-CN"/>
    </w:rPr>
  </w:style>
  <w:style w:type="paragraph" w:styleId="NormalIndent">
    <w:name w:val="Normal Indent"/>
    <w:basedOn w:val="Normal"/>
    <w:pPr>
      <w:ind w:left="720"/>
    </w:pPr>
  </w:style>
  <w:style w:type="paragraph" w:styleId="IntenseQuote">
    <w:name w:val="Intense Quote"/>
    <w:basedOn w:val="Normal"/>
    <w:next w:val="Normal"/>
    <w:link w:val="IntenseQuoteChar"/>
    <w:uiPriority w:val="30"/>
    <w:qFormat/>
    <w:pPr>
      <w:pBdr>
        <w:bottom w:val="single" w:sz="4" w:space="4" w:color="4F81BD"/>
      </w:pBdr>
      <w:spacing w:before="200" w:after="280"/>
      <w:ind w:left="936" w:right="936"/>
    </w:pPr>
    <w:rPr>
      <w:b/>
      <w:bCs/>
      <w:i/>
      <w:iCs/>
      <w:color w:val="4F81BD"/>
    </w:rPr>
  </w:style>
  <w:style w:type="paragraph" w:styleId="EmailSignature">
    <w:name w:val="E-mail Signature"/>
    <w:basedOn w:val="Normal"/>
    <w:link w:val="EmailSignatureChar"/>
  </w:style>
  <w:style w:type="paragraph" w:customStyle="1" w:styleId="Precheading">
    <w:name w:val="Prec_heading"/>
    <w:basedOn w:val="Normal"/>
    <w:next w:val="Normal"/>
    <w:pPr>
      <w:pBdr>
        <w:top w:val="single" w:sz="6" w:space="9" w:color="auto"/>
      </w:pBdr>
      <w:spacing w:before="480" w:after="120" w:line="240" w:lineRule="atLeast"/>
      <w:ind w:left="-1134" w:firstLine="1134"/>
    </w:pPr>
    <w:rPr>
      <w:rFonts w:cs="Arial"/>
      <w:b/>
      <w:bCs/>
      <w:color w:val="195988"/>
      <w:spacing w:val="0"/>
      <w:sz w:val="28"/>
      <w:szCs w:val="20"/>
    </w:rPr>
  </w:style>
  <w:style w:type="paragraph" w:styleId="ListNumber5">
    <w:name w:val="List Number 5"/>
    <w:basedOn w:val="Normal"/>
    <w:pPr>
      <w:numPr>
        <w:numId w:val="18"/>
      </w:numPr>
      <w:tabs>
        <w:tab w:val="clear" w:pos="1492"/>
        <w:tab w:val="left" w:pos="360"/>
      </w:tabs>
      <w:ind w:left="0" w:firstLine="0"/>
    </w:pPr>
  </w:style>
  <w:style w:type="paragraph" w:customStyle="1" w:styleId="StyleBoldLeft19cm">
    <w:name w:val="Style Bold Left:  1.9 cm"/>
    <w:basedOn w:val="Normal"/>
    <w:pPr>
      <w:pBdr>
        <w:bottom w:val="single" w:sz="6" w:space="1" w:color="000000"/>
      </w:pBdr>
      <w:spacing w:after="120"/>
    </w:pPr>
    <w:rPr>
      <w:b/>
      <w:bCs/>
    </w:rPr>
  </w:style>
  <w:style w:type="paragraph" w:customStyle="1" w:styleId="KWBodytext">
    <w:name w:val="K&amp;W Body text"/>
    <w:basedOn w:val="KWNormal"/>
    <w:pPr>
      <w:ind w:firstLine="567"/>
    </w:pPr>
    <w:rPr>
      <w:color w:val="auto"/>
    </w:rPr>
  </w:style>
  <w:style w:type="paragraph" w:styleId="List">
    <w:name w:val="List"/>
    <w:basedOn w:val="Normal"/>
    <w:pPr>
      <w:ind w:left="283" w:hanging="283"/>
    </w:pPr>
  </w:style>
  <w:style w:type="paragraph" w:styleId="BodyTextIndent3">
    <w:name w:val="Body Text Indent 3"/>
    <w:basedOn w:val="Normal"/>
    <w:link w:val="BodyTextIndent3Char"/>
    <w:pPr>
      <w:spacing w:after="120"/>
      <w:ind w:left="283"/>
    </w:pPr>
    <w:rPr>
      <w:sz w:val="16"/>
      <w:szCs w:val="16"/>
    </w:rPr>
  </w:style>
  <w:style w:type="paragraph" w:styleId="Bibliography">
    <w:name w:val="Bibliography"/>
    <w:basedOn w:val="Normal"/>
    <w:next w:val="Normal"/>
    <w:uiPriority w:val="37"/>
    <w:unhideWhenUsed/>
  </w:style>
  <w:style w:type="paragraph" w:customStyle="1" w:styleId="DeedBackground">
    <w:name w:val="Deed_Background"/>
    <w:basedOn w:val="BodyText"/>
    <w:pPr>
      <w:numPr>
        <w:numId w:val="19"/>
      </w:numPr>
      <w:tabs>
        <w:tab w:val="clear" w:pos="1134"/>
        <w:tab w:val="left" w:pos="360"/>
      </w:tabs>
      <w:ind w:left="0" w:firstLine="0"/>
    </w:pPr>
  </w:style>
  <w:style w:type="paragraph" w:styleId="Index7">
    <w:name w:val="index 7"/>
    <w:basedOn w:val="Normal"/>
    <w:next w:val="Normal"/>
    <w:pPr>
      <w:ind w:left="1400" w:hanging="200"/>
    </w:pPr>
  </w:style>
  <w:style w:type="paragraph" w:styleId="TOC9">
    <w:name w:val="toc 9"/>
    <w:basedOn w:val="Normal"/>
    <w:next w:val="Normal"/>
  </w:style>
  <w:style w:type="paragraph" w:customStyle="1" w:styleId="DeedTitle">
    <w:name w:val="Deed_Title"/>
    <w:basedOn w:val="Normal"/>
    <w:pPr>
      <w:spacing w:before="260"/>
    </w:pPr>
    <w:rPr>
      <w:b/>
      <w:szCs w:val="24"/>
    </w:rPr>
  </w:style>
  <w:style w:type="paragraph" w:customStyle="1" w:styleId="DeedPart">
    <w:name w:val="Deed_Part"/>
    <w:basedOn w:val="Normal"/>
    <w:next w:val="BodyText"/>
    <w:semiHidden/>
    <w:pPr>
      <w:ind w:left="-1134"/>
    </w:pPr>
  </w:style>
  <w:style w:type="paragraph" w:styleId="ListContinue2">
    <w:name w:val="List Continue 2"/>
    <w:basedOn w:val="Normal"/>
    <w:pPr>
      <w:spacing w:after="120"/>
      <w:ind w:left="566"/>
    </w:pPr>
  </w:style>
  <w:style w:type="paragraph" w:customStyle="1" w:styleId="Sch5">
    <w:name w:val="Sch 5"/>
    <w:basedOn w:val="Heading5"/>
    <w:pPr>
      <w:numPr>
        <w:ilvl w:val="0"/>
        <w:numId w:val="0"/>
      </w:numPr>
      <w:tabs>
        <w:tab w:val="left" w:pos="2835"/>
      </w:tabs>
      <w:ind w:left="2835" w:hanging="567"/>
    </w:pPr>
    <w:rPr>
      <w:rFonts w:eastAsia="Times New Roman"/>
      <w:color w:val="333333"/>
      <w:spacing w:val="0"/>
      <w:sz w:val="20"/>
      <w:szCs w:val="20"/>
    </w:rPr>
  </w:style>
  <w:style w:type="paragraph" w:customStyle="1" w:styleId="KWSch5">
    <w:name w:val="K&amp;W Sch 5"/>
    <w:basedOn w:val="KWheading5"/>
    <w:pPr>
      <w:numPr>
        <w:numId w:val="4"/>
      </w:numPr>
      <w:tabs>
        <w:tab w:val="left" w:pos="2835"/>
      </w:tabs>
    </w:pPr>
  </w:style>
  <w:style w:type="paragraph" w:styleId="ListContinue3">
    <w:name w:val="List Continue 3"/>
    <w:basedOn w:val="Normal"/>
    <w:pPr>
      <w:spacing w:after="120"/>
      <w:ind w:left="849"/>
    </w:pPr>
  </w:style>
  <w:style w:type="paragraph" w:styleId="Index2">
    <w:name w:val="index 2"/>
    <w:basedOn w:val="Normal"/>
    <w:next w:val="Normal"/>
    <w:pPr>
      <w:ind w:left="400" w:hanging="200"/>
    </w:pPr>
  </w:style>
  <w:style w:type="paragraph" w:customStyle="1" w:styleId="Instruction-OptionalEnd">
    <w:name w:val="Instruction - OptionalEnd"/>
    <w:basedOn w:val="Normal"/>
    <w:pPr>
      <w:spacing w:before="60" w:after="60" w:line="200" w:lineRule="atLeast"/>
    </w:pPr>
    <w:rPr>
      <w:sz w:val="16"/>
    </w:rPr>
  </w:style>
  <w:style w:type="paragraph" w:styleId="Title">
    <w:name w:val="Title"/>
    <w:basedOn w:val="Normal"/>
    <w:link w:val="TitleChar"/>
    <w:qFormat/>
    <w:pPr>
      <w:spacing w:before="240" w:after="60"/>
      <w:jc w:val="center"/>
      <w:outlineLvl w:val="0"/>
    </w:pPr>
    <w:rPr>
      <w:rFonts w:cs="Arial"/>
      <w:b/>
      <w:bCs/>
      <w:kern w:val="28"/>
      <w:sz w:val="32"/>
      <w:szCs w:val="32"/>
    </w:rPr>
  </w:style>
  <w:style w:type="paragraph" w:customStyle="1" w:styleId="Table">
    <w:name w:val="Table"/>
    <w:basedOn w:val="Normal"/>
    <w:pPr>
      <w:spacing w:before="120" w:after="120" w:line="240" w:lineRule="atLeast"/>
    </w:pPr>
  </w:style>
  <w:style w:type="paragraph" w:customStyle="1" w:styleId="PrecListBullet2">
    <w:name w:val="Prec List Bullet 2"/>
    <w:basedOn w:val="PrecListBullet"/>
    <w:pPr>
      <w:numPr>
        <w:numId w:val="20"/>
      </w:numPr>
      <w:tabs>
        <w:tab w:val="clear" w:pos="567"/>
      </w:tabs>
      <w:ind w:left="0" w:firstLine="0"/>
    </w:pPr>
  </w:style>
  <w:style w:type="paragraph" w:styleId="CommentSubject">
    <w:name w:val="annotation subject"/>
    <w:basedOn w:val="CommentText"/>
    <w:next w:val="CommentText"/>
    <w:rPr>
      <w:b/>
      <w:bCs/>
    </w:rPr>
  </w:style>
  <w:style w:type="paragraph" w:styleId="BodyTextFirstIndent">
    <w:name w:val="Body Text First Indent"/>
    <w:basedOn w:val="BodyText"/>
    <w:link w:val="BodyTextFirstIndentChar"/>
    <w:pPr>
      <w:spacing w:after="120"/>
      <w:ind w:left="0" w:firstLine="210"/>
    </w:pPr>
  </w:style>
  <w:style w:type="paragraph" w:customStyle="1" w:styleId="StyleDeedPartiesBold">
    <w:name w:val="Style Deed_Parties + Bold"/>
    <w:basedOn w:val="DeedParties"/>
    <w:pPr>
      <w:ind w:left="540" w:hanging="540"/>
    </w:pPr>
  </w:style>
  <w:style w:type="table" w:styleId="TableList7">
    <w:name w:val="Table List 7"/>
    <w:basedOn w:val="TableNormal"/>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top w:val="nil"/>
          <w:left w:val="nil"/>
          <w:bottom w:val="single" w:sz="12" w:space="0" w:color="008000"/>
          <w:right w:val="nil"/>
          <w:insideH w:val="nil"/>
          <w:insideV w:val="nil"/>
          <w:tl2br w:val="nil"/>
          <w:tr2bl w:val="nil"/>
        </w:tcBorders>
        <w:shd w:val="solid" w:color="C0C0C0" w:fill="FFFFFF"/>
      </w:tcPr>
    </w:tblStylePr>
    <w:tblStylePr w:type="lastRow">
      <w:rPr>
        <w:b/>
        <w:bCs/>
      </w:rPr>
      <w:tblPr/>
      <w:tcPr>
        <w:tcBorders>
          <w:top w:val="single" w:sz="12" w:space="0" w:color="008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0000" w:fill="FFFFFF"/>
      </w:tcPr>
    </w:tblStylePr>
    <w:tblStylePr w:type="band2Horz">
      <w:tblPr/>
      <w:tcPr>
        <w:tcBorders>
          <w:top w:val="nil"/>
          <w:left w:val="nil"/>
          <w:bottom w:val="nil"/>
          <w:right w:val="nil"/>
          <w:insideH w:val="nil"/>
          <w:insideV w:val="nil"/>
          <w:tl2br w:val="nil"/>
          <w:tr2bl w:val="nil"/>
        </w:tcBorders>
        <w:shd w:val="pct25" w:color="FFFF00" w:fill="FFFFFF"/>
      </w:tcPr>
    </w:tblStylePr>
  </w:style>
  <w:style w:type="table" w:styleId="Table3Deffects2">
    <w:name w:val="Table 3D effects 2"/>
    <w:basedOn w:val="TableNormal"/>
    <w:tblPr>
      <w:tblStyleRowBandSize w:val="1"/>
    </w:tblPr>
    <w:tcPr>
      <w:shd w:val="solid" w:color="C0C0C0" w:fill="FFFFFF"/>
    </w:tc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sz="6" w:space="0" w:color="808080"/>
          <w:insideH w:val="nil"/>
          <w:insideV w:val="nil"/>
          <w:tl2br w:val="nil"/>
          <w:tr2bl w:val="nil"/>
        </w:tcBorders>
      </w:tcPr>
    </w:tblStylePr>
    <w:tblStylePr w:type="lastCol">
      <w:tblPr/>
      <w:tcPr>
        <w:tcBorders>
          <w:top w:val="nil"/>
          <w:left w:val="nil"/>
          <w:bottom w:val="nil"/>
          <w:right w:val="single" w:sz="6" w:space="0" w:color="FFFFFF"/>
          <w:insideH w:val="nil"/>
          <w:insideV w:val="nil"/>
          <w:tl2br w:val="nil"/>
          <w:tr2bl w:val="nil"/>
        </w:tcBorders>
      </w:tcPr>
    </w:tblStylePr>
    <w:tblStylePr w:type="band1Horz">
      <w:tblPr/>
      <w:tcPr>
        <w:tcBorders>
          <w:top w:val="single" w:sz="6" w:space="0" w:color="808080"/>
          <w:left w:val="nil"/>
          <w:bottom w:val="single" w:sz="6" w:space="0" w:color="FFFFFF"/>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TableGrid">
    <w:name w:val="Table Grid"/>
    <w:basedOn w:val="TableNormal"/>
    <w:pPr>
      <w:spacing w:before="120" w:after="120" w:line="240" w:lineRule="atLeast"/>
    </w:pPr>
    <w:rPr>
      <w:rFonts w:ascii="Arial" w:hAnsi="Arial"/>
    </w:rPr>
    <w:tblPr/>
  </w:style>
  <w:style w:type="table" w:styleId="TableColumns1">
    <w:name w:val="Table Columns 1"/>
    <w:basedOn w:val="TableNormal"/>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top w:val="nil"/>
          <w:left w:val="nil"/>
          <w:bottom w:val="double" w:sz="6" w:space="0" w:color="000000"/>
          <w:right w:val="nil"/>
          <w:insideH w:val="nil"/>
          <w:insideV w:val="nil"/>
          <w:tl2br w:val="nil"/>
          <w:tr2bl w:val="nil"/>
        </w:tcBorders>
      </w:tcPr>
    </w:tblStylePr>
    <w:tblStylePr w:type="lastRow">
      <w:rPr>
        <w:b w:val="0"/>
        <w:bCs w:val="0"/>
      </w:rPr>
      <w:tblPr/>
      <w:tcPr>
        <w:tcBorders>
          <w:top w:val="nil"/>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TableTheme">
    <w:name w:val="Table Theme"/>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Colourful1">
    <w:name w:val="Table Colorful 1"/>
    <w:basedOn w:val="TableNormal"/>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op w:val="nil"/>
          <w:left w:val="nil"/>
          <w:bottom w:val="nil"/>
          <w:right w:val="nil"/>
          <w:insideH w:val="nil"/>
          <w:insideV w:val="nil"/>
          <w:tl2br w:val="nil"/>
          <w:tr2bl w:val="nil"/>
        </w:tcBorders>
        <w:shd w:val="solid" w:color="000000" w:fill="FFFFFF"/>
      </w:tcPr>
    </w:tblStylePr>
    <w:tblStylePr w:type="firstCol">
      <w:rPr>
        <w:b/>
        <w:bCs/>
        <w:i/>
        <w:iCs/>
      </w:rPr>
      <w:tblPr/>
      <w:tcPr>
        <w:tcBorders>
          <w:top w:val="nil"/>
          <w:left w:val="nil"/>
          <w:bottom w:val="nil"/>
          <w:right w:val="nil"/>
          <w:insideH w:val="nil"/>
          <w:insideV w:val="nil"/>
          <w:tl2br w:val="nil"/>
          <w:tr2bl w:val="nil"/>
        </w:tcBorders>
        <w:shd w:val="solid" w:color="000080" w:fill="FFFFFF"/>
      </w:tcPr>
    </w:tblStylePr>
    <w:tblStylePr w:type="nwCell">
      <w:tblPr/>
      <w:tcPr>
        <w:tcBorders>
          <w:top w:val="nil"/>
          <w:left w:val="nil"/>
          <w:bottom w:val="nil"/>
          <w:right w:val="nil"/>
          <w:insideH w:val="nil"/>
          <w:insideV w:val="nil"/>
          <w:tl2br w:val="nil"/>
          <w:tr2bl w:val="nil"/>
        </w:tcBorders>
        <w:shd w:val="solid" w:color="00000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TableColourful2">
    <w:name w:val="Table Colorful 2"/>
    <w:basedOn w:val="TableNormal"/>
    <w:tblPr>
      <w:tblBorders>
        <w:bottom w:val="single" w:sz="12" w:space="0" w:color="000000"/>
      </w:tblBorders>
    </w:tblPr>
    <w:tcPr>
      <w:shd w:val="pct20" w:color="FFFF00" w:fill="FFFFFF"/>
    </w:tcPr>
    <w:tblStylePr w:type="firstRow">
      <w:rPr>
        <w:b/>
        <w:bCs/>
        <w:i/>
        <w:iCs/>
        <w:color w:val="FFFFFF"/>
      </w:rPr>
      <w:tblPr/>
      <w:tcPr>
        <w:tcBorders>
          <w:top w:val="nil"/>
          <w:left w:val="nil"/>
          <w:bottom w:val="single" w:sz="12" w:space="0" w:color="000000"/>
          <w:right w:val="nil"/>
          <w:insideH w:val="nil"/>
          <w:insideV w:val="nil"/>
          <w:tl2br w:val="nil"/>
          <w:tr2bl w:val="nil"/>
        </w:tcBorders>
        <w:shd w:val="solid" w:color="800000" w:fill="FFFFFF"/>
      </w:tcPr>
    </w:tblStylePr>
    <w:tblStylePr w:type="firstCol">
      <w:rPr>
        <w:b/>
        <w:bCs/>
        <w:i/>
        <w:iCs/>
      </w:rPr>
      <w:tblPr/>
      <w:tcPr>
        <w:tcBorders>
          <w:top w:val="nil"/>
          <w:left w:val="nil"/>
          <w:bottom w:val="nil"/>
          <w:right w:val="nil"/>
          <w:insideH w:val="nil"/>
          <w:insideV w:val="nil"/>
          <w:tl2br w:val="nil"/>
          <w:tr2bl w:val="nil"/>
        </w:tcBorders>
      </w:tcPr>
    </w:tblStylePr>
    <w:tblStylePr w:type="lastCol">
      <w:tblPr/>
      <w:tcPr>
        <w:tcBorders>
          <w:top w:val="nil"/>
          <w:left w:val="nil"/>
          <w:bottom w:val="nil"/>
          <w:right w:val="nil"/>
          <w:insideH w:val="nil"/>
          <w:insideV w:val="nil"/>
          <w:tl2br w:val="nil"/>
          <w:tr2bl w:val="nil"/>
        </w:tcBorders>
        <w:shd w:val="solid" w:color="C0C0C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TableList6">
    <w:name w:val="Table List 6"/>
    <w:basedOn w:val="TableNormal"/>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single" w:sz="12" w:space="0" w:color="000000"/>
          <w:insideH w:val="nil"/>
          <w:insideV w:val="nil"/>
          <w:tl2br w:val="nil"/>
          <w:tr2bl w:val="nil"/>
        </w:tcBorders>
      </w:tcPr>
    </w:tblStylePr>
    <w:tblStylePr w:type="band1Horz">
      <w:tblPr/>
      <w:tcPr>
        <w:tcBorders>
          <w:top w:val="nil"/>
          <w:left w:val="nil"/>
          <w:bottom w:val="nil"/>
          <w:right w:val="nil"/>
          <w:insideH w:val="nil"/>
          <w:insideV w:val="nil"/>
          <w:tl2br w:val="nil"/>
          <w:tr2bl w:val="nil"/>
        </w:tcBorders>
        <w:shd w:val="pct25" w:color="000000" w:fill="FFFFFF"/>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TableColourful3">
    <w:name w:val="Table Colorful 3"/>
    <w:basedOn w:val="TableNormal"/>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top w:val="nil"/>
          <w:left w:val="nil"/>
          <w:bottom w:val="single" w:sz="6" w:space="0" w:color="000000"/>
          <w:right w:val="nil"/>
          <w:insideH w:val="nil"/>
          <w:insideV w:val="nil"/>
          <w:tl2br w:val="nil"/>
          <w:tr2bl w:val="nil"/>
        </w:tcBorders>
        <w:shd w:val="solid" w:color="008080" w:fill="FFFFFF"/>
      </w:tcPr>
    </w:tblStylePr>
    <w:tblStylePr w:type="firstCol">
      <w:tblPr/>
      <w:tcPr>
        <w:tcBorders>
          <w:top w:val="nil"/>
          <w:left w:val="single" w:sz="36" w:space="0" w:color="000000"/>
          <w:bottom w:val="nil"/>
          <w:right w:val="single" w:sz="6" w:space="0" w:color="000000"/>
          <w:insideH w:val="nil"/>
          <w:insideV w:val="nil"/>
          <w:tl2br w:val="nil"/>
          <w:tr2bl w:val="nil"/>
        </w:tcBorders>
        <w:shd w:val="solid" w:color="008080" w:fill="FFFFFF"/>
      </w:tcPr>
    </w:tblStylePr>
    <w:tblStylePr w:type="nwCell">
      <w:rPr>
        <w:b/>
        <w:bCs/>
        <w:color w:val="FFFFFF"/>
      </w:rPr>
      <w:tblPr/>
      <w:tcPr>
        <w:tcBorders>
          <w:top w:val="nil"/>
          <w:left w:val="nil"/>
          <w:bottom w:val="nil"/>
          <w:right w:val="nil"/>
          <w:insideH w:val="nil"/>
          <w:insideV w:val="nil"/>
          <w:tl2br w:val="nil"/>
          <w:tr2bl w:val="nil"/>
        </w:tcBorders>
        <w:shd w:val="solid" w:color="000000" w:fill="FFFFFF"/>
      </w:tcPr>
    </w:tblStylePr>
  </w:style>
  <w:style w:type="table" w:styleId="TableElegant">
    <w:name w:val="Table Elegant"/>
    <w:basedOn w:val="TableNormal"/>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styleId="TableClassic1">
    <w:name w:val="Table Classic 1"/>
    <w:basedOn w:val="TableNormal"/>
    <w:tblPr>
      <w:tblBorders>
        <w:top w:val="single" w:sz="12" w:space="0" w:color="000000"/>
        <w:bottom w:val="single" w:sz="12" w:space="0" w:color="000000"/>
      </w:tblBorders>
    </w:tblPr>
    <w:tcPr>
      <w:shd w:val="clear" w:color="auto" w:fill="auto"/>
    </w:tcPr>
    <w:tblStylePr w:type="firstRow">
      <w:rPr>
        <w:i/>
        <w:iCs/>
      </w:rPr>
      <w:tblPr/>
      <w:tcPr>
        <w:tcBorders>
          <w:top w:val="nil"/>
          <w:left w:val="nil"/>
          <w:bottom w:val="single" w:sz="6" w:space="0" w:color="000000"/>
          <w:right w:val="nil"/>
          <w:insideH w:val="nil"/>
          <w:insideV w:val="nil"/>
          <w:tl2br w:val="nil"/>
          <w:tr2bl w:val="nil"/>
        </w:tcBorders>
      </w:tcPr>
    </w:tblStylePr>
    <w:tblStylePr w:type="lastRow">
      <w:rPr>
        <w:color w:val="auto"/>
      </w:rPr>
      <w:tblPr/>
      <w:tcPr>
        <w:tcBorders>
          <w:top w:val="single" w:sz="6" w:space="0" w:color="000000"/>
          <w:left w:val="nil"/>
          <w:bottom w:val="nil"/>
          <w:right w:val="nil"/>
          <w:insideH w:val="nil"/>
          <w:insideV w:val="nil"/>
          <w:tl2br w:val="nil"/>
          <w:tr2bl w:val="nil"/>
        </w:tcBorders>
      </w:tcPr>
    </w:tblStylePr>
    <w:tblStylePr w:type="firstCol">
      <w:tblPr/>
      <w:tcPr>
        <w:tcBorders>
          <w:top w:val="nil"/>
          <w:left w:val="nil"/>
          <w:bottom w:val="nil"/>
          <w:right w:val="single" w:sz="6" w:space="0" w:color="000000"/>
          <w:insideH w:val="nil"/>
          <w:insideV w:val="nil"/>
          <w:tl2br w:val="nil"/>
          <w:tr2bl w:val="nil"/>
        </w:tcBorders>
      </w:tcPr>
    </w:tblStylePr>
    <w:tblStylePr w:type="neCell">
      <w:rPr>
        <w:b/>
        <w:bCs/>
        <w:i w:val="0"/>
        <w:iCs w:val="0"/>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TableGrid1">
    <w:name w:val="Table Grid 1"/>
    <w:basedOn w:val="TableNormal"/>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op w:val="nil"/>
          <w:left w:val="nil"/>
          <w:bottom w:val="nil"/>
          <w:right w:val="nil"/>
          <w:insideH w:val="nil"/>
          <w:insideV w:val="nil"/>
          <w:tl2br w:val="nil"/>
          <w:tr2bl w:val="nil"/>
        </w:tcBorders>
      </w:tcPr>
    </w:tblStylePr>
    <w:tblStylePr w:type="lastCol">
      <w:rPr>
        <w:i/>
        <w:i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TableClassic2">
    <w:name w:val="Table Classic 2"/>
    <w:basedOn w:val="TableNormal"/>
    <w:tblPr>
      <w:tblBorders>
        <w:top w:val="single" w:sz="12" w:space="0" w:color="000000"/>
        <w:bottom w:val="single" w:sz="12" w:space="0" w:color="000000"/>
      </w:tblBorders>
    </w:tblPr>
    <w:tcPr>
      <w:shd w:val="clear" w:color="auto" w:fill="auto"/>
    </w:tcPr>
    <w:tblStylePr w:type="firstRow">
      <w:rPr>
        <w:color w:val="FFFFFF"/>
      </w:rPr>
      <w:tblPr/>
      <w:tcPr>
        <w:tcBorders>
          <w:top w:val="nil"/>
          <w:left w:val="nil"/>
          <w:bottom w:val="single" w:sz="6" w:space="0" w:color="000000"/>
          <w:right w:val="nil"/>
          <w:insideH w:val="nil"/>
          <w:insideV w:val="nil"/>
          <w:tl2br w:val="nil"/>
          <w:tr2bl w:val="nil"/>
        </w:tcBorders>
        <w:shd w:val="solid" w:color="800080" w:fill="FFFFFF"/>
      </w:tcPr>
    </w:tblStylePr>
    <w:tblStylePr w:type="lastRow">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shd w:val="solid" w:color="C0C0C0" w:fill="FFFFFF"/>
      </w:tcPr>
    </w:tblStylePr>
    <w:tblStylePr w:type="neCel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shd w:val="solid" w:color="800080" w:fill="FFFFFF"/>
      </w:tcPr>
    </w:tblStylePr>
    <w:tblStylePr w:type="swCell">
      <w:rPr>
        <w:color w:val="000080"/>
      </w:rPr>
      <w:tblPr/>
      <w:tcPr>
        <w:tcBorders>
          <w:top w:val="nil"/>
          <w:left w:val="nil"/>
          <w:bottom w:val="nil"/>
          <w:right w:val="nil"/>
          <w:insideH w:val="nil"/>
          <w:insideV w:val="nil"/>
          <w:tl2br w:val="nil"/>
          <w:tr2bl w:val="nil"/>
        </w:tcBorders>
      </w:tcPr>
    </w:tblStylePr>
  </w:style>
  <w:style w:type="table" w:styleId="TableColumns3">
    <w:name w:val="Table Columns 3"/>
    <w:basedOn w:val="TableNormal"/>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cPr>
        <w:tcBorders>
          <w:top w:val="single" w:sz="6" w:space="0" w:color="00008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op w:val="nil"/>
          <w:left w:val="nil"/>
          <w:bottom w:val="nil"/>
          <w:right w:val="nil"/>
          <w:insideH w:val="nil"/>
          <w:insideV w:val="nil"/>
          <w:tl2br w:val="nil"/>
          <w:tr2bl w:val="nil"/>
        </w:tcBorders>
      </w:tcPr>
    </w:tblStylePr>
  </w:style>
  <w:style w:type="table" w:styleId="TableClassic3">
    <w:name w:val="Table Classic 3"/>
    <w:basedOn w:val="TableNormal"/>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top w:val="nil"/>
          <w:left w:val="nil"/>
          <w:bottom w:val="single" w:sz="6" w:space="0" w:color="000000"/>
          <w:right w:val="nil"/>
          <w:insideH w:val="nil"/>
          <w:insideV w:val="nil"/>
          <w:tl2br w:val="nil"/>
          <w:tr2bl w:val="nil"/>
        </w:tcBorders>
        <w:shd w:val="solid" w:color="000080" w:fill="FFFFFF"/>
      </w:tcPr>
    </w:tblStylePr>
    <w:tblStylePr w:type="lastRow">
      <w:rPr>
        <w:color w:val="000080"/>
      </w:rPr>
      <w:tblPr/>
      <w:tcPr>
        <w:tcBorders>
          <w:top w:val="single" w:sz="12" w:space="0" w:color="000000"/>
          <w:left w:val="nil"/>
          <w:bottom w:val="nil"/>
          <w:right w:val="nil"/>
          <w:insideH w:val="nil"/>
          <w:insideV w:val="nil"/>
          <w:tl2br w:val="nil"/>
          <w:tr2bl w:val="nil"/>
        </w:tcBorders>
        <w:shd w:val="solid" w:color="FFFFFF" w:fill="FFFFFF"/>
      </w:tcPr>
    </w:tblStylePr>
    <w:tblStylePr w:type="firstCol">
      <w:rPr>
        <w:b/>
        <w:bCs/>
        <w:color w:val="000000"/>
      </w:rPr>
      <w:tblPr/>
      <w:tcPr>
        <w:tcBorders>
          <w:top w:val="nil"/>
          <w:left w:val="nil"/>
          <w:bottom w:val="nil"/>
          <w:right w:val="nil"/>
          <w:insideH w:val="nil"/>
          <w:insideV w:val="nil"/>
          <w:tl2br w:val="nil"/>
          <w:tr2bl w:val="nil"/>
        </w:tcBorders>
      </w:tcPr>
    </w:tblStylePr>
  </w:style>
  <w:style w:type="table" w:styleId="TableList3">
    <w:name w:val="Table List 3"/>
    <w:basedOn w:val="TableNormal"/>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top w:val="nil"/>
          <w:left w:val="nil"/>
          <w:bottom w:val="single" w:sz="12" w:space="0" w:color="000000"/>
          <w:right w:val="nil"/>
          <w:insideH w:val="nil"/>
          <w:insideV w:val="nil"/>
          <w:tl2br w:val="nil"/>
          <w:tr2bl w:val="nil"/>
        </w:tcBorders>
      </w:tcPr>
    </w:tblStylePr>
    <w:tblStylePr w:type="lastRow">
      <w:tblPr/>
      <w:tcPr>
        <w:tcBorders>
          <w:top w:val="single" w:sz="12" w:space="0" w:color="000000"/>
          <w:left w:val="nil"/>
          <w:bottom w:val="nil"/>
          <w:right w:val="nil"/>
          <w:insideH w:val="nil"/>
          <w:insideV w:val="nil"/>
          <w:tl2br w:val="nil"/>
          <w:tr2bl w:val="nil"/>
        </w:tcBorders>
      </w:tcPr>
    </w:tblStylePr>
    <w:tblStylePr w:type="swCell">
      <w:rPr>
        <w:i/>
        <w:iCs/>
        <w:color w:val="000080"/>
      </w:rPr>
      <w:tblPr/>
      <w:tcPr>
        <w:tcBorders>
          <w:top w:val="nil"/>
          <w:left w:val="nil"/>
          <w:bottom w:val="nil"/>
          <w:right w:val="nil"/>
          <w:insideH w:val="nil"/>
          <w:insideV w:val="nil"/>
          <w:tl2br w:val="nil"/>
          <w:tr2bl w:val="nil"/>
        </w:tcBorders>
      </w:tcPr>
    </w:tblStylePr>
  </w:style>
  <w:style w:type="table" w:styleId="TableClassic4">
    <w:name w:val="Table Classic 4"/>
    <w:basedOn w:val="TableNormal"/>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top w:val="nil"/>
          <w:left w:val="nil"/>
          <w:bottom w:val="single" w:sz="6" w:space="0" w:color="000000"/>
          <w:right w:val="nil"/>
          <w:insideH w:val="nil"/>
          <w:insideV w:val="nil"/>
          <w:tl2br w:val="nil"/>
          <w:tr2bl w:val="nil"/>
        </w:tcBorders>
        <w:shd w:val="pct50" w:color="000080" w:fill="FFFFFF"/>
      </w:tcPr>
    </w:tblStylePr>
    <w:tblStylePr w:type="lastRow">
      <w:rPr>
        <w:color w:val="000080"/>
      </w:rPr>
      <w:tblPr/>
      <w:tcPr>
        <w:tcBorders>
          <w:top w:val="nil"/>
          <w:left w:val="nil"/>
          <w:bottom w:val="single" w:sz="6" w:space="0" w:color="000000"/>
          <w:right w:val="nil"/>
          <w:insideH w:val="nil"/>
          <w:insideV w:val="nil"/>
          <w:tl2br w:val="nil"/>
          <w:tr2bl w:val="nil"/>
        </w:tcBorders>
        <w:shd w:val="pct50" w:color="000000" w:fill="FFFFFF"/>
      </w:tcPr>
    </w:tblStylePr>
    <w:tblStylePr w:type="firstCol">
      <w:rPr>
        <w:b/>
        <w:bCs/>
      </w:rPr>
      <w:tblPr/>
      <w:tcPr>
        <w:tcBorders>
          <w:top w:val="nil"/>
          <w:left w:val="nil"/>
          <w:bottom w:val="nil"/>
          <w:right w:val="nil"/>
          <w:insideH w:val="nil"/>
          <w:insideV w:val="nil"/>
          <w:tl2br w:val="nil"/>
          <w:tr2bl w:val="nil"/>
        </w:tcBorders>
      </w:tcPr>
    </w:tblStylePr>
    <w:tblStylePr w:type="nwCell">
      <w:rPr>
        <w:b/>
        <w:bCs/>
      </w:rPr>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table" w:styleId="TableList2">
    <w:name w:val="Table List 2"/>
    <w:basedOn w:val="TableNormal"/>
    <w:tblPr>
      <w:tblStyleRowBandSize w:val="2"/>
      <w:tblBorders>
        <w:bottom w:val="single" w:sz="12" w:space="0" w:color="808080"/>
      </w:tblBorders>
    </w:tblPr>
    <w:tblStylePr w:type="firstRow">
      <w:rPr>
        <w:b/>
        <w:bCs/>
        <w:color w:val="FFFFFF"/>
      </w:rPr>
      <w:tblPr/>
      <w:tcPr>
        <w:tcBorders>
          <w:top w:val="nil"/>
          <w:left w:val="nil"/>
          <w:bottom w:val="single" w:sz="6" w:space="0" w:color="000000"/>
          <w:right w:val="nil"/>
          <w:insideH w:val="nil"/>
          <w:insideV w:val="nil"/>
          <w:tl2br w:val="nil"/>
          <w:tr2bl w:val="nil"/>
        </w:tcBorders>
        <w:shd w:val="pct75" w:color="008080" w:fill="008000"/>
      </w:tcPr>
    </w:tblStylePr>
    <w:tblStylePr w:type="lastRow">
      <w:tblPr/>
      <w:tcPr>
        <w:tcBorders>
          <w:top w:val="single" w:sz="6" w:space="0" w:color="00000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FF0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TableSimple1">
    <w:name w:val="Table Simple 1"/>
    <w:basedOn w:val="TableNormal"/>
    <w:tblPr>
      <w:tblBorders>
        <w:top w:val="single" w:sz="12" w:space="0" w:color="008000"/>
        <w:bottom w:val="single" w:sz="12" w:space="0" w:color="008000"/>
      </w:tblBorders>
    </w:tblPr>
    <w:tcPr>
      <w:shd w:val="clear" w:color="auto" w:fill="auto"/>
    </w:tc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styleId="TableContemporary">
    <w:name w:val="Table Contemporary"/>
    <w:basedOn w:val="TableNormal"/>
    <w:tblPr>
      <w:tblStyleRowBandSize w:val="1"/>
      <w:tblBorders>
        <w:insideH w:val="single" w:sz="18" w:space="0" w:color="FFFFFF"/>
        <w:insideV w:val="single" w:sz="18" w:space="0" w:color="FFFFFF"/>
      </w:tblBorders>
    </w:tblPr>
    <w:tblStylePr w:type="firstRow">
      <w:rPr>
        <w:b/>
        <w:bCs/>
        <w:color w:val="auto"/>
      </w:rPr>
      <w:tblPr/>
      <w:tcPr>
        <w:tcBorders>
          <w:top w:val="nil"/>
          <w:left w:val="nil"/>
          <w:bottom w:val="nil"/>
          <w:right w:val="nil"/>
          <w:insideH w:val="nil"/>
          <w:insideV w:val="nil"/>
          <w:tl2br w:val="nil"/>
          <w:tr2bl w:val="nil"/>
        </w:tcBorders>
        <w:shd w:val="pct20" w:color="000000" w:fill="FFFFFF"/>
      </w:tcPr>
    </w:tblStylePr>
    <w:tblStylePr w:type="band1Horz">
      <w:rPr>
        <w:color w:val="auto"/>
      </w:rPr>
      <w:tblPr/>
      <w:tcPr>
        <w:tcBorders>
          <w:top w:val="nil"/>
          <w:left w:val="nil"/>
          <w:bottom w:val="nil"/>
          <w:right w:val="nil"/>
          <w:insideH w:val="nil"/>
          <w:insideV w:val="nil"/>
          <w:tl2br w:val="nil"/>
          <w:tr2bl w:val="nil"/>
        </w:tcBorders>
        <w:shd w:val="pct5" w:color="000000" w:fill="FFFFFF"/>
      </w:tcPr>
    </w:tblStylePr>
    <w:tblStylePr w:type="band2Horz">
      <w:rPr>
        <w:color w:val="auto"/>
      </w:rPr>
      <w:tblPr/>
      <w:tcPr>
        <w:tcBorders>
          <w:top w:val="nil"/>
          <w:left w:val="nil"/>
          <w:bottom w:val="nil"/>
          <w:right w:val="nil"/>
          <w:insideH w:val="nil"/>
          <w:insideV w:val="nil"/>
          <w:tl2br w:val="nil"/>
          <w:tr2bl w:val="nil"/>
        </w:tcBorders>
        <w:shd w:val="pct20" w:color="000000" w:fill="FFFFFF"/>
      </w:tcPr>
    </w:tblStylePr>
  </w:style>
  <w:style w:type="table" w:styleId="TableSimple2">
    <w:name w:val="Table Simple 2"/>
    <w:basedOn w:val="TableNormal"/>
    <w:tblPr/>
    <w:tblStylePr w:type="firstRow">
      <w:rPr>
        <w:b/>
        <w:bCs/>
      </w:rPr>
      <w:tblPr/>
      <w:tcPr>
        <w:tcBorders>
          <w:top w:val="nil"/>
          <w:left w:val="nil"/>
          <w:bottom w:val="single" w:sz="12" w:space="0" w:color="000000"/>
          <w:right w:val="nil"/>
          <w:insideH w:val="nil"/>
          <w:insideV w:val="nil"/>
          <w:tl2br w:val="nil"/>
          <w:tr2bl w:val="nil"/>
        </w:tcBorders>
      </w:tcPr>
    </w:tblStylePr>
    <w:tblStylePr w:type="lastRow">
      <w:rPr>
        <w:b/>
        <w:bCs/>
        <w:color w:val="auto"/>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single" w:sz="12" w:space="0" w:color="000000"/>
          <w:insideH w:val="nil"/>
          <w:insideV w:val="nil"/>
          <w:tl2br w:val="nil"/>
          <w:tr2bl w:val="nil"/>
        </w:tcBorders>
      </w:tcPr>
    </w:tblStylePr>
    <w:tblStylePr w:type="lastCol">
      <w:rPr>
        <w:b/>
        <w:bCs/>
      </w:rPr>
      <w:tblPr/>
      <w:tcPr>
        <w:tcBorders>
          <w:top w:val="nil"/>
          <w:left w:val="single" w:sz="6" w:space="0" w:color="000000"/>
          <w:bottom w:val="nil"/>
          <w:right w:val="nil"/>
          <w:insideH w:val="nil"/>
          <w:insideV w:val="nil"/>
          <w:tl2br w:val="nil"/>
          <w:tr2bl w:val="nil"/>
        </w:tcBorders>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TableList4">
    <w:name w:val="Table List 4"/>
    <w:basedOn w:val="TableNormal"/>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top w:val="nil"/>
          <w:left w:val="nil"/>
          <w:bottom w:val="single" w:sz="12" w:space="0" w:color="000000"/>
          <w:right w:val="nil"/>
          <w:insideH w:val="nil"/>
          <w:insideV w:val="nil"/>
          <w:tl2br w:val="nil"/>
          <w:tr2bl w:val="nil"/>
        </w:tcBorders>
        <w:shd w:val="solid" w:color="808080" w:fill="FFFFFF"/>
      </w:tcPr>
    </w:tblStylePr>
  </w:style>
  <w:style w:type="table" w:styleId="TableSimple3">
    <w:name w:val="Table Simple 3"/>
    <w:basedOn w:val="TableNormal"/>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00" w:fill="FFFFFF"/>
      </w:tcPr>
    </w:tblStylePr>
  </w:style>
  <w:style w:type="table" w:styleId="Table3Deffects3">
    <w:name w:val="Table 3D effects 3"/>
    <w:basedOn w:val="TableNormal"/>
    <w:tblPr>
      <w:tblStyleRowBandSize w:val="1"/>
      <w:tblStyleColBandSize w:val="1"/>
    </w:tbl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sz="6" w:space="0" w:color="808080"/>
          <w:insideH w:val="nil"/>
          <w:insideV w:val="nil"/>
          <w:tl2br w:val="nil"/>
          <w:tr2bl w:val="nil"/>
        </w:tcBorders>
      </w:tcPr>
    </w:tblStylePr>
    <w:tblStylePr w:type="lastCol">
      <w:tblPr/>
      <w:tcPr>
        <w:tcBorders>
          <w:top w:val="nil"/>
          <w:left w:val="nil"/>
          <w:bottom w:val="nil"/>
          <w:right w:val="single" w:sz="6" w:space="0" w:color="FFFFFF"/>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nil"/>
          <w:bottom w:val="single" w:sz="6" w:space="0" w:color="FFFFFF"/>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TableSubtle1">
    <w:name w:val="Table Subtle 1"/>
    <w:basedOn w:val="TableNormal"/>
    <w:tblPr>
      <w:tblStyleRowBandSize w:val="1"/>
    </w:tblPr>
    <w:tblStylePr w:type="firstRow">
      <w:tblPr/>
      <w:tcPr>
        <w:tcBorders>
          <w:top w:val="single" w:sz="6" w:space="0" w:color="000000"/>
          <w:left w:val="nil"/>
          <w:bottom w:val="single" w:sz="12" w:space="0" w:color="000000"/>
          <w:right w:val="nil"/>
          <w:insideH w:val="nil"/>
          <w:insideV w:val="nil"/>
          <w:tl2br w:val="nil"/>
          <w:tr2bl w:val="nil"/>
        </w:tcBorders>
      </w:tcPr>
    </w:tblStylePr>
    <w:tblStylePr w:type="lastRow">
      <w:tblPr/>
      <w:tcPr>
        <w:tcBorders>
          <w:top w:val="single" w:sz="12" w:space="0" w:color="000000"/>
          <w:left w:val="nil"/>
          <w:bottom w:val="nil"/>
          <w:right w:val="nil"/>
          <w:insideH w:val="nil"/>
          <w:insideV w:val="nil"/>
          <w:tl2br w:val="nil"/>
          <w:tr2bl w:val="nil"/>
        </w:tcBorders>
        <w:shd w:val="pct25" w:color="800080" w:fill="FFFFFF"/>
      </w:tcPr>
    </w:tblStylePr>
    <w:tblStylePr w:type="firstCol">
      <w:tblPr/>
      <w:tcPr>
        <w:tcBorders>
          <w:top w:val="nil"/>
          <w:left w:val="nil"/>
          <w:bottom w:val="nil"/>
          <w:right w:val="single" w:sz="12" w:space="0" w:color="000000"/>
          <w:insideH w:val="nil"/>
          <w:insideV w:val="nil"/>
          <w:tl2br w:val="nil"/>
          <w:tr2bl w:val="nil"/>
        </w:tcBorders>
      </w:tcPr>
    </w:tblStylePr>
    <w:tblStylePr w:type="lastCol">
      <w:tblPr/>
      <w:tcPr>
        <w:tcBorders>
          <w:top w:val="nil"/>
          <w:left w:val="single" w:sz="12" w:space="0" w:color="000000"/>
          <w:bottom w:val="nil"/>
          <w:right w:val="nil"/>
          <w:insideH w:val="nil"/>
          <w:insideV w:val="nil"/>
          <w:tl2br w:val="nil"/>
          <w:tr2bl w:val="nil"/>
        </w:tcBorders>
      </w:tcPr>
    </w:tblStylePr>
    <w:tblStylePr w:type="band1Horz">
      <w:tblPr/>
      <w:tcPr>
        <w:tcBorders>
          <w:top w:val="nil"/>
          <w:left w:val="nil"/>
          <w:bottom w:val="single" w:sz="6" w:space="0" w:color="000000"/>
          <w:right w:val="nil"/>
          <w:insideH w:val="nil"/>
          <w:insideV w:val="nil"/>
          <w:tl2br w:val="nil"/>
          <w:tr2bl w:val="nil"/>
        </w:tcBorders>
        <w:shd w:val="pct25" w:color="8080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TableColumns4">
    <w:name w:val="Table Columns 4"/>
    <w:basedOn w:val="TableNormal"/>
    <w:tblPr>
      <w:tblStyleColBandSize w:val="1"/>
    </w:tblPr>
    <w:tblStylePr w:type="firstRow">
      <w:rPr>
        <w:color w:val="FFFFFF"/>
      </w:rPr>
      <w:tblPr/>
      <w:tcPr>
        <w:tcBorders>
          <w:top w:val="nil"/>
          <w:left w:val="nil"/>
          <w:bottom w:val="nil"/>
          <w:right w:val="nil"/>
          <w:insideH w:val="nil"/>
          <w:insideV w:val="nil"/>
          <w:tl2br w:val="nil"/>
          <w:tr2bl w:val="nil"/>
        </w:tcBorders>
        <w:shd w:val="solid" w:color="000000" w:fill="FFFFFF"/>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Subtle2">
    <w:name w:val="Table Subtle 2"/>
    <w:basedOn w:val="TableNormal"/>
    <w:tblPr>
      <w:tblBorders>
        <w:left w:val="single" w:sz="6" w:space="0" w:color="000000"/>
        <w:right w:val="single" w:sz="6" w:space="0" w:color="000000"/>
      </w:tblBorders>
    </w:tblPr>
    <w:tblStylePr w:type="firstRow">
      <w:tblPr/>
      <w:tcPr>
        <w:tcBorders>
          <w:top w:val="nil"/>
          <w:left w:val="nil"/>
          <w:bottom w:val="single" w:sz="12" w:space="0" w:color="000000"/>
          <w:right w:val="nil"/>
          <w:insideH w:val="nil"/>
          <w:insideV w:val="nil"/>
          <w:tl2br w:val="nil"/>
          <w:tr2bl w:val="nil"/>
        </w:tcBorders>
      </w:tcPr>
    </w:tblStylePr>
    <w:tblStylePr w:type="lastRow">
      <w:tblPr/>
      <w:tcPr>
        <w:tcBorders>
          <w:top w:val="single" w:sz="12" w:space="0" w:color="000000"/>
          <w:left w:val="nil"/>
          <w:bottom w:val="nil"/>
          <w:right w:val="nil"/>
          <w:insideH w:val="nil"/>
          <w:insideV w:val="nil"/>
          <w:tl2br w:val="nil"/>
          <w:tr2bl w:val="nil"/>
        </w:tcBorders>
      </w:tcPr>
    </w:tblStylePr>
    <w:tblStylePr w:type="firstCol">
      <w:tblPr/>
      <w:tcPr>
        <w:tcBorders>
          <w:top w:val="nil"/>
          <w:left w:val="nil"/>
          <w:bottom w:val="nil"/>
          <w:right w:val="single" w:sz="12" w:space="0" w:color="000000"/>
          <w:insideH w:val="nil"/>
          <w:insideV w:val="nil"/>
          <w:tl2br w:val="nil"/>
          <w:tr2bl w:val="nil"/>
        </w:tcBorders>
        <w:shd w:val="pct25" w:color="008000" w:fill="FFFFFF"/>
      </w:tcPr>
    </w:tblStylePr>
    <w:tblStylePr w:type="lastCol">
      <w:tblPr/>
      <w:tcPr>
        <w:tcBorders>
          <w:top w:val="nil"/>
          <w:left w:val="single" w:sz="12" w:space="0" w:color="000000"/>
          <w:bottom w:val="nil"/>
          <w:right w:val="nil"/>
          <w:insideH w:val="nil"/>
          <w:insideV w:val="nil"/>
          <w:tl2br w:val="nil"/>
          <w:tr2bl w:val="nil"/>
        </w:tcBorders>
        <w:shd w:val="pct25" w:color="8080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Table3Deffects1">
    <w:name w:val="Table 3D effects 1"/>
    <w:basedOn w:val="TableNormal"/>
    <w:tblPr/>
    <w:tcPr>
      <w:shd w:val="solid" w:color="C0C0C0" w:fill="FFFFFF"/>
    </w:tcPr>
    <w:tblStylePr w:type="firstRow">
      <w:rPr>
        <w:b/>
        <w:bCs/>
        <w:color w:val="800080"/>
      </w:rPr>
      <w:tblPr/>
      <w:tcPr>
        <w:tcBorders>
          <w:top w:val="nil"/>
          <w:left w:val="nil"/>
          <w:bottom w:val="single" w:sz="6" w:space="0" w:color="808080"/>
          <w:right w:val="nil"/>
          <w:insideH w:val="nil"/>
          <w:insideV w:val="nil"/>
          <w:tl2br w:val="nil"/>
          <w:tr2bl w:val="nil"/>
        </w:tcBorders>
      </w:tcPr>
    </w:tblStylePr>
    <w:tblStylePr w:type="lastRow">
      <w:tblPr/>
      <w:tcPr>
        <w:tcBorders>
          <w:top w:val="single" w:sz="6" w:space="0" w:color="FFFFFF"/>
          <w:left w:val="nil"/>
          <w:bottom w:val="nil"/>
          <w:right w:val="nil"/>
          <w:insideH w:val="nil"/>
          <w:insideV w:val="nil"/>
          <w:tl2br w:val="nil"/>
          <w:tr2bl w:val="nil"/>
        </w:tcBorders>
      </w:tcPr>
    </w:tblStylePr>
    <w:tblStylePr w:type="firstCol">
      <w:rPr>
        <w:b/>
        <w:bCs/>
      </w:rPr>
      <w:tblPr/>
      <w:tcPr>
        <w:tcBorders>
          <w:top w:val="nil"/>
          <w:left w:val="nil"/>
          <w:bottom w:val="nil"/>
          <w:right w:val="single" w:sz="6" w:space="0" w:color="808080"/>
          <w:insideH w:val="nil"/>
          <w:insideV w:val="nil"/>
          <w:tl2br w:val="nil"/>
          <w:tr2bl w:val="nil"/>
        </w:tcBorders>
      </w:tcPr>
    </w:tblStylePr>
    <w:tblStylePr w:type="lastCol">
      <w:tblPr/>
      <w:tcPr>
        <w:tcBorders>
          <w:top w:val="nil"/>
          <w:left w:val="single" w:sz="6" w:space="0" w:color="FFFFFF"/>
          <w:bottom w:val="nil"/>
          <w:right w:val="nil"/>
          <w:insideH w:val="nil"/>
          <w:insideV w:val="nil"/>
          <w:tl2br w:val="nil"/>
          <w:tr2bl w:val="nil"/>
        </w:tcBorders>
      </w:tcPr>
    </w:tblStylePr>
    <w:tblStylePr w:type="neCell">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tcPr>
    </w:tblStylePr>
    <w:tblStylePr w:type="seCell">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table" w:styleId="TableList1">
    <w:name w:val="Table List 1"/>
    <w:basedOn w:val="TableNormal"/>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top w:val="nil"/>
          <w:left w:val="nil"/>
          <w:bottom w:val="single" w:sz="6" w:space="0" w:color="000000"/>
          <w:right w:val="nil"/>
          <w:insideH w:val="nil"/>
          <w:insideV w:val="nil"/>
          <w:tl2br w:val="nil"/>
          <w:tr2bl w:val="nil"/>
        </w:tcBorders>
        <w:shd w:val="solid" w:color="C0C0C0" w:fill="FFFFFF"/>
      </w:tcPr>
    </w:tblStylePr>
    <w:tblStylePr w:type="lastRow">
      <w:tblPr/>
      <w:tcPr>
        <w:tcBorders>
          <w:top w:val="single" w:sz="6" w:space="0" w:color="00000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solid" w:color="C0C0C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TableList5">
    <w:name w:val="Table List 5"/>
    <w:basedOn w:val="TableNormal"/>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styleId="TableList8">
    <w:name w:val="Table List 8"/>
    <w:basedOn w:val="TableNormal"/>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top w:val="nil"/>
          <w:left w:val="nil"/>
          <w:bottom w:val="single" w:sz="6" w:space="0" w:color="000000"/>
          <w:right w:val="nil"/>
          <w:insideH w:val="nil"/>
          <w:insideV w:val="nil"/>
          <w:tl2br w:val="nil"/>
          <w:tr2bl w:val="nil"/>
        </w:tcBorders>
        <w:shd w:val="solid" w:color="FFFF00" w:fill="FFFFFF"/>
      </w:tcPr>
    </w:tblStylePr>
    <w:tblStylePr w:type="lastRow">
      <w:rPr>
        <w:b/>
        <w:bCs/>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5" w:color="FFFF00" w:fill="FFFFFF"/>
      </w:tcPr>
    </w:tblStylePr>
    <w:tblStylePr w:type="band2Horz">
      <w:tblPr/>
      <w:tcPr>
        <w:tcBorders>
          <w:top w:val="nil"/>
          <w:left w:val="nil"/>
          <w:bottom w:val="nil"/>
          <w:right w:val="nil"/>
          <w:insideH w:val="nil"/>
          <w:insideV w:val="nil"/>
          <w:tl2br w:val="nil"/>
          <w:tr2bl w:val="nil"/>
        </w:tcBorders>
        <w:shd w:val="pct50" w:color="FF0000" w:fill="FFFFFF"/>
      </w:tcPr>
    </w:tblStylePr>
    <w:tblStylePr w:type="nwCell">
      <w:tblPr/>
      <w:tcPr>
        <w:tcBorders>
          <w:top w:val="nil"/>
          <w:left w:val="nil"/>
          <w:bottom w:val="nil"/>
          <w:right w:val="nil"/>
          <w:insideH w:val="nil"/>
          <w:insideV w:val="nil"/>
          <w:tl2br w:val="single" w:sz="6" w:space="0" w:color="auto"/>
          <w:tr2bl w:val="nil"/>
        </w:tcBorders>
      </w:tcPr>
    </w:tblStylePr>
  </w:style>
  <w:style w:type="table" w:styleId="TableColumns2">
    <w:name w:val="Table Columns 2"/>
    <w:basedOn w:val="TableNormal"/>
    <w:rPr>
      <w:b/>
      <w:bCs/>
    </w:rPr>
    <w:tblPr>
      <w:tblStyleColBandSize w:val="1"/>
    </w:tblPr>
    <w:tblStylePr w:type="firstRow">
      <w:rPr>
        <w:color w:val="FFFFFF"/>
      </w:rPr>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cPr>
        <w:tcBorders>
          <w:top w:val="nil"/>
          <w:left w:val="nil"/>
          <w:bottom w:val="nil"/>
          <w:right w:val="nil"/>
          <w:insideH w:val="nil"/>
          <w:insideV w:val="nil"/>
          <w:tl2br w:val="nil"/>
          <w:tr2bl w:val="nil"/>
        </w:tcBorders>
      </w:tcPr>
    </w:tblStylePr>
    <w:tblStylePr w:type="firstCol">
      <w:rPr>
        <w:b w:val="0"/>
        <w:bCs w:val="0"/>
        <w:color w:val="00000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TableColumns5">
    <w:name w:val="Table Columns 5"/>
    <w:basedOn w:val="TableNormal"/>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top w:val="nil"/>
          <w:left w:val="nil"/>
          <w:bottom w:val="single" w:sz="6" w:space="0" w:color="808080"/>
          <w:right w:val="nil"/>
          <w:insideH w:val="nil"/>
          <w:insideV w:val="nil"/>
          <w:tl2br w:val="nil"/>
          <w:tr2bl w:val="nil"/>
        </w:tcBorders>
      </w:tcPr>
    </w:tblStylePr>
    <w:tblStylePr w:type="lastRow">
      <w:rPr>
        <w:b/>
        <w:bCs/>
      </w:rPr>
      <w:tblPr/>
      <w:tcPr>
        <w:tcBorders>
          <w:top w:val="single" w:sz="6" w:space="0" w:color="80808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Grid2">
    <w:name w:val="Table Grid 2"/>
    <w:basedOn w:val="TableNormal"/>
    <w:tblPr>
      <w:tblBorders>
        <w:insideH w:val="single" w:sz="6" w:space="0" w:color="000000"/>
        <w:insideV w:val="single" w:sz="6" w:space="0" w:color="000000"/>
      </w:tblBorders>
    </w:tblPr>
    <w:tcPr>
      <w:shd w:val="clear" w:color="auto" w:fill="auto"/>
    </w:tcPr>
    <w:tblStylePr w:type="firstRow">
      <w:rPr>
        <w:b/>
        <w:bCs/>
      </w:rPr>
      <w:tblPr/>
      <w:tcPr>
        <w:tcBorders>
          <w:top w:val="nil"/>
          <w:left w:val="nil"/>
          <w:bottom w:val="nil"/>
          <w:right w:val="nil"/>
          <w:insideH w:val="nil"/>
          <w:insideV w:val="nil"/>
          <w:tl2br w:val="nil"/>
          <w:tr2bl w:val="nil"/>
        </w:tcBorders>
      </w:tcPr>
    </w:tblStylePr>
    <w:tblStylePr w:type="lastRow">
      <w:rPr>
        <w:b/>
        <w:bCs/>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style>
  <w:style w:type="table" w:styleId="TableGrid3">
    <w:name w:val="Table Grid 3"/>
    <w:basedOn w:val="TableNormal"/>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top w:val="nil"/>
          <w:left w:val="nil"/>
          <w:bottom w:val="single" w:sz="6" w:space="0" w:color="000000"/>
          <w:right w:val="nil"/>
          <w:insideH w:val="nil"/>
          <w:insideV w:val="nil"/>
          <w:tl2br w:val="nil"/>
          <w:tr2bl w:val="nil"/>
        </w:tcBorders>
        <w:shd w:val="pct30" w:color="FFFF00" w:fill="FFFFFF"/>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TableGrid4">
    <w:name w:val="Table Grid 4"/>
    <w:basedOn w:val="TableNormal"/>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top w:val="nil"/>
          <w:left w:val="nil"/>
          <w:bottom w:val="single" w:sz="6" w:space="0" w:color="000000"/>
          <w:right w:val="nil"/>
          <w:insideH w:val="nil"/>
          <w:insideV w:val="nil"/>
          <w:tl2br w:val="nil"/>
          <w:tr2bl w:val="nil"/>
        </w:tcBorders>
        <w:shd w:val="pct30" w:color="FFFF00" w:fill="FFFFFF"/>
      </w:tcPr>
    </w:tblStylePr>
    <w:tblStylePr w:type="lastRow">
      <w:rPr>
        <w:b/>
        <w:bCs/>
        <w:color w:val="auto"/>
      </w:rPr>
      <w:tblPr/>
      <w:tcPr>
        <w:tcBorders>
          <w:top w:val="single" w:sz="6" w:space="0" w:color="000000"/>
          <w:left w:val="nil"/>
          <w:bottom w:val="nil"/>
          <w:right w:val="nil"/>
          <w:insideH w:val="nil"/>
          <w:insideV w:val="nil"/>
          <w:tl2br w:val="nil"/>
          <w:tr2bl w:val="nil"/>
        </w:tcBorders>
        <w:shd w:val="pct30" w:color="FFFF00" w:fill="FFFFFF"/>
      </w:tcPr>
    </w:tblStylePr>
    <w:tblStylePr w:type="lastCol">
      <w:rPr>
        <w:b/>
        <w:bCs/>
        <w:color w:val="auto"/>
      </w:rPr>
      <w:tblPr/>
      <w:tcPr>
        <w:tcBorders>
          <w:top w:val="nil"/>
          <w:left w:val="nil"/>
          <w:bottom w:val="nil"/>
          <w:right w:val="nil"/>
          <w:insideH w:val="nil"/>
          <w:insideV w:val="nil"/>
          <w:tl2br w:val="nil"/>
          <w:tr2bl w:val="nil"/>
        </w:tcBorders>
      </w:tcPr>
    </w:tblStylePr>
  </w:style>
  <w:style w:type="table" w:styleId="TableGrid5">
    <w:name w:val="Table Grid 5"/>
    <w:basedOn w:val="TableNormal"/>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top w:val="nil"/>
          <w:left w:val="nil"/>
          <w:bottom w:val="single" w:sz="12" w:space="0" w:color="000000"/>
          <w:right w:val="nil"/>
          <w:insideH w:val="nil"/>
          <w:insideV w:val="nil"/>
          <w:tl2br w:val="nil"/>
          <w:tr2bl w:val="nil"/>
        </w:tcBorders>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TableGrid6">
    <w:name w:val="Table Grid 6"/>
    <w:basedOn w:val="TableNormal"/>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top w:val="nil"/>
          <w:left w:val="nil"/>
          <w:bottom w:val="single" w:sz="6" w:space="0" w:color="000000"/>
          <w:right w:val="nil"/>
          <w:insideH w:val="nil"/>
          <w:insideV w:val="nil"/>
          <w:tl2br w:val="nil"/>
          <w:tr2bl w:val="nil"/>
        </w:tcBorders>
      </w:tcPr>
    </w:tblStylePr>
    <w:tblStylePr w:type="lastRow">
      <w:rPr>
        <w:color w:val="auto"/>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TableGrid7">
    <w:name w:val="Table Grid 7"/>
    <w:basedOn w:val="TableNormal"/>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top w:val="nil"/>
          <w:left w:val="nil"/>
          <w:bottom w:val="single" w:sz="12" w:space="0" w:color="000000"/>
          <w:right w:val="nil"/>
          <w:insideH w:val="nil"/>
          <w:insideV w:val="nil"/>
          <w:tl2br w:val="nil"/>
          <w:tr2bl w:val="nil"/>
        </w:tcBorders>
      </w:tcPr>
    </w:tblStylePr>
    <w:tblStylePr w:type="lastRow">
      <w:rPr>
        <w:b w:val="0"/>
        <w:bCs w:val="0"/>
      </w:rPr>
      <w:tblPr/>
      <w:tcPr>
        <w:tcBorders>
          <w:top w:val="single" w:sz="6" w:space="0" w:color="00000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TableGrid8">
    <w:name w:val="Table Grid 8"/>
    <w:basedOn w:val="TableNormal"/>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styleId="TableWeb1">
    <w:name w:val="Table Web 1"/>
    <w:basedOn w:val="TableNormal"/>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TableWeb2">
    <w:name w:val="Table Web 2"/>
    <w:basedOn w:val="TableNormal"/>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TableWeb3">
    <w:name w:val="Table Web 3"/>
    <w:basedOn w:val="TableNormal"/>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TableProfessional">
    <w:name w:val="Table Professional"/>
    <w:basedOn w:val="TableNormal"/>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op w:val="nil"/>
          <w:left w:val="nil"/>
          <w:bottom w:val="nil"/>
          <w:right w:val="nil"/>
          <w:insideH w:val="nil"/>
          <w:insideV w:val="nil"/>
          <w:tl2br w:val="nil"/>
          <w:tr2bl w:val="nil"/>
        </w:tcBorders>
        <w:shd w:val="solid" w:color="000000" w:fill="FFFFFF"/>
      </w:tcPr>
    </w:tblStylePr>
  </w:style>
  <w:style w:type="table" w:customStyle="1" w:styleId="KWTable2">
    <w:name w:val="K&amp;W Table 2"/>
    <w:basedOn w:val="TableGrid"/>
    <w:pPr>
      <w:spacing w:before="0" w:after="0" w:line="240" w:lineRule="auto"/>
    </w:pPr>
    <w:rPr>
      <w:sz w:val="16"/>
    </w:rPr>
    <w:tblPr>
      <w:tblInd w:w="14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rFonts w:ascii="Courier" w:hAnsi="Courier"/>
        <w:b/>
        <w:sz w:val="20"/>
      </w:rPr>
      <w:tblPr/>
      <w:trPr>
        <w:tblHeader/>
      </w:trPr>
      <w:tcPr>
        <w:tcBorders>
          <w:top w:val="single" w:sz="8" w:space="0" w:color="auto"/>
          <w:left w:val="single" w:sz="8" w:space="0" w:color="auto"/>
          <w:bottom w:val="single" w:sz="8" w:space="0" w:color="auto"/>
          <w:right w:val="single" w:sz="8" w:space="0" w:color="auto"/>
          <w:insideH w:val="single" w:sz="6" w:space="0" w:color="auto"/>
          <w:insideV w:val="single" w:sz="6" w:space="0" w:color="auto"/>
          <w:tl2br w:val="nil"/>
          <w:tr2bl w:val="nil"/>
        </w:tcBorders>
        <w:shd w:val="clear" w:color="auto" w:fill="8FA9C8"/>
      </w:tcPr>
    </w:tblStylePr>
  </w:style>
  <w:style w:type="table" w:customStyle="1" w:styleId="KWTable">
    <w:name w:val="K&amp;W Table"/>
    <w:basedOn w:val="TableGrid"/>
    <w:pPr>
      <w:spacing w:before="60" w:after="60" w:line="240" w:lineRule="auto"/>
      <w:contextualSpacing/>
    </w:pPr>
    <w:rPr>
      <w:rFonts w:eastAsia="KaiTi_GB2312"/>
      <w:sz w:val="24"/>
    </w:rPr>
    <w:tblPr>
      <w:tblInd w:w="14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rFonts w:ascii="Courier" w:hAnsi="Courier"/>
        <w:b/>
        <w:sz w:val="20"/>
      </w:rPr>
      <w:tblPr/>
      <w:tcPr>
        <w:shd w:val="clear" w:color="auto" w:fill="E0E0E0"/>
      </w:tcPr>
    </w:tblStylePr>
  </w:style>
  <w:style w:type="numbering" w:styleId="1ai">
    <w:name w:val="Outline List 1"/>
    <w:basedOn w:val="NoList"/>
    <w:semiHidden/>
    <w:rsid w:val="00933550"/>
    <w:pPr>
      <w:numPr>
        <w:numId w:val="28"/>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3992604">
      <w:bodyDiv w:val="1"/>
      <w:marLeft w:val="0"/>
      <w:marRight w:val="0"/>
      <w:marTop w:val="0"/>
      <w:marBottom w:val="0"/>
      <w:divBdr>
        <w:top w:val="none" w:sz="0" w:space="0" w:color="auto"/>
        <w:left w:val="none" w:sz="0" w:space="0" w:color="auto"/>
        <w:bottom w:val="none" w:sz="0" w:space="0" w:color="auto"/>
        <w:right w:val="none" w:sz="0" w:space="0" w:color="auto"/>
      </w:divBdr>
      <w:divsChild>
        <w:div w:id="1197694183">
          <w:marLeft w:val="0"/>
          <w:marRight w:val="0"/>
          <w:marTop w:val="0"/>
          <w:marBottom w:val="0"/>
          <w:divBdr>
            <w:top w:val="none" w:sz="0" w:space="0" w:color="auto"/>
            <w:left w:val="none" w:sz="0" w:space="0" w:color="auto"/>
            <w:bottom w:val="none" w:sz="0" w:space="0" w:color="auto"/>
            <w:right w:val="none" w:sz="0" w:space="0" w:color="auto"/>
          </w:divBdr>
          <w:divsChild>
            <w:div w:id="1928493153">
              <w:marLeft w:val="0"/>
              <w:marRight w:val="0"/>
              <w:marTop w:val="0"/>
              <w:marBottom w:val="0"/>
              <w:divBdr>
                <w:top w:val="none" w:sz="0" w:space="0" w:color="auto"/>
                <w:left w:val="none" w:sz="0" w:space="0" w:color="auto"/>
                <w:bottom w:val="none" w:sz="0" w:space="0" w:color="auto"/>
                <w:right w:val="none" w:sz="0" w:space="0" w:color="auto"/>
              </w:divBdr>
              <w:divsChild>
                <w:div w:id="1627464319">
                  <w:marLeft w:val="0"/>
                  <w:marRight w:val="0"/>
                  <w:marTop w:val="0"/>
                  <w:marBottom w:val="0"/>
                  <w:divBdr>
                    <w:top w:val="none" w:sz="0" w:space="0" w:color="auto"/>
                    <w:left w:val="none" w:sz="0" w:space="0" w:color="auto"/>
                    <w:bottom w:val="none" w:sz="0" w:space="0" w:color="auto"/>
                    <w:right w:val="none" w:sz="0" w:space="0" w:color="auto"/>
                  </w:divBdr>
                  <w:divsChild>
                    <w:div w:id="1525022776">
                      <w:marLeft w:val="0"/>
                      <w:marRight w:val="0"/>
                      <w:marTop w:val="0"/>
                      <w:marBottom w:val="0"/>
                      <w:divBdr>
                        <w:top w:val="none" w:sz="0" w:space="0" w:color="auto"/>
                        <w:left w:val="none" w:sz="0" w:space="0" w:color="auto"/>
                        <w:bottom w:val="none" w:sz="0" w:space="0" w:color="auto"/>
                        <w:right w:val="none" w:sz="0" w:space="0" w:color="auto"/>
                      </w:divBdr>
                      <w:divsChild>
                        <w:div w:id="792866451">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king%20&amp;%20wood\templates\KW%20DD%20TEMPLATE_Cn.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c:\king &amp; wood\templates\KW DD TEMPLATE_Cn.dot</Template>
  <TotalTime>0</TotalTime>
  <Pages>5</Pages>
  <Words>357</Words>
  <Characters>2035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范本</vt:lpstr>
    </vt:vector>
  </TitlesOfParts>
  <Company/>
  <LinksUpToDate>false</LinksUpToDate>
  <CharactersWithSpaces>2388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范本</dc:title>
  <dc:subject/>
  <dc:creator>yuqian</dc:creator>
  <cp:keywords> </cp:keywords>
  <cp:lastModifiedBy>Han Zewei</cp:lastModifiedBy>
  <cp:revision>3</cp:revision>
  <cp:lastPrinted>2025-11-16T05:53:00Z</cp:lastPrinted>
  <dcterms:created xsi:type="dcterms:W3CDTF">2025-11-16T05:53:00Z</dcterms:created>
  <dcterms:modified xsi:type="dcterms:W3CDTF">2025-11-16T05:53:00Z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Clean">
    <vt:bool>true</vt:bool>
  </property>
  <property fmtid="{D5CDD505-2E9C-101B-9397-08002B2CF9AE}" pid="3" name="DocDraft">
    <vt:bool>false</vt:bool>
  </property>
  <property fmtid="{D5CDD505-2E9C-101B-9397-08002B2CF9AE}" pid="4" name="Schedule">
    <vt:bool>true</vt:bool>
  </property>
  <property fmtid="{D5CDD505-2E9C-101B-9397-08002B2CF9AE}" pid="5" name="Attachment">
    <vt:bool>true</vt:bool>
  </property>
  <property fmtid="{D5CDD505-2E9C-101B-9397-08002B2CF9AE}" pid="6" name="Dictionary">
    <vt:bool>false</vt:bool>
  </property>
  <property fmtid="{D5CDD505-2E9C-101B-9397-08002B2CF9AE}" pid="7" name="DocType">
    <vt:lpwstr>Deed</vt:lpwstr>
  </property>
  <property fmtid="{D5CDD505-2E9C-101B-9397-08002B2CF9AE}" pid="8" name="Part">
    <vt:bool>false</vt:bool>
  </property>
  <property fmtid="{D5CDD505-2E9C-101B-9397-08002B2CF9AE}" pid="9" name="DocumentType">
    <vt:lpwstr>Report</vt:lpwstr>
  </property>
  <property fmtid="{D5CDD505-2E9C-101B-9397-08002B2CF9AE}" pid="10" name="DMFileName">
    <vt:lpwstr>KnowHow\22325v1</vt:lpwstr>
  </property>
  <property fmtid="{D5CDD505-2E9C-101B-9397-08002B2CF9AE}" pid="11" name="KSOProductBuildVer">
    <vt:lpwstr>2052-11.1.0.9740</vt:lpwstr>
  </property>
</Properties>
</file>