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CBE68" w14:textId="6032DAF2" w:rsidR="005B01A9" w:rsidRDefault="00356E74">
      <w:pPr>
        <w:snapToGrid w:val="0"/>
        <w:spacing w:before="360" w:after="360" w:line="320" w:lineRule="exact"/>
        <w:jc w:val="center"/>
        <w:rPr>
          <w:rFonts w:ascii="Arial" w:eastAsia="KaiTi_GB2312" w:hAnsi="Arial"/>
          <w:b/>
          <w:bCs/>
          <w:sz w:val="28"/>
          <w:szCs w:val="28"/>
        </w:rPr>
      </w:pPr>
      <w:bookmarkStart w:id="0" w:name="_Hlk214189366"/>
      <w:r>
        <w:rPr>
          <w:rFonts w:ascii="Arial" w:eastAsia="KaiTi_GB2312" w:hAnsi="Arial" w:hint="eastAsia"/>
          <w:b/>
          <w:bCs/>
          <w:sz w:val="28"/>
          <w:szCs w:val="28"/>
        </w:rPr>
        <w:t>北京鼎耘科技发展有限公司</w:t>
      </w:r>
    </w:p>
    <w:bookmarkEnd w:id="0"/>
    <w:p w14:paraId="66915540" w14:textId="77777777" w:rsidR="005B01A9" w:rsidRDefault="00D87B2B">
      <w:pPr>
        <w:snapToGrid w:val="0"/>
        <w:spacing w:before="360" w:after="360" w:line="320" w:lineRule="exact"/>
        <w:jc w:val="center"/>
        <w:rPr>
          <w:rFonts w:ascii="Arial" w:eastAsia="KaiTi_GB2312" w:hAnsi="Arial"/>
          <w:b/>
          <w:bCs/>
          <w:sz w:val="28"/>
          <w:szCs w:val="28"/>
        </w:rPr>
      </w:pPr>
      <w:r>
        <w:rPr>
          <w:rFonts w:ascii="Arial" w:eastAsia="KaiTi_GB2312" w:hAnsi="Arial" w:hint="eastAsia"/>
          <w:b/>
          <w:bCs/>
          <w:sz w:val="28"/>
          <w:szCs w:val="28"/>
        </w:rPr>
        <w:t>关于股份锁定期及不减持的承诺</w:t>
      </w:r>
    </w:p>
    <w:p w14:paraId="70805E4D" w14:textId="2822C42F" w:rsidR="005B01A9" w:rsidRDefault="00D87B2B">
      <w:pPr>
        <w:snapToGrid w:val="0"/>
        <w:spacing w:before="360" w:after="360" w:line="320" w:lineRule="exact"/>
        <w:ind w:firstLineChars="200" w:firstLine="480"/>
        <w:jc w:val="both"/>
        <w:rPr>
          <w:rFonts w:ascii="Arial" w:eastAsia="KaiTi_GB2312" w:hAnsi="Arial" w:cs="Arial"/>
          <w:sz w:val="24"/>
          <w:szCs w:val="24"/>
        </w:rPr>
      </w:pPr>
      <w:r>
        <w:rPr>
          <w:rFonts w:ascii="Arial" w:eastAsia="KaiTi_GB2312" w:hAnsi="Arial" w:cs="Arial" w:hint="eastAsia"/>
          <w:sz w:val="24"/>
          <w:szCs w:val="24"/>
        </w:rPr>
        <w:t>鉴于四川汇源光通信股份有限公司（以下简称“公司”）拟向特定对象发行</w:t>
      </w:r>
      <w:r>
        <w:rPr>
          <w:rFonts w:ascii="Arial" w:eastAsia="KaiTi_GB2312" w:hAnsi="Arial"/>
          <w:sz w:val="24"/>
          <w:szCs w:val="24"/>
        </w:rPr>
        <w:t>A</w:t>
      </w:r>
      <w:r>
        <w:rPr>
          <w:rFonts w:ascii="Arial" w:eastAsia="KaiTi_GB2312" w:hAnsi="Arial" w:cs="Arial" w:hint="eastAsia"/>
          <w:sz w:val="24"/>
          <w:szCs w:val="24"/>
        </w:rPr>
        <w:t>股股票（以下称“本次发行”），合肥鼎耘科技产业发展合伙企业（有限合伙）</w:t>
      </w:r>
      <w:r w:rsidR="00FD5313">
        <w:rPr>
          <w:rFonts w:ascii="Arial" w:eastAsia="KaiTi_GB2312" w:hAnsi="Arial" w:cs="Arial" w:hint="eastAsia"/>
          <w:sz w:val="24"/>
          <w:szCs w:val="24"/>
        </w:rPr>
        <w:t>（以下简称鼎耘产业）</w:t>
      </w:r>
      <w:r w:rsidR="00356E74">
        <w:rPr>
          <w:rFonts w:ascii="Arial" w:eastAsia="KaiTi_GB2312" w:hAnsi="Arial" w:cs="Arial" w:hint="eastAsia"/>
          <w:sz w:val="24"/>
          <w:szCs w:val="24"/>
        </w:rPr>
        <w:t>系</w:t>
      </w:r>
      <w:r>
        <w:rPr>
          <w:rFonts w:ascii="Arial" w:eastAsia="KaiTi_GB2312" w:hAnsi="Arial" w:cs="Arial" w:hint="eastAsia"/>
          <w:sz w:val="24"/>
          <w:szCs w:val="24"/>
        </w:rPr>
        <w:t>本次发行的认购对象</w:t>
      </w:r>
      <w:r w:rsidR="00356E74">
        <w:rPr>
          <w:rFonts w:ascii="Arial" w:eastAsia="KaiTi_GB2312" w:hAnsi="Arial" w:cs="Arial" w:hint="eastAsia"/>
          <w:sz w:val="24"/>
          <w:szCs w:val="24"/>
        </w:rPr>
        <w:t>。北京鼎耘科技发展有限公司（以下简称“鼎耘科技”）作为鼎耘产业的一致行动人，</w:t>
      </w:r>
      <w:r>
        <w:rPr>
          <w:rFonts w:ascii="Arial" w:eastAsia="KaiTi_GB2312" w:hAnsi="Arial" w:cs="Arial" w:hint="eastAsia"/>
          <w:sz w:val="24"/>
          <w:szCs w:val="24"/>
        </w:rPr>
        <w:t>作出如下承诺：</w:t>
      </w:r>
    </w:p>
    <w:p w14:paraId="56DC441F" w14:textId="77777777" w:rsidR="00356E74" w:rsidRDefault="00723B5B">
      <w:pPr>
        <w:spacing w:before="360" w:after="360" w:line="320" w:lineRule="exact"/>
        <w:ind w:firstLineChars="200" w:firstLine="480"/>
        <w:jc w:val="both"/>
        <w:rPr>
          <w:rFonts w:ascii="Arial" w:eastAsia="KaiTi_GB2312" w:hAnsi="Arial"/>
          <w:sz w:val="24"/>
          <w:szCs w:val="24"/>
        </w:rPr>
      </w:pPr>
      <w:r>
        <w:rPr>
          <w:rFonts w:ascii="Arial" w:eastAsia="KaiTi_GB2312" w:hAnsi="Arial" w:hint="eastAsia"/>
          <w:sz w:val="24"/>
          <w:szCs w:val="24"/>
        </w:rPr>
        <w:t>1</w:t>
      </w:r>
      <w:r w:rsidR="00D87B2B">
        <w:rPr>
          <w:rFonts w:ascii="Arial" w:eastAsia="KaiTi_GB2312" w:hAnsi="Arial" w:hint="eastAsia"/>
          <w:sz w:val="24"/>
          <w:szCs w:val="24"/>
        </w:rPr>
        <w:t>、</w:t>
      </w:r>
      <w:r w:rsidR="00356E74">
        <w:rPr>
          <w:rFonts w:ascii="Arial" w:eastAsia="KaiTi_GB2312" w:hAnsi="Arial" w:hint="eastAsia"/>
          <w:sz w:val="24"/>
          <w:szCs w:val="24"/>
        </w:rPr>
        <w:t>本次发行完成后，本企业持有的上市公司股份自本次发行结束之日起十八个月内不得转让；</w:t>
      </w:r>
    </w:p>
    <w:p w14:paraId="64916E6E" w14:textId="32BC1811" w:rsidR="00356E74" w:rsidRDefault="00356E74" w:rsidP="00356E74">
      <w:pPr>
        <w:spacing w:before="360" w:after="360" w:line="320" w:lineRule="exact"/>
        <w:ind w:firstLineChars="200" w:firstLine="480"/>
        <w:jc w:val="both"/>
        <w:rPr>
          <w:rFonts w:ascii="Arial" w:eastAsia="KaiTi_GB2312" w:hAnsi="Arial"/>
          <w:sz w:val="24"/>
          <w:szCs w:val="24"/>
        </w:rPr>
      </w:pPr>
      <w:r>
        <w:rPr>
          <w:rFonts w:ascii="Arial" w:eastAsia="KaiTi_GB2312" w:hAnsi="Arial" w:hint="eastAsia"/>
          <w:sz w:val="24"/>
          <w:szCs w:val="24"/>
        </w:rPr>
        <w:t>2</w:t>
      </w:r>
      <w:r>
        <w:rPr>
          <w:rFonts w:ascii="Arial" w:eastAsia="KaiTi_GB2312" w:hAnsi="Arial" w:hint="eastAsia"/>
          <w:sz w:val="24"/>
          <w:szCs w:val="24"/>
        </w:rPr>
        <w:t>、本企业因公司送股、转增股本等原因所衍生取得的公司股份，亦遵守上述股份锁定安排。</w:t>
      </w:r>
    </w:p>
    <w:p w14:paraId="3A464FC6" w14:textId="29F75F12" w:rsidR="00356E74" w:rsidRDefault="00356E74" w:rsidP="00356E74">
      <w:pPr>
        <w:spacing w:before="360" w:after="360" w:line="320" w:lineRule="exact"/>
        <w:ind w:firstLineChars="200" w:firstLine="480"/>
        <w:jc w:val="both"/>
        <w:rPr>
          <w:rFonts w:ascii="Arial" w:eastAsia="KaiTi_GB2312" w:hAnsi="Arial"/>
          <w:sz w:val="24"/>
          <w:szCs w:val="24"/>
        </w:rPr>
      </w:pPr>
      <w:r>
        <w:rPr>
          <w:rFonts w:ascii="Arial" w:eastAsia="KaiTi_GB2312" w:hAnsi="Arial" w:hint="eastAsia"/>
          <w:sz w:val="24"/>
          <w:szCs w:val="24"/>
        </w:rPr>
        <w:t>3</w:t>
      </w:r>
      <w:r>
        <w:rPr>
          <w:rFonts w:ascii="Arial" w:eastAsia="KaiTi_GB2312" w:hAnsi="Arial" w:hint="eastAsia"/>
          <w:sz w:val="24"/>
          <w:szCs w:val="24"/>
        </w:rPr>
        <w:t>、自本承诺函出具之日至公司本次发行实施完毕前，若中国证监会作出关于股份锁定的其他监管规定，且上述承诺不能满足中国证监会该等规定时，本企业承诺届时将按照中国证监会的最新规定出具补充承诺。</w:t>
      </w:r>
    </w:p>
    <w:p w14:paraId="366F224B" w14:textId="33CBEF13" w:rsidR="00356E74" w:rsidRDefault="00356E74" w:rsidP="00356E74">
      <w:pPr>
        <w:spacing w:before="360" w:after="360" w:line="320" w:lineRule="exact"/>
        <w:ind w:firstLineChars="200" w:firstLine="480"/>
        <w:jc w:val="both"/>
        <w:rPr>
          <w:rFonts w:ascii="Arial" w:eastAsia="KaiTi_GB2312" w:hAnsi="Arial" w:cs="Arial"/>
          <w:sz w:val="24"/>
          <w:szCs w:val="24"/>
        </w:rPr>
      </w:pPr>
      <w:r>
        <w:rPr>
          <w:rFonts w:ascii="Arial" w:eastAsia="KaiTi_GB2312" w:hAnsi="Arial" w:cs="Arial" w:hint="eastAsia"/>
          <w:sz w:val="24"/>
          <w:szCs w:val="24"/>
        </w:rPr>
        <w:t>4</w:t>
      </w:r>
      <w:r>
        <w:rPr>
          <w:rFonts w:ascii="Arial" w:eastAsia="KaiTi_GB2312" w:hAnsi="Arial" w:cs="Arial" w:hint="eastAsia"/>
          <w:sz w:val="24"/>
          <w:szCs w:val="24"/>
        </w:rPr>
        <w:t>、若本企业违反上述承诺给公司或者其投资者造成损失的，本企业愿意依法承担赔偿责任。</w:t>
      </w:r>
    </w:p>
    <w:p w14:paraId="3D6BE3DF" w14:textId="77777777" w:rsidR="005B01A9" w:rsidRDefault="00D87B2B">
      <w:pPr>
        <w:spacing w:before="360" w:after="360" w:line="320" w:lineRule="exact"/>
        <w:ind w:firstLineChars="200" w:firstLine="480"/>
        <w:jc w:val="both"/>
        <w:rPr>
          <w:rFonts w:ascii="Arial" w:eastAsia="KaiTi_GB2312" w:hAnsi="Arial" w:cs="Arial"/>
          <w:sz w:val="24"/>
          <w:szCs w:val="24"/>
        </w:rPr>
      </w:pPr>
      <w:r>
        <w:rPr>
          <w:rFonts w:ascii="Arial" w:eastAsia="KaiTi_GB2312" w:hAnsi="Arial" w:cs="Arial" w:hint="eastAsia"/>
          <w:sz w:val="24"/>
          <w:szCs w:val="24"/>
        </w:rPr>
        <w:t>特此承诺。</w:t>
      </w:r>
    </w:p>
    <w:p w14:paraId="6F11B854" w14:textId="77777777" w:rsidR="005B01A9" w:rsidRDefault="00D87B2B">
      <w:pPr>
        <w:spacing w:beforeLines="50" w:before="156" w:afterLines="50" w:after="156" w:line="400" w:lineRule="exact"/>
        <w:ind w:firstLineChars="200" w:firstLine="480"/>
        <w:rPr>
          <w:rFonts w:ascii="Arial" w:eastAsia="KaiTi_GB2312" w:hAnsi="Arial"/>
          <w:sz w:val="24"/>
        </w:rPr>
      </w:pPr>
      <w:r>
        <w:rPr>
          <w:rFonts w:ascii="Arial" w:eastAsia="KaiTi_GB2312" w:hAnsi="Arial"/>
          <w:sz w:val="24"/>
        </w:rPr>
        <w:t>（以下无正文，为</w:t>
      </w:r>
      <w:r>
        <w:rPr>
          <w:rFonts w:ascii="Arial" w:eastAsia="KaiTi_GB2312" w:hAnsi="Arial" w:hint="eastAsia"/>
          <w:sz w:val="24"/>
        </w:rPr>
        <w:t>签署</w:t>
      </w:r>
      <w:r>
        <w:rPr>
          <w:rFonts w:ascii="Arial" w:eastAsia="KaiTi_GB2312" w:hAnsi="Arial"/>
          <w:sz w:val="24"/>
        </w:rPr>
        <w:t>页）</w:t>
      </w:r>
    </w:p>
    <w:p w14:paraId="15D951F3" w14:textId="77777777" w:rsidR="005B01A9" w:rsidRDefault="00D87B2B">
      <w:pPr>
        <w:spacing w:beforeLines="50" w:before="156" w:afterLines="50" w:after="156" w:line="400" w:lineRule="exact"/>
        <w:ind w:firstLineChars="200" w:firstLine="480"/>
        <w:rPr>
          <w:rFonts w:ascii="Arial" w:eastAsia="KaiTi_GB2312" w:hAnsi="Arial"/>
          <w:sz w:val="24"/>
        </w:rPr>
      </w:pPr>
      <w:r>
        <w:rPr>
          <w:rFonts w:ascii="Arial" w:eastAsia="KaiTi_GB2312" w:hAnsi="Arial"/>
          <w:sz w:val="24"/>
        </w:rPr>
        <w:br w:type="page"/>
      </w:r>
    </w:p>
    <w:p w14:paraId="4D298C40" w14:textId="123A250E" w:rsidR="005B01A9" w:rsidRDefault="00D87B2B">
      <w:pPr>
        <w:spacing w:beforeLines="50" w:before="156" w:afterLines="50" w:after="156" w:line="400" w:lineRule="exact"/>
        <w:rPr>
          <w:rFonts w:ascii="Arial" w:eastAsia="KaiTi_GB2312" w:hAnsi="Arial"/>
          <w:sz w:val="24"/>
        </w:rPr>
      </w:pPr>
      <w:r>
        <w:rPr>
          <w:rFonts w:ascii="Arial" w:eastAsia="KaiTi_GB2312" w:hAnsi="Arial"/>
          <w:sz w:val="24"/>
        </w:rPr>
        <w:lastRenderedPageBreak/>
        <w:t>（本页无正文，为《</w:t>
      </w:r>
      <w:r w:rsidR="00356E74" w:rsidRPr="00356E74">
        <w:rPr>
          <w:rFonts w:ascii="Arial" w:eastAsia="KaiTi_GB2312" w:hAnsi="Arial" w:hint="eastAsia"/>
          <w:sz w:val="24"/>
        </w:rPr>
        <w:t>北京鼎耘科技发展有限公司</w:t>
      </w:r>
      <w:r>
        <w:rPr>
          <w:rFonts w:ascii="Arial" w:eastAsia="KaiTi_GB2312" w:hAnsi="Arial" w:hint="eastAsia"/>
          <w:sz w:val="24"/>
        </w:rPr>
        <w:t>关于股份锁定期及不减持的承诺</w:t>
      </w:r>
      <w:r>
        <w:rPr>
          <w:rFonts w:ascii="Arial" w:eastAsia="KaiTi_GB2312" w:hAnsi="Arial"/>
          <w:sz w:val="24"/>
        </w:rPr>
        <w:t>》的</w:t>
      </w:r>
      <w:r>
        <w:rPr>
          <w:rFonts w:ascii="Arial" w:eastAsia="KaiTi_GB2312" w:hAnsi="Arial" w:hint="eastAsia"/>
          <w:sz w:val="24"/>
        </w:rPr>
        <w:t>签署</w:t>
      </w:r>
      <w:r>
        <w:rPr>
          <w:rFonts w:ascii="Arial" w:eastAsia="KaiTi_GB2312" w:hAnsi="Arial"/>
          <w:sz w:val="24"/>
        </w:rPr>
        <w:t>页）</w:t>
      </w:r>
    </w:p>
    <w:p w14:paraId="4DF65D33" w14:textId="77777777" w:rsidR="005B01A9" w:rsidRDefault="005B01A9">
      <w:pPr>
        <w:spacing w:beforeLines="50" w:before="156" w:afterLines="50" w:after="156" w:line="400" w:lineRule="exact"/>
        <w:ind w:right="240" w:firstLineChars="200" w:firstLine="480"/>
        <w:rPr>
          <w:rFonts w:ascii="Arial" w:eastAsia="KaiTi_GB2312" w:hAnsi="Arial"/>
          <w:sz w:val="24"/>
        </w:rPr>
      </w:pPr>
    </w:p>
    <w:p w14:paraId="7F624138" w14:textId="77777777" w:rsidR="005B01A9" w:rsidRDefault="005B01A9">
      <w:pPr>
        <w:spacing w:beforeLines="50" w:before="156" w:afterLines="50" w:after="156" w:line="400" w:lineRule="exact"/>
        <w:ind w:right="240" w:firstLineChars="200" w:firstLine="480"/>
        <w:rPr>
          <w:rFonts w:ascii="Arial" w:eastAsia="KaiTi_GB2312" w:hAnsi="Arial"/>
          <w:sz w:val="24"/>
        </w:rPr>
      </w:pPr>
    </w:p>
    <w:p w14:paraId="776CFD6C" w14:textId="0C2DE3C2" w:rsidR="005B01A9" w:rsidRDefault="00356E74">
      <w:pPr>
        <w:spacing w:beforeLines="50" w:before="156" w:afterLines="50" w:after="156" w:line="400" w:lineRule="exact"/>
        <w:ind w:right="240" w:firstLineChars="200" w:firstLine="480"/>
        <w:jc w:val="right"/>
        <w:rPr>
          <w:rFonts w:ascii="Arial" w:eastAsia="KaiTi_GB2312" w:hAnsi="Arial"/>
          <w:sz w:val="24"/>
        </w:rPr>
      </w:pPr>
      <w:r w:rsidRPr="00356E74">
        <w:rPr>
          <w:rFonts w:ascii="Arial" w:eastAsia="KaiTi_GB2312" w:hAnsi="Arial" w:hint="eastAsia"/>
          <w:sz w:val="24"/>
        </w:rPr>
        <w:t>北京鼎耘科技发展有限公司</w:t>
      </w:r>
      <w:r w:rsidR="00D87B2B">
        <w:rPr>
          <w:rFonts w:ascii="Arial" w:eastAsia="KaiTi_GB2312" w:hAnsi="Arial" w:hint="eastAsia"/>
          <w:sz w:val="24"/>
        </w:rPr>
        <w:t>（盖章）</w:t>
      </w:r>
    </w:p>
    <w:p w14:paraId="2B4310A5" w14:textId="77777777" w:rsidR="005B01A9" w:rsidRDefault="005B01A9">
      <w:pPr>
        <w:spacing w:beforeLines="50" w:before="156" w:afterLines="50" w:after="156" w:line="400" w:lineRule="exact"/>
        <w:ind w:right="240" w:firstLineChars="200" w:firstLine="480"/>
        <w:jc w:val="right"/>
        <w:rPr>
          <w:rFonts w:ascii="Arial" w:eastAsia="KaiTi_GB2312" w:hAnsi="Arial"/>
          <w:sz w:val="24"/>
        </w:rPr>
      </w:pPr>
    </w:p>
    <w:p w14:paraId="46E25FE2" w14:textId="77777777" w:rsidR="005B01A9" w:rsidRDefault="00D87B2B">
      <w:pPr>
        <w:wordWrap w:val="0"/>
        <w:spacing w:beforeLines="50" w:before="156" w:afterLines="50" w:after="156" w:line="400" w:lineRule="exact"/>
        <w:ind w:firstLineChars="200" w:firstLine="480"/>
        <w:jc w:val="center"/>
        <w:rPr>
          <w:rFonts w:ascii="Arial" w:eastAsia="KaiTi_GB2312" w:hAnsi="Arial"/>
          <w:sz w:val="24"/>
        </w:rPr>
      </w:pPr>
      <w:r>
        <w:rPr>
          <w:rFonts w:ascii="Arial" w:eastAsia="KaiTi_GB2312" w:hAnsi="Arial" w:hint="eastAsia"/>
          <w:sz w:val="24"/>
        </w:rPr>
        <w:t xml:space="preserve">                       </w:t>
      </w:r>
      <w:r>
        <w:rPr>
          <w:rFonts w:ascii="Arial" w:eastAsia="KaiTi_GB2312" w:hAnsi="Arial"/>
          <w:sz w:val="24"/>
        </w:rPr>
        <w:t xml:space="preserve">  </w:t>
      </w:r>
      <w:r>
        <w:rPr>
          <w:rFonts w:ascii="Arial" w:eastAsia="KaiTi_GB2312" w:hAnsi="Arial"/>
          <w:sz w:val="24"/>
        </w:rPr>
        <w:t>年</w:t>
      </w:r>
      <w:r>
        <w:rPr>
          <w:rFonts w:ascii="Arial" w:eastAsia="KaiTi_GB2312" w:hAnsi="Arial"/>
          <w:sz w:val="24"/>
        </w:rPr>
        <w:t xml:space="preserve">       </w:t>
      </w:r>
      <w:r>
        <w:rPr>
          <w:rFonts w:ascii="Arial" w:eastAsia="KaiTi_GB2312" w:hAnsi="Arial"/>
          <w:sz w:val="24"/>
        </w:rPr>
        <w:t>月</w:t>
      </w:r>
      <w:r>
        <w:rPr>
          <w:rFonts w:ascii="Arial" w:eastAsia="KaiTi_GB2312" w:hAnsi="Arial"/>
          <w:sz w:val="24"/>
        </w:rPr>
        <w:t xml:space="preserve">     </w:t>
      </w:r>
      <w:r>
        <w:rPr>
          <w:rFonts w:ascii="Arial" w:eastAsia="KaiTi_GB2312" w:hAnsi="Arial"/>
          <w:sz w:val="24"/>
        </w:rPr>
        <w:t>日</w:t>
      </w:r>
      <w:r>
        <w:rPr>
          <w:rFonts w:ascii="Arial" w:eastAsia="KaiTi_GB2312" w:hAnsi="Arial" w:hint="eastAsia"/>
          <w:sz w:val="24"/>
        </w:rPr>
        <w:t xml:space="preserve"> </w:t>
      </w:r>
      <w:r>
        <w:rPr>
          <w:rFonts w:ascii="Arial" w:eastAsia="KaiTi_GB2312" w:hAnsi="Arial"/>
          <w:sz w:val="24"/>
        </w:rPr>
        <w:t xml:space="preserve">    </w:t>
      </w:r>
    </w:p>
    <w:p w14:paraId="7585480D" w14:textId="77777777" w:rsidR="005B01A9" w:rsidRDefault="005B01A9">
      <w:pPr>
        <w:pStyle w:val="KWBodytext"/>
        <w:spacing w:after="0" w:line="400" w:lineRule="exact"/>
        <w:ind w:firstLineChars="200" w:firstLine="480"/>
        <w:rPr>
          <w:kern w:val="2"/>
          <w:sz w:val="24"/>
          <w:szCs w:val="24"/>
          <w:lang w:eastAsia="zh-CN"/>
        </w:rPr>
      </w:pPr>
    </w:p>
    <w:p w14:paraId="152A0A98" w14:textId="77777777" w:rsidR="005B01A9" w:rsidRDefault="005B01A9">
      <w:pPr>
        <w:spacing w:line="400" w:lineRule="exact"/>
        <w:ind w:firstLineChars="200" w:firstLine="480"/>
        <w:rPr>
          <w:rFonts w:ascii="Arial" w:eastAsia="KaiTi_GB2312" w:hAnsi="Arial"/>
          <w:sz w:val="24"/>
        </w:rPr>
      </w:pPr>
    </w:p>
    <w:p w14:paraId="08E5240B" w14:textId="77777777" w:rsidR="005B01A9" w:rsidRDefault="005B01A9">
      <w:pPr>
        <w:spacing w:before="360" w:after="360" w:line="320" w:lineRule="exact"/>
        <w:jc w:val="both"/>
        <w:rPr>
          <w:rFonts w:ascii="Arial" w:eastAsia="KaiTi_GB2312" w:hAnsi="Arial"/>
          <w:sz w:val="24"/>
          <w:szCs w:val="24"/>
        </w:rPr>
      </w:pPr>
    </w:p>
    <w:sectPr w:rsidR="005B01A9">
      <w:headerReference w:type="default" r:id="rId6"/>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3E2A2" w14:textId="77777777" w:rsidR="00C5279F" w:rsidRDefault="00C5279F">
      <w:r>
        <w:separator/>
      </w:r>
    </w:p>
  </w:endnote>
  <w:endnote w:type="continuationSeparator" w:id="0">
    <w:p w14:paraId="22D248A4" w14:textId="77777777" w:rsidR="00C5279F" w:rsidRDefault="00C52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KaiTi_GB2312">
    <w:panose1 w:val="02010609030101010101"/>
    <w:charset w:val="86"/>
    <w:family w:val="modern"/>
    <w:pitch w:val="fixed"/>
    <w:sig w:usb0="00000001" w:usb1="080E0000" w:usb2="00000010" w:usb3="00000000" w:csb0="0004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4AE6" w14:textId="77777777" w:rsidR="005B01A9" w:rsidRDefault="00D87B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4E814E6" w14:textId="77777777" w:rsidR="005B01A9" w:rsidRDefault="005B01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1EAC" w14:textId="77777777" w:rsidR="005B01A9" w:rsidRDefault="00D87B2B">
    <w:pPr>
      <w:pStyle w:val="Footer"/>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1E481" w14:textId="77777777" w:rsidR="00C5279F" w:rsidRDefault="00C5279F">
      <w:r>
        <w:separator/>
      </w:r>
    </w:p>
  </w:footnote>
  <w:footnote w:type="continuationSeparator" w:id="0">
    <w:p w14:paraId="64808933" w14:textId="77777777" w:rsidR="00C5279F" w:rsidRDefault="00C52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1872" w14:textId="77777777" w:rsidR="005B01A9" w:rsidRDefault="005B01A9">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589"/>
    <w:rsid w:val="F7700F18"/>
    <w:rsid w:val="FBFA92D8"/>
    <w:rsid w:val="000033C1"/>
    <w:rsid w:val="00062752"/>
    <w:rsid w:val="000844C4"/>
    <w:rsid w:val="000C518F"/>
    <w:rsid w:val="000E2313"/>
    <w:rsid w:val="00106D82"/>
    <w:rsid w:val="00120167"/>
    <w:rsid w:val="00124A3C"/>
    <w:rsid w:val="00135DCD"/>
    <w:rsid w:val="00135E6D"/>
    <w:rsid w:val="00153DC7"/>
    <w:rsid w:val="001B2820"/>
    <w:rsid w:val="001E714A"/>
    <w:rsid w:val="00226FD3"/>
    <w:rsid w:val="00233BC3"/>
    <w:rsid w:val="0024701D"/>
    <w:rsid w:val="00254057"/>
    <w:rsid w:val="00277310"/>
    <w:rsid w:val="003178B3"/>
    <w:rsid w:val="003349AA"/>
    <w:rsid w:val="003433D2"/>
    <w:rsid w:val="00356E74"/>
    <w:rsid w:val="00364DC2"/>
    <w:rsid w:val="003740D1"/>
    <w:rsid w:val="00376BEF"/>
    <w:rsid w:val="003B2552"/>
    <w:rsid w:val="003D4FBD"/>
    <w:rsid w:val="003F2C1D"/>
    <w:rsid w:val="003F749C"/>
    <w:rsid w:val="00415EBE"/>
    <w:rsid w:val="00426891"/>
    <w:rsid w:val="004E000A"/>
    <w:rsid w:val="004E00D7"/>
    <w:rsid w:val="004F087A"/>
    <w:rsid w:val="004F267E"/>
    <w:rsid w:val="00503441"/>
    <w:rsid w:val="00523973"/>
    <w:rsid w:val="005500DF"/>
    <w:rsid w:val="005B01A9"/>
    <w:rsid w:val="005C5332"/>
    <w:rsid w:val="005C5F85"/>
    <w:rsid w:val="005E0CA2"/>
    <w:rsid w:val="005E286C"/>
    <w:rsid w:val="00602028"/>
    <w:rsid w:val="0061559C"/>
    <w:rsid w:val="00646DF7"/>
    <w:rsid w:val="006603DB"/>
    <w:rsid w:val="0068253C"/>
    <w:rsid w:val="00682D32"/>
    <w:rsid w:val="006E7FE1"/>
    <w:rsid w:val="00723B5B"/>
    <w:rsid w:val="00736FFA"/>
    <w:rsid w:val="00763BA4"/>
    <w:rsid w:val="00763C77"/>
    <w:rsid w:val="00790B3E"/>
    <w:rsid w:val="007C16AA"/>
    <w:rsid w:val="007D7D31"/>
    <w:rsid w:val="00803C48"/>
    <w:rsid w:val="00805078"/>
    <w:rsid w:val="008116E8"/>
    <w:rsid w:val="00832336"/>
    <w:rsid w:val="00861D2D"/>
    <w:rsid w:val="008C5756"/>
    <w:rsid w:val="008D2764"/>
    <w:rsid w:val="008E09BF"/>
    <w:rsid w:val="008E5657"/>
    <w:rsid w:val="008E7FD6"/>
    <w:rsid w:val="008F37F5"/>
    <w:rsid w:val="009205DC"/>
    <w:rsid w:val="009418A1"/>
    <w:rsid w:val="00942760"/>
    <w:rsid w:val="0094548A"/>
    <w:rsid w:val="009704B2"/>
    <w:rsid w:val="0097355B"/>
    <w:rsid w:val="00980405"/>
    <w:rsid w:val="009D0DF1"/>
    <w:rsid w:val="009D1C14"/>
    <w:rsid w:val="009D30FB"/>
    <w:rsid w:val="009E5FF0"/>
    <w:rsid w:val="00A03933"/>
    <w:rsid w:val="00A155BB"/>
    <w:rsid w:val="00A227FF"/>
    <w:rsid w:val="00A665B3"/>
    <w:rsid w:val="00AB28CD"/>
    <w:rsid w:val="00AB3EA4"/>
    <w:rsid w:val="00AC07E0"/>
    <w:rsid w:val="00AD1400"/>
    <w:rsid w:val="00AF5796"/>
    <w:rsid w:val="00B13C39"/>
    <w:rsid w:val="00B516ED"/>
    <w:rsid w:val="00B84094"/>
    <w:rsid w:val="00B904B6"/>
    <w:rsid w:val="00B93D48"/>
    <w:rsid w:val="00BA5260"/>
    <w:rsid w:val="00BB3511"/>
    <w:rsid w:val="00BE1CF9"/>
    <w:rsid w:val="00BF0B7E"/>
    <w:rsid w:val="00BF6299"/>
    <w:rsid w:val="00C04E0E"/>
    <w:rsid w:val="00C37387"/>
    <w:rsid w:val="00C5279F"/>
    <w:rsid w:val="00C550FD"/>
    <w:rsid w:val="00C730DC"/>
    <w:rsid w:val="00C805D9"/>
    <w:rsid w:val="00C839D3"/>
    <w:rsid w:val="00C912BC"/>
    <w:rsid w:val="00C95589"/>
    <w:rsid w:val="00C97B39"/>
    <w:rsid w:val="00CD2E88"/>
    <w:rsid w:val="00CE2A4D"/>
    <w:rsid w:val="00CF213C"/>
    <w:rsid w:val="00CF7F95"/>
    <w:rsid w:val="00D316E4"/>
    <w:rsid w:val="00D73A64"/>
    <w:rsid w:val="00D87B2B"/>
    <w:rsid w:val="00DB2EDB"/>
    <w:rsid w:val="00DF6775"/>
    <w:rsid w:val="00DF6F31"/>
    <w:rsid w:val="00E24B33"/>
    <w:rsid w:val="00E3653D"/>
    <w:rsid w:val="00E40B09"/>
    <w:rsid w:val="00E54521"/>
    <w:rsid w:val="00EC75BC"/>
    <w:rsid w:val="00F06011"/>
    <w:rsid w:val="00F35254"/>
    <w:rsid w:val="00F35F69"/>
    <w:rsid w:val="00F60ABD"/>
    <w:rsid w:val="00F81C27"/>
    <w:rsid w:val="00F84B74"/>
    <w:rsid w:val="00F935BF"/>
    <w:rsid w:val="00F9382A"/>
    <w:rsid w:val="00FD5313"/>
    <w:rsid w:val="00FE09EE"/>
    <w:rsid w:val="07524357"/>
    <w:rsid w:val="7AB8F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D9E3F"/>
  <w15:docId w15:val="{8FBBA742-4A8C-4962-9E51-C8CD3E91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KaiTi_GB2312" w:hAnsi="Arial"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textAlignment w:val="baseline"/>
    </w:pPr>
    <w:rPr>
      <w:rFonts w:ascii="SimSun" w:eastAsia="SimSun" w:hAnsi="Times New Roman" w:cs="Times New Roman"/>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nhideWhenUsed/>
    <w:pPr>
      <w:tabs>
        <w:tab w:val="center" w:pos="4153"/>
        <w:tab w:val="right" w:pos="8306"/>
      </w:tabs>
      <w:snapToGrid w:val="0"/>
    </w:pPr>
    <w:rPr>
      <w:sz w:val="18"/>
      <w:szCs w:val="18"/>
    </w:rPr>
  </w:style>
  <w:style w:type="paragraph" w:styleId="Header">
    <w:name w:val="header"/>
    <w:basedOn w:val="Normal"/>
    <w:link w:val="HeaderChar"/>
    <w:unhideWhenUsed/>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uiPriority w:val="99"/>
    <w:semiHidden/>
    <w:unhideWhenUsed/>
    <w:rPr>
      <w:b/>
      <w:bCs/>
    </w:rPr>
  </w:style>
  <w:style w:type="character" w:styleId="PageNumber">
    <w:name w:val="page number"/>
    <w:basedOn w:val="DefaultParagraphFont"/>
  </w:style>
  <w:style w:type="character" w:styleId="Hyperlink">
    <w:name w:val="Hyperlink"/>
    <w:basedOn w:val="DefaultParagraphFont"/>
    <w:uiPriority w:val="99"/>
    <w:semiHidden/>
    <w:unhideWhenUsed/>
    <w:rPr>
      <w:color w:val="0000FF"/>
      <w:u w:val="single"/>
    </w:rPr>
  </w:style>
  <w:style w:type="character" w:styleId="CommentReference">
    <w:name w:val="annotation reference"/>
    <w:basedOn w:val="DefaultParagraphFont"/>
    <w:uiPriority w:val="99"/>
    <w:semiHidden/>
    <w:unhideWhenUsed/>
    <w:rPr>
      <w:sz w:val="21"/>
      <w:szCs w:val="21"/>
    </w:rPr>
  </w:style>
  <w:style w:type="character" w:customStyle="1" w:styleId="HeaderChar">
    <w:name w:val="Header Char"/>
    <w:basedOn w:val="DefaultParagraphFont"/>
    <w:link w:val="Header"/>
    <w:rPr>
      <w:sz w:val="18"/>
      <w:szCs w:val="18"/>
    </w:rPr>
  </w:style>
  <w:style w:type="character" w:customStyle="1" w:styleId="FooterChar">
    <w:name w:val="Footer Char"/>
    <w:basedOn w:val="DefaultParagraphFont"/>
    <w:link w:val="Footer"/>
    <w:rPr>
      <w:sz w:val="18"/>
      <w:szCs w:val="18"/>
    </w:rPr>
  </w:style>
  <w:style w:type="paragraph" w:styleId="ListParagraph">
    <w:name w:val="List Paragraph"/>
    <w:basedOn w:val="Normal"/>
    <w:uiPriority w:val="34"/>
    <w:qFormat/>
    <w:pPr>
      <w:ind w:firstLineChars="200" w:firstLine="420"/>
    </w:pPr>
  </w:style>
  <w:style w:type="paragraph" w:customStyle="1" w:styleId="KWBodytext">
    <w:name w:val="K&amp;W Body text"/>
    <w:basedOn w:val="Normal"/>
    <w:pPr>
      <w:widowControl/>
      <w:autoSpaceDE/>
      <w:autoSpaceDN/>
      <w:adjustRightInd/>
      <w:spacing w:after="280" w:line="240" w:lineRule="atLeast"/>
      <w:jc w:val="both"/>
      <w:textAlignment w:val="auto"/>
    </w:pPr>
    <w:rPr>
      <w:rFonts w:ascii="Arial" w:eastAsia="KaiTi_GB2312" w:hAnsi="Arial"/>
      <w:sz w:val="20"/>
      <w:szCs w:val="20"/>
      <w:lang w:eastAsia="en-US"/>
    </w:rPr>
  </w:style>
  <w:style w:type="character" w:customStyle="1" w:styleId="BalloonTextChar">
    <w:name w:val="Balloon Text Char"/>
    <w:basedOn w:val="DefaultParagraphFont"/>
    <w:link w:val="BalloonText"/>
    <w:uiPriority w:val="99"/>
    <w:semiHidden/>
    <w:rPr>
      <w:rFonts w:ascii="SimSun" w:eastAsia="SimSun" w:hAnsi="Times New Roman" w:cs="Times New Roman"/>
      <w:sz w:val="18"/>
      <w:szCs w:val="18"/>
    </w:rPr>
  </w:style>
  <w:style w:type="character" w:customStyle="1" w:styleId="CommentTextChar">
    <w:name w:val="Comment Text Char"/>
    <w:basedOn w:val="DefaultParagraphFont"/>
    <w:link w:val="CommentText"/>
    <w:uiPriority w:val="99"/>
    <w:rPr>
      <w:rFonts w:ascii="SimSun" w:eastAsia="SimSun" w:hAnsi="Times New Roman" w:cs="Times New Roman"/>
      <w:sz w:val="34"/>
      <w:szCs w:val="34"/>
    </w:rPr>
  </w:style>
  <w:style w:type="character" w:customStyle="1" w:styleId="CommentSubjectChar">
    <w:name w:val="Comment Subject Char"/>
    <w:basedOn w:val="CommentTextChar"/>
    <w:link w:val="CommentSubject"/>
    <w:uiPriority w:val="99"/>
    <w:semiHidden/>
    <w:rPr>
      <w:rFonts w:ascii="SimSun" w:eastAsia="SimSun" w:hAnsi="Times New Roman" w:cs="Times New Roman"/>
      <w:b/>
      <w:bC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Words>
  <Characters>439</Characters>
  <Application>Microsoft Office Word</Application>
  <DocSecurity>0</DocSecurity>
  <Lines>3</Lines>
  <Paragraphs>1</Paragraphs>
  <ScaleCrop>false</ScaleCrop>
  <Company>KWM</Company>
  <LinksUpToDate>false</LinksUpToDate>
  <CharactersWithSpaces>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Xiaoqin</dc:creator>
  <cp:lastModifiedBy>Han Zewei</cp:lastModifiedBy>
  <cp:revision>3</cp:revision>
  <dcterms:created xsi:type="dcterms:W3CDTF">2025-11-16T04:38:00Z</dcterms:created>
  <dcterms:modified xsi:type="dcterms:W3CDTF">2025-11-16T04:42:00Z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18CD3AE81203395EC2A41269A5E9891D_43</vt:lpwstr>
  </property>
</Properties>
</file>