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360" w:after="360" w:line="320" w:lineRule="exact"/>
        <w:jc w:val="center"/>
        <w:rPr>
          <w:rFonts w:ascii="Arial" w:hAnsi="Arial" w:eastAsia="楷体_GB2312"/>
          <w:b/>
          <w:bCs/>
          <w:sz w:val="28"/>
          <w:szCs w:val="28"/>
        </w:rPr>
      </w:pPr>
      <w:r>
        <w:rPr>
          <w:rFonts w:hint="eastAsia" w:ascii="Arial" w:hAnsi="Arial" w:eastAsia="楷体_GB2312"/>
          <w:b/>
          <w:bCs/>
          <w:sz w:val="28"/>
          <w:szCs w:val="28"/>
        </w:rPr>
        <w:t>合肥鼎耘科技产业发展合伙企业（有限合伙）</w:t>
      </w:r>
    </w:p>
    <w:p>
      <w:pPr>
        <w:snapToGrid w:val="0"/>
        <w:spacing w:before="360" w:after="360" w:line="320" w:lineRule="exact"/>
        <w:jc w:val="center"/>
        <w:rPr>
          <w:rFonts w:ascii="Arial" w:hAnsi="Arial" w:eastAsia="楷体_GB2312"/>
          <w:b/>
          <w:bCs/>
          <w:sz w:val="28"/>
          <w:szCs w:val="28"/>
        </w:rPr>
      </w:pPr>
      <w:r>
        <w:rPr>
          <w:rFonts w:hint="eastAsia" w:ascii="Arial" w:hAnsi="Arial" w:eastAsia="楷体_GB2312"/>
          <w:b/>
          <w:bCs/>
          <w:sz w:val="28"/>
          <w:szCs w:val="28"/>
        </w:rPr>
        <w:t>关于认购资金来源及其他合规性事宜的承诺</w:t>
      </w:r>
    </w:p>
    <w:p>
      <w:pPr>
        <w:snapToGrid w:val="0"/>
        <w:spacing w:before="360" w:after="360" w:line="320" w:lineRule="exact"/>
        <w:ind w:firstLine="480" w:firstLineChars="200"/>
        <w:jc w:val="both"/>
        <w:rPr>
          <w:rFonts w:ascii="Arial" w:hAnsi="Arial" w:eastAsia="楷体_GB2312" w:cs="Arial"/>
          <w:sz w:val="24"/>
          <w:szCs w:val="24"/>
        </w:rPr>
      </w:pPr>
      <w:r>
        <w:rPr>
          <w:rFonts w:hint="eastAsia" w:ascii="Arial" w:hAnsi="Arial" w:eastAsia="楷体_GB2312" w:cs="Arial"/>
          <w:sz w:val="24"/>
          <w:szCs w:val="24"/>
        </w:rPr>
        <w:t>鉴于四川汇源光通信股份有限公司（以下简称“公司”）拟向特定对象发行</w:t>
      </w:r>
      <w:r>
        <w:rPr>
          <w:rFonts w:ascii="Arial" w:hAnsi="Arial" w:eastAsia="楷体_GB2312"/>
          <w:sz w:val="24"/>
          <w:szCs w:val="24"/>
        </w:rPr>
        <w:t>A</w:t>
      </w:r>
      <w:r>
        <w:rPr>
          <w:rFonts w:hint="eastAsia" w:ascii="Arial" w:hAnsi="Arial" w:eastAsia="楷体_GB2312" w:cs="Arial"/>
          <w:sz w:val="24"/>
          <w:szCs w:val="24"/>
        </w:rPr>
        <w:t>股股票（以下称“本次发行”），合肥鼎耘科技产业发展合伙企业（有限合伙）</w:t>
      </w:r>
      <w:r>
        <w:rPr>
          <w:rFonts w:hint="eastAsia" w:ascii="Arial" w:hAnsi="Arial" w:eastAsia="楷体_GB2312" w:cs="Arial"/>
          <w:sz w:val="24"/>
          <w:szCs w:val="24"/>
          <w:lang w:val="en-US" w:eastAsia="zh-CN"/>
        </w:rPr>
        <w:t>作为</w:t>
      </w:r>
      <w:r>
        <w:rPr>
          <w:rFonts w:hint="eastAsia" w:ascii="Arial" w:hAnsi="Arial" w:eastAsia="楷体_GB2312" w:cs="Arial"/>
          <w:sz w:val="24"/>
          <w:szCs w:val="24"/>
        </w:rPr>
        <w:t>本次发行的认购对象，作出如下承诺：</w:t>
      </w:r>
    </w:p>
    <w:p>
      <w:pPr>
        <w:spacing w:before="360" w:after="360" w:line="320" w:lineRule="exact"/>
        <w:ind w:firstLine="480" w:firstLineChars="200"/>
        <w:jc w:val="both"/>
        <w:rPr>
          <w:rFonts w:ascii="Arial" w:hAnsi="Arial" w:eastAsia="楷体_GB2312"/>
          <w:sz w:val="24"/>
          <w:szCs w:val="24"/>
        </w:rPr>
      </w:pPr>
      <w:r>
        <w:rPr>
          <w:rFonts w:hint="eastAsia" w:ascii="Arial" w:hAnsi="Arial" w:eastAsia="楷体_GB2312"/>
          <w:sz w:val="24"/>
          <w:szCs w:val="24"/>
        </w:rPr>
        <w:t>1、本</w:t>
      </w:r>
      <w:r>
        <w:rPr>
          <w:rFonts w:hint="eastAsia" w:ascii="Arial" w:hAnsi="Arial" w:eastAsia="楷体_GB2312"/>
          <w:sz w:val="24"/>
          <w:szCs w:val="24"/>
          <w:lang w:val="en-US" w:eastAsia="zh-CN"/>
        </w:rPr>
        <w:t>企业</w:t>
      </w:r>
      <w:r>
        <w:rPr>
          <w:rFonts w:hint="eastAsia" w:ascii="Arial" w:hAnsi="Arial" w:eastAsia="楷体_GB2312"/>
          <w:sz w:val="24"/>
          <w:szCs w:val="24"/>
        </w:rPr>
        <w:t>参与认购本次发行的资金均为合法自有资金，不存在对外募集、代持、结构化安排或者直接间接使用公司及其其他关联方资金用于本次认购的情形；不存在公司及其其他主要股东直接或通过其利益相关方向本</w:t>
      </w:r>
      <w:r>
        <w:rPr>
          <w:rFonts w:hint="eastAsia" w:ascii="Arial" w:hAnsi="Arial" w:eastAsia="楷体_GB2312"/>
          <w:sz w:val="24"/>
          <w:szCs w:val="24"/>
          <w:lang w:val="en-US" w:eastAsia="zh-CN"/>
        </w:rPr>
        <w:t>企业</w:t>
      </w:r>
      <w:r>
        <w:rPr>
          <w:rFonts w:hint="eastAsia" w:ascii="Arial" w:hAnsi="Arial" w:eastAsia="楷体_GB2312"/>
          <w:sz w:val="24"/>
          <w:szCs w:val="24"/>
        </w:rPr>
        <w:t>提供财务资助、补偿、承诺或变相承诺保底保收益或其他协议安排的情形；不存在认购资金来源于股权质押，发行完成后控股股东、实际控制人股权高比例质押风险的情况。</w:t>
      </w:r>
    </w:p>
    <w:p>
      <w:pPr>
        <w:spacing w:before="360" w:after="360" w:line="320" w:lineRule="exact"/>
        <w:ind w:firstLine="480" w:firstLineChars="200"/>
        <w:jc w:val="both"/>
        <w:rPr>
          <w:rFonts w:ascii="Arial" w:hAnsi="Arial" w:eastAsia="楷体_GB2312"/>
          <w:sz w:val="24"/>
          <w:szCs w:val="24"/>
        </w:rPr>
      </w:pPr>
      <w:r>
        <w:rPr>
          <w:rFonts w:hint="eastAsia" w:ascii="Arial" w:hAnsi="Arial" w:eastAsia="楷体_GB2312"/>
          <w:sz w:val="24"/>
          <w:szCs w:val="24"/>
        </w:rPr>
        <w:t>2、本</w:t>
      </w:r>
      <w:r>
        <w:rPr>
          <w:rFonts w:hint="eastAsia" w:ascii="Arial" w:hAnsi="Arial" w:eastAsia="楷体_GB2312"/>
          <w:sz w:val="24"/>
          <w:szCs w:val="24"/>
          <w:lang w:val="en-US" w:eastAsia="zh-CN"/>
        </w:rPr>
        <w:t>企业</w:t>
      </w:r>
      <w:r>
        <w:rPr>
          <w:rFonts w:hint="eastAsia" w:ascii="Arial" w:hAnsi="Arial" w:eastAsia="楷体_GB2312"/>
          <w:sz w:val="24"/>
          <w:szCs w:val="24"/>
        </w:rPr>
        <w:t>不存在法律法规规定的禁止持股情形，本次发行的中介机构或其负责人、高级管理人员、经办人员等未通过本</w:t>
      </w:r>
      <w:r>
        <w:rPr>
          <w:rFonts w:hint="eastAsia" w:ascii="Arial" w:hAnsi="Arial" w:eastAsia="楷体_GB2312"/>
          <w:sz w:val="24"/>
          <w:szCs w:val="24"/>
          <w:lang w:val="en-US" w:eastAsia="zh-CN"/>
        </w:rPr>
        <w:t>企业</w:t>
      </w:r>
      <w:r>
        <w:rPr>
          <w:rFonts w:hint="eastAsia" w:ascii="Arial" w:hAnsi="Arial" w:eastAsia="楷体_GB2312"/>
          <w:sz w:val="24"/>
          <w:szCs w:val="24"/>
        </w:rPr>
        <w:t>违规持股，本</w:t>
      </w:r>
      <w:r>
        <w:rPr>
          <w:rFonts w:hint="eastAsia" w:ascii="Arial" w:hAnsi="Arial" w:eastAsia="楷体_GB2312"/>
          <w:sz w:val="24"/>
          <w:szCs w:val="24"/>
          <w:lang w:val="en-US" w:eastAsia="zh-CN"/>
        </w:rPr>
        <w:t>企业</w:t>
      </w:r>
      <w:r>
        <w:rPr>
          <w:rFonts w:hint="eastAsia" w:ascii="Arial" w:hAnsi="Arial" w:eastAsia="楷体_GB2312"/>
          <w:sz w:val="24"/>
          <w:szCs w:val="24"/>
        </w:rPr>
        <w:t>认购本次发行股份不存在不当利益输送的情形。</w:t>
      </w:r>
    </w:p>
    <w:p>
      <w:pPr>
        <w:spacing w:before="360" w:after="360" w:line="320" w:lineRule="exact"/>
        <w:ind w:firstLine="480" w:firstLineChars="200"/>
        <w:jc w:val="both"/>
        <w:rPr>
          <w:rFonts w:ascii="Arial" w:hAnsi="Arial" w:eastAsia="楷体_GB2312"/>
          <w:sz w:val="24"/>
          <w:szCs w:val="24"/>
        </w:rPr>
      </w:pPr>
      <w:r>
        <w:rPr>
          <w:rFonts w:hint="eastAsia" w:ascii="Arial" w:hAnsi="Arial" w:eastAsia="楷体_GB2312"/>
          <w:sz w:val="24"/>
          <w:szCs w:val="24"/>
        </w:rPr>
        <w:t>3、本</w:t>
      </w:r>
      <w:r>
        <w:rPr>
          <w:rFonts w:hint="eastAsia" w:ascii="Arial" w:hAnsi="Arial" w:eastAsia="楷体_GB2312"/>
          <w:sz w:val="24"/>
          <w:szCs w:val="24"/>
          <w:lang w:val="en-US" w:eastAsia="zh-CN"/>
        </w:rPr>
        <w:t>企业</w:t>
      </w:r>
      <w:r>
        <w:rPr>
          <w:rFonts w:hint="eastAsia" w:ascii="Arial" w:hAnsi="Arial" w:eastAsia="楷体_GB2312"/>
          <w:sz w:val="24"/>
          <w:szCs w:val="24"/>
        </w:rPr>
        <w:t>最近三年不存在严重损害公司利益或者投资者合法权益的重大违法行为。</w:t>
      </w:r>
    </w:p>
    <w:p>
      <w:pPr>
        <w:spacing w:before="360" w:after="360" w:line="320" w:lineRule="exact"/>
        <w:ind w:firstLine="480" w:firstLineChars="200"/>
        <w:jc w:val="both"/>
        <w:rPr>
          <w:rFonts w:hint="eastAsia" w:ascii="Arial" w:hAnsi="Arial" w:eastAsia="楷体_GB2312"/>
          <w:sz w:val="24"/>
          <w:szCs w:val="24"/>
        </w:rPr>
      </w:pPr>
      <w:r>
        <w:rPr>
          <w:rFonts w:hint="eastAsia" w:ascii="Arial" w:hAnsi="Arial" w:eastAsia="楷体_GB2312"/>
          <w:sz w:val="24"/>
          <w:szCs w:val="24"/>
        </w:rPr>
        <w:t>4、若本企业违反上述承诺给公司或者其投资者造成损失的，本</w:t>
      </w:r>
      <w:r>
        <w:rPr>
          <w:rFonts w:hint="eastAsia" w:ascii="Arial" w:hAnsi="Arial" w:eastAsia="楷体_GB2312"/>
          <w:sz w:val="24"/>
          <w:szCs w:val="24"/>
          <w:lang w:val="en-US" w:eastAsia="zh-CN"/>
        </w:rPr>
        <w:t>企业</w:t>
      </w:r>
      <w:r>
        <w:rPr>
          <w:rFonts w:hint="eastAsia" w:ascii="Arial" w:hAnsi="Arial" w:eastAsia="楷体_GB2312"/>
          <w:sz w:val="24"/>
          <w:szCs w:val="24"/>
        </w:rPr>
        <w:t>愿意依法承担赔偿责任。</w:t>
      </w:r>
    </w:p>
    <w:p>
      <w:pPr>
        <w:spacing w:before="360" w:after="360" w:line="320" w:lineRule="exact"/>
        <w:ind w:firstLine="480" w:firstLineChars="200"/>
        <w:jc w:val="both"/>
        <w:rPr>
          <w:rFonts w:ascii="Arial" w:hAnsi="Arial" w:eastAsia="楷体_GB2312" w:cs="Arial"/>
          <w:sz w:val="24"/>
          <w:szCs w:val="24"/>
        </w:rPr>
      </w:pPr>
      <w:r>
        <w:rPr>
          <w:rFonts w:hint="eastAsia" w:ascii="Arial" w:hAnsi="Arial" w:eastAsia="楷体_GB2312" w:cs="Arial"/>
          <w:sz w:val="24"/>
          <w:szCs w:val="24"/>
        </w:rPr>
        <w:t>特此承诺。</w:t>
      </w:r>
    </w:p>
    <w:p>
      <w:pPr>
        <w:spacing w:before="156" w:beforeLines="50" w:after="156" w:afterLines="50" w:line="400" w:lineRule="exact"/>
        <w:ind w:firstLine="480" w:firstLineChars="200"/>
        <w:rPr>
          <w:rFonts w:ascii="Arial" w:hAnsi="Arial" w:eastAsia="楷体_GB2312"/>
          <w:sz w:val="24"/>
        </w:rPr>
      </w:pPr>
      <w:r>
        <w:rPr>
          <w:rFonts w:ascii="Arial" w:hAnsi="Arial" w:eastAsia="楷体_GB2312"/>
          <w:sz w:val="24"/>
        </w:rPr>
        <w:t>（以下无正文，为</w:t>
      </w:r>
      <w:r>
        <w:rPr>
          <w:rFonts w:hint="eastAsia" w:ascii="Arial" w:hAnsi="Arial" w:eastAsia="楷体_GB2312"/>
          <w:sz w:val="24"/>
        </w:rPr>
        <w:t>签署</w:t>
      </w:r>
      <w:r>
        <w:rPr>
          <w:rFonts w:ascii="Arial" w:hAnsi="Arial" w:eastAsia="楷体_GB2312"/>
          <w:sz w:val="24"/>
        </w:rPr>
        <w:t>页）</w:t>
      </w:r>
    </w:p>
    <w:p>
      <w:pPr>
        <w:spacing w:before="156" w:beforeLines="50" w:after="156" w:afterLines="50" w:line="400" w:lineRule="exact"/>
        <w:ind w:firstLine="480" w:firstLineChars="200"/>
        <w:rPr>
          <w:rFonts w:ascii="Arial" w:hAnsi="Arial" w:eastAsia="楷体_GB2312"/>
          <w:sz w:val="24"/>
        </w:rPr>
      </w:pPr>
      <w:r>
        <w:rPr>
          <w:rFonts w:ascii="Arial" w:hAnsi="Arial" w:eastAsia="楷体_GB2312"/>
          <w:sz w:val="24"/>
        </w:rPr>
        <w:br w:type="page"/>
      </w:r>
    </w:p>
    <w:p>
      <w:pPr>
        <w:spacing w:before="156" w:beforeLines="50" w:after="156" w:afterLines="50" w:line="400" w:lineRule="exact"/>
        <w:rPr>
          <w:rFonts w:ascii="Arial" w:hAnsi="Arial" w:eastAsia="楷体_GB2312"/>
          <w:sz w:val="24"/>
        </w:rPr>
      </w:pPr>
      <w:r>
        <w:rPr>
          <w:rFonts w:ascii="Arial" w:hAnsi="Arial" w:eastAsia="楷体_GB2312"/>
          <w:sz w:val="24"/>
        </w:rPr>
        <w:t>（本页无正文，为《</w:t>
      </w:r>
      <w:r>
        <w:rPr>
          <w:rFonts w:hint="eastAsia" w:ascii="Arial" w:hAnsi="Arial" w:eastAsia="楷体_GB2312"/>
          <w:sz w:val="24"/>
        </w:rPr>
        <w:t>合肥鼎耘科技产业发展合伙企业（有限合伙）关于认购资金来源及其他合规性事宜的承诺</w:t>
      </w:r>
      <w:r>
        <w:rPr>
          <w:rFonts w:ascii="Arial" w:hAnsi="Arial" w:eastAsia="楷体_GB2312"/>
          <w:sz w:val="24"/>
        </w:rPr>
        <w:t>》的</w:t>
      </w:r>
      <w:r>
        <w:rPr>
          <w:rFonts w:hint="eastAsia" w:ascii="Arial" w:hAnsi="Arial" w:eastAsia="楷体_GB2312"/>
          <w:sz w:val="24"/>
        </w:rPr>
        <w:t>签署</w:t>
      </w:r>
      <w:r>
        <w:rPr>
          <w:rFonts w:ascii="Arial" w:hAnsi="Arial" w:eastAsia="楷体_GB2312"/>
          <w:sz w:val="24"/>
        </w:rPr>
        <w:t>页）</w:t>
      </w:r>
    </w:p>
    <w:p>
      <w:pPr>
        <w:spacing w:before="156" w:beforeLines="50" w:after="156" w:afterLines="50" w:line="400" w:lineRule="exact"/>
        <w:ind w:right="240" w:firstLine="480" w:firstLineChars="200"/>
        <w:rPr>
          <w:rFonts w:ascii="Arial" w:hAnsi="Arial" w:eastAsia="楷体_GB2312"/>
          <w:sz w:val="24"/>
        </w:rPr>
      </w:pPr>
    </w:p>
    <w:p>
      <w:pPr>
        <w:spacing w:before="156" w:beforeLines="50" w:after="156" w:afterLines="50" w:line="400" w:lineRule="exact"/>
        <w:ind w:right="240" w:firstLine="480" w:firstLineChars="200"/>
        <w:rPr>
          <w:rFonts w:ascii="Arial" w:hAnsi="Arial" w:eastAsia="楷体_GB2312"/>
          <w:sz w:val="24"/>
        </w:rPr>
      </w:pPr>
    </w:p>
    <w:p>
      <w:pPr>
        <w:spacing w:before="156" w:beforeLines="50" w:after="156" w:afterLines="50" w:line="400" w:lineRule="exact"/>
        <w:ind w:right="240" w:firstLine="480" w:firstLineChars="200"/>
        <w:jc w:val="right"/>
        <w:rPr>
          <w:rFonts w:ascii="Arial" w:hAnsi="Arial" w:eastAsia="楷体_GB2312"/>
          <w:sz w:val="24"/>
        </w:rPr>
      </w:pPr>
      <w:r>
        <w:rPr>
          <w:rFonts w:hint="eastAsia" w:ascii="Arial" w:hAnsi="Arial" w:eastAsia="楷体_GB2312"/>
          <w:sz w:val="24"/>
        </w:rPr>
        <w:t>合肥鼎耘科技产业发展合伙企业（有限合伙）</w:t>
      </w:r>
      <w:bookmarkStart w:id="0" w:name="_GoBack"/>
      <w:bookmarkEnd w:id="0"/>
    </w:p>
    <w:p>
      <w:pPr>
        <w:spacing w:before="156" w:beforeLines="50" w:after="156" w:afterLines="50" w:line="400" w:lineRule="exact"/>
        <w:ind w:right="240" w:firstLine="480" w:firstLineChars="200"/>
        <w:jc w:val="right"/>
        <w:rPr>
          <w:rFonts w:ascii="Arial" w:hAnsi="Arial" w:eastAsia="楷体_GB2312"/>
          <w:sz w:val="24"/>
        </w:rPr>
      </w:pPr>
    </w:p>
    <w:p>
      <w:pPr>
        <w:spacing w:before="156" w:beforeLines="50" w:after="156" w:afterLines="50" w:line="400" w:lineRule="exact"/>
        <w:ind w:right="240" w:firstLine="480" w:firstLineChars="200"/>
        <w:jc w:val="right"/>
        <w:rPr>
          <w:rFonts w:ascii="Arial" w:hAnsi="Arial" w:eastAsia="楷体_GB2312"/>
          <w:sz w:val="24"/>
        </w:rPr>
      </w:pPr>
    </w:p>
    <w:p>
      <w:pPr>
        <w:wordWrap w:val="0"/>
        <w:spacing w:before="156" w:beforeLines="50" w:after="156" w:afterLines="50" w:line="400" w:lineRule="exact"/>
        <w:ind w:firstLine="480" w:firstLineChars="200"/>
        <w:jc w:val="right"/>
        <w:rPr>
          <w:rFonts w:ascii="Arial" w:hAnsi="Arial" w:eastAsia="楷体_GB2312"/>
          <w:sz w:val="24"/>
        </w:rPr>
      </w:pPr>
      <w:r>
        <w:rPr>
          <w:rFonts w:ascii="Arial" w:hAnsi="Arial" w:eastAsia="楷体_GB2312"/>
          <w:sz w:val="24"/>
        </w:rPr>
        <w:t xml:space="preserve">     年       月     日</w:t>
      </w:r>
      <w:r>
        <w:rPr>
          <w:rFonts w:hint="eastAsia" w:ascii="Arial" w:hAnsi="Arial" w:eastAsia="楷体_GB2312"/>
          <w:sz w:val="24"/>
        </w:rPr>
        <w:t xml:space="preserve"> </w:t>
      </w:r>
      <w:r>
        <w:rPr>
          <w:rFonts w:ascii="Arial" w:hAnsi="Arial" w:eastAsia="楷体_GB2312"/>
          <w:sz w:val="24"/>
        </w:rPr>
        <w:t xml:space="preserve">    </w:t>
      </w:r>
    </w:p>
    <w:p>
      <w:pPr>
        <w:pStyle w:val="15"/>
        <w:spacing w:after="0" w:line="400" w:lineRule="exact"/>
        <w:ind w:firstLine="480" w:firstLineChars="200"/>
        <w:rPr>
          <w:kern w:val="2"/>
          <w:sz w:val="24"/>
          <w:szCs w:val="24"/>
          <w:lang w:eastAsia="zh-CN"/>
        </w:rPr>
      </w:pPr>
    </w:p>
    <w:p>
      <w:pPr>
        <w:spacing w:line="400" w:lineRule="exact"/>
        <w:ind w:firstLine="480" w:firstLineChars="200"/>
        <w:rPr>
          <w:rFonts w:ascii="Arial" w:hAnsi="Arial" w:eastAsia="楷体_GB2312"/>
          <w:sz w:val="24"/>
        </w:rPr>
      </w:pPr>
    </w:p>
    <w:p>
      <w:pPr>
        <w:spacing w:before="360" w:after="360" w:line="320" w:lineRule="exact"/>
        <w:jc w:val="both"/>
        <w:rPr>
          <w:rFonts w:ascii="Arial" w:hAnsi="Arial" w:eastAsia="楷体_GB2312"/>
          <w:sz w:val="24"/>
          <w:szCs w:val="24"/>
        </w:rPr>
      </w:pPr>
    </w:p>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589"/>
    <w:rsid w:val="00062752"/>
    <w:rsid w:val="000840B4"/>
    <w:rsid w:val="000844C4"/>
    <w:rsid w:val="000B1FBB"/>
    <w:rsid w:val="000C518F"/>
    <w:rsid w:val="000E2313"/>
    <w:rsid w:val="00120167"/>
    <w:rsid w:val="00124A3C"/>
    <w:rsid w:val="00135DCD"/>
    <w:rsid w:val="001B2820"/>
    <w:rsid w:val="001E1F28"/>
    <w:rsid w:val="001E714A"/>
    <w:rsid w:val="00226FD3"/>
    <w:rsid w:val="00233BC3"/>
    <w:rsid w:val="00240D05"/>
    <w:rsid w:val="003212EC"/>
    <w:rsid w:val="003433D2"/>
    <w:rsid w:val="00364DC2"/>
    <w:rsid w:val="00376BEF"/>
    <w:rsid w:val="003A23A0"/>
    <w:rsid w:val="003B2552"/>
    <w:rsid w:val="003D4FBD"/>
    <w:rsid w:val="003D73BC"/>
    <w:rsid w:val="003F749C"/>
    <w:rsid w:val="00415EBE"/>
    <w:rsid w:val="004D3FE1"/>
    <w:rsid w:val="004E000A"/>
    <w:rsid w:val="004E00D7"/>
    <w:rsid w:val="004E731B"/>
    <w:rsid w:val="004F21E2"/>
    <w:rsid w:val="004F267E"/>
    <w:rsid w:val="00523973"/>
    <w:rsid w:val="005500DF"/>
    <w:rsid w:val="005C5332"/>
    <w:rsid w:val="005C5F85"/>
    <w:rsid w:val="005E0CA2"/>
    <w:rsid w:val="005E286C"/>
    <w:rsid w:val="00602028"/>
    <w:rsid w:val="006603DB"/>
    <w:rsid w:val="0068253C"/>
    <w:rsid w:val="00682D32"/>
    <w:rsid w:val="006E262F"/>
    <w:rsid w:val="006E7FE1"/>
    <w:rsid w:val="00723FF8"/>
    <w:rsid w:val="00736FFA"/>
    <w:rsid w:val="00763BA4"/>
    <w:rsid w:val="007732ED"/>
    <w:rsid w:val="00790B3E"/>
    <w:rsid w:val="007C16AA"/>
    <w:rsid w:val="00803C48"/>
    <w:rsid w:val="00805078"/>
    <w:rsid w:val="00832336"/>
    <w:rsid w:val="00861D2D"/>
    <w:rsid w:val="00865748"/>
    <w:rsid w:val="008C5756"/>
    <w:rsid w:val="008E09BF"/>
    <w:rsid w:val="008E5657"/>
    <w:rsid w:val="008F37F5"/>
    <w:rsid w:val="009205DC"/>
    <w:rsid w:val="009418A1"/>
    <w:rsid w:val="00942760"/>
    <w:rsid w:val="009704B2"/>
    <w:rsid w:val="0097355B"/>
    <w:rsid w:val="00980405"/>
    <w:rsid w:val="009D30FB"/>
    <w:rsid w:val="009E5FF0"/>
    <w:rsid w:val="00A03933"/>
    <w:rsid w:val="00A227FF"/>
    <w:rsid w:val="00A665B3"/>
    <w:rsid w:val="00A7614D"/>
    <w:rsid w:val="00AB28CD"/>
    <w:rsid w:val="00AB3EA4"/>
    <w:rsid w:val="00AD1400"/>
    <w:rsid w:val="00AF5796"/>
    <w:rsid w:val="00B13C39"/>
    <w:rsid w:val="00B516ED"/>
    <w:rsid w:val="00B84094"/>
    <w:rsid w:val="00B840FB"/>
    <w:rsid w:val="00B904B6"/>
    <w:rsid w:val="00B93D48"/>
    <w:rsid w:val="00BA5260"/>
    <w:rsid w:val="00BB3511"/>
    <w:rsid w:val="00BD1560"/>
    <w:rsid w:val="00BE1CF9"/>
    <w:rsid w:val="00BF0B7E"/>
    <w:rsid w:val="00BF6299"/>
    <w:rsid w:val="00C04E0E"/>
    <w:rsid w:val="00C06C29"/>
    <w:rsid w:val="00C550FD"/>
    <w:rsid w:val="00C60254"/>
    <w:rsid w:val="00C730DC"/>
    <w:rsid w:val="00C805D9"/>
    <w:rsid w:val="00C839D3"/>
    <w:rsid w:val="00C912BC"/>
    <w:rsid w:val="00C95589"/>
    <w:rsid w:val="00C97B39"/>
    <w:rsid w:val="00CA56F2"/>
    <w:rsid w:val="00CB6CF3"/>
    <w:rsid w:val="00CD2E88"/>
    <w:rsid w:val="00CE2A4D"/>
    <w:rsid w:val="00CF213C"/>
    <w:rsid w:val="00CF7F95"/>
    <w:rsid w:val="00D316E4"/>
    <w:rsid w:val="00D73A64"/>
    <w:rsid w:val="00DA22DA"/>
    <w:rsid w:val="00DF6775"/>
    <w:rsid w:val="00E3653D"/>
    <w:rsid w:val="00E40B09"/>
    <w:rsid w:val="00E54521"/>
    <w:rsid w:val="00E60DDB"/>
    <w:rsid w:val="00EB3264"/>
    <w:rsid w:val="00EC75BC"/>
    <w:rsid w:val="00F06011"/>
    <w:rsid w:val="00F35254"/>
    <w:rsid w:val="00F35F69"/>
    <w:rsid w:val="00F60ABD"/>
    <w:rsid w:val="00F84B74"/>
    <w:rsid w:val="00F935BF"/>
    <w:rsid w:val="00FE09EE"/>
    <w:rsid w:val="3C5F7F3F"/>
    <w:rsid w:val="4EBBCBCE"/>
    <w:rsid w:val="7ED70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楷体_GB2312"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after="0" w:line="240" w:lineRule="auto"/>
      <w:textAlignment w:val="baseline"/>
    </w:pPr>
    <w:rPr>
      <w:rFonts w:ascii="宋体" w:hAnsi="Times New Roman" w:eastAsia="宋体" w:cs="Times New Roman"/>
      <w:sz w:val="34"/>
      <w:szCs w:val="3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semiHidden/>
    <w:unhideWhenUsed/>
    <w:uiPriority w:val="99"/>
  </w:style>
  <w:style w:type="paragraph" w:styleId="3">
    <w:name w:val="Balloon Text"/>
    <w:basedOn w:val="1"/>
    <w:link w:val="16"/>
    <w:semiHidden/>
    <w:unhideWhenUsed/>
    <w:uiPriority w:val="99"/>
    <w:rPr>
      <w:sz w:val="18"/>
      <w:szCs w:val="18"/>
    </w:rPr>
  </w:style>
  <w:style w:type="paragraph" w:styleId="4">
    <w:name w:val="footer"/>
    <w:basedOn w:val="1"/>
    <w:link w:val="13"/>
    <w:unhideWhenUsed/>
    <w:uiPriority w:val="0"/>
    <w:pPr>
      <w:tabs>
        <w:tab w:val="center" w:pos="4153"/>
        <w:tab w:val="right" w:pos="8306"/>
      </w:tabs>
      <w:snapToGrid w:val="0"/>
    </w:pPr>
    <w:rPr>
      <w:sz w:val="18"/>
      <w:szCs w:val="18"/>
    </w:rPr>
  </w:style>
  <w:style w:type="paragraph" w:styleId="5">
    <w:name w:val="header"/>
    <w:basedOn w:val="1"/>
    <w:link w:val="12"/>
    <w:unhideWhenUsed/>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8"/>
    <w:semiHidden/>
    <w:unhideWhenUsed/>
    <w:uiPriority w:val="99"/>
    <w:rPr>
      <w:b/>
      <w:bCs/>
    </w:rPr>
  </w:style>
  <w:style w:type="character" w:styleId="9">
    <w:name w:val="page number"/>
    <w:basedOn w:val="8"/>
    <w:uiPriority w:val="0"/>
  </w:style>
  <w:style w:type="character" w:styleId="10">
    <w:name w:val="Hyperlink"/>
    <w:basedOn w:val="8"/>
    <w:semiHidden/>
    <w:unhideWhenUsed/>
    <w:uiPriority w:val="99"/>
    <w:rPr>
      <w:color w:val="0000FF"/>
      <w:u w:val="single"/>
    </w:rPr>
  </w:style>
  <w:style w:type="character" w:styleId="11">
    <w:name w:val="annotation reference"/>
    <w:basedOn w:val="8"/>
    <w:semiHidden/>
    <w:unhideWhenUsed/>
    <w:uiPriority w:val="99"/>
    <w:rPr>
      <w:sz w:val="21"/>
      <w:szCs w:val="21"/>
    </w:rPr>
  </w:style>
  <w:style w:type="character" w:customStyle="1" w:styleId="12">
    <w:name w:val="页眉 字符"/>
    <w:basedOn w:val="8"/>
    <w:link w:val="5"/>
    <w:uiPriority w:val="0"/>
    <w:rPr>
      <w:sz w:val="18"/>
      <w:szCs w:val="18"/>
    </w:rPr>
  </w:style>
  <w:style w:type="character" w:customStyle="1" w:styleId="13">
    <w:name w:val="页脚 字符"/>
    <w:basedOn w:val="8"/>
    <w:link w:val="4"/>
    <w:uiPriority w:val="0"/>
    <w:rPr>
      <w:sz w:val="18"/>
      <w:szCs w:val="18"/>
    </w:rPr>
  </w:style>
  <w:style w:type="paragraph" w:styleId="14">
    <w:name w:val="List Paragraph"/>
    <w:basedOn w:val="1"/>
    <w:qFormat/>
    <w:uiPriority w:val="34"/>
    <w:pPr>
      <w:ind w:firstLine="420" w:firstLineChars="200"/>
    </w:pPr>
  </w:style>
  <w:style w:type="paragraph" w:customStyle="1" w:styleId="15">
    <w:name w:val="K&amp;W Body text"/>
    <w:basedOn w:val="1"/>
    <w:uiPriority w:val="0"/>
    <w:pPr>
      <w:widowControl/>
      <w:autoSpaceDE/>
      <w:autoSpaceDN/>
      <w:adjustRightInd/>
      <w:spacing w:after="280" w:line="240" w:lineRule="atLeast"/>
      <w:jc w:val="both"/>
      <w:textAlignment w:val="auto"/>
    </w:pPr>
    <w:rPr>
      <w:rFonts w:ascii="Arial" w:hAnsi="Arial" w:eastAsia="楷体_GB2312"/>
      <w:sz w:val="20"/>
      <w:szCs w:val="20"/>
      <w:lang w:eastAsia="en-US"/>
    </w:rPr>
  </w:style>
  <w:style w:type="character" w:customStyle="1" w:styleId="16">
    <w:name w:val="批注框文本 字符"/>
    <w:basedOn w:val="8"/>
    <w:link w:val="3"/>
    <w:semiHidden/>
    <w:uiPriority w:val="99"/>
    <w:rPr>
      <w:rFonts w:ascii="宋体" w:hAnsi="Times New Roman" w:eastAsia="宋体" w:cs="Times New Roman"/>
      <w:sz w:val="18"/>
      <w:szCs w:val="18"/>
    </w:rPr>
  </w:style>
  <w:style w:type="character" w:customStyle="1" w:styleId="17">
    <w:name w:val="批注文字 字符"/>
    <w:basedOn w:val="8"/>
    <w:link w:val="2"/>
    <w:semiHidden/>
    <w:uiPriority w:val="99"/>
    <w:rPr>
      <w:rFonts w:ascii="宋体" w:hAnsi="Times New Roman" w:eastAsia="宋体" w:cs="Times New Roman"/>
      <w:sz w:val="34"/>
      <w:szCs w:val="34"/>
    </w:rPr>
  </w:style>
  <w:style w:type="character" w:customStyle="1" w:styleId="18">
    <w:name w:val="批注主题 字符"/>
    <w:basedOn w:val="17"/>
    <w:link w:val="6"/>
    <w:semiHidden/>
    <w:uiPriority w:val="99"/>
    <w:rPr>
      <w:rFonts w:ascii="宋体" w:hAnsi="Times New Roman" w:eastAsia="宋体" w:cs="Times New Roman"/>
      <w:b/>
      <w:bCs/>
      <w:sz w:val="34"/>
      <w:szCs w:val="3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KWM</Company>
  <Pages>2</Pages>
  <Words>89</Words>
  <Characters>508</Characters>
  <Lines>4</Lines>
  <Paragraphs>1</Paragraphs>
  <TotalTime>9</TotalTime>
  <ScaleCrop>false</ScaleCrop>
  <LinksUpToDate>false</LinksUpToDate>
  <CharactersWithSpaces>596</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2025-08-26T03:37:00Z</dcterms:created>
  <dc:creator>Yu, Xiaoqin</dc:creator>
  <cp:lastModifiedBy>荆宜睿</cp:lastModifiedBy>
  <dcterms:modified xsi:type="dcterms:W3CDTF">2025-11-11T11:16:10Z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EE2C14ADCC3B1F49D8A412692E5CC9A5_42</vt:lpwstr>
  </property>
</Properties>
</file>