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2566" w14:textId="77777777" w:rsidR="00F87636" w:rsidRDefault="00000000">
      <w:pPr>
        <w:spacing w:before="2200" w:after="120"/>
        <w:jc w:val="center"/>
      </w:pPr>
      <w:r>
        <w:rPr>
          <w:b/>
          <w:bCs/>
          <w:color w:val="0F172A"/>
          <w:sz w:val="64"/>
          <w:szCs w:val="64"/>
        </w:rPr>
        <w:t>FRTS Ingress Platform</w:t>
      </w:r>
    </w:p>
    <w:p w14:paraId="577FBBD4" w14:textId="77777777" w:rsidR="00F87636" w:rsidRDefault="00000000">
      <w:pPr>
        <w:spacing w:after="300"/>
        <w:jc w:val="center"/>
      </w:pPr>
      <w:r>
        <w:rPr>
          <w:color w:val="1D4ED8"/>
          <w:sz w:val="44"/>
          <w:szCs w:val="44"/>
        </w:rPr>
        <w:t>High-Level Design — Master</w:t>
      </w:r>
    </w:p>
    <w:p w14:paraId="5A55A4EE" w14:textId="77777777" w:rsidR="00F87636" w:rsidRDefault="00000000">
      <w:pPr>
        <w:spacing w:after="400"/>
        <w:jc w:val="center"/>
      </w:pPr>
      <w:r>
        <w:rPr>
          <w:color w:val="1D4ED8"/>
          <w:sz w:val="30"/>
          <w:szCs w:val="30"/>
        </w:rPr>
        <w:t>Version 4.0 · The Manifold Architecture</w:t>
      </w:r>
    </w:p>
    <w:p w14:paraId="22A53466" w14:textId="77777777" w:rsidR="00F87636" w:rsidRDefault="00000000">
      <w:pPr>
        <w:spacing w:after="160"/>
        <w:jc w:val="center"/>
      </w:pPr>
      <w:r>
        <w:rPr>
          <w:color w:val="64748B"/>
        </w:rPr>
        <w:t>One self-contained build reference: requirement, architecture, principles, delivery — Go manifold · cellular tenancy · PostgreSQL · Temporal · knowledge-graph context plane</w:t>
      </w:r>
    </w:p>
    <w:p w14:paraId="36D80326" w14:textId="77777777" w:rsidR="00F87636" w:rsidRDefault="00000000">
      <w:pPr>
        <w:spacing w:after="800"/>
        <w:jc w:val="center"/>
      </w:pPr>
      <w:r>
        <w:rPr>
          <w:color w:val="64748B"/>
          <w:sz w:val="24"/>
          <w:szCs w:val="24"/>
        </w:rPr>
        <w:t>Draft for team baseline  ·  25 August 2026</w:t>
      </w:r>
    </w:p>
    <w:p w14:paraId="17FD9755" w14:textId="77777777" w:rsidR="00F87636" w:rsidRDefault="00000000">
      <w:pPr>
        <w:spacing w:after="100"/>
        <w:jc w:val="center"/>
      </w:pPr>
      <w:r>
        <w:t>Author: Andy Ward, UST Enterprise Architect</w:t>
      </w:r>
    </w:p>
    <w:p w14:paraId="76A35923" w14:textId="77777777" w:rsidR="00F87636" w:rsidRDefault="00000000">
      <w:pPr>
        <w:spacing w:after="100"/>
        <w:jc w:val="center"/>
      </w:pPr>
      <w:r>
        <w:rPr>
          <w:color w:val="B91C1C"/>
          <w:sz w:val="20"/>
          <w:szCs w:val="20"/>
        </w:rPr>
        <w:t>CONFIDENTIAL — UST internal. Supersedes all prior HLD versions (v0.8, v1.0, v2.0, v3.x), which are retained as records only.</w:t>
      </w:r>
    </w:p>
    <w:p w14:paraId="739F9BEF" w14:textId="77777777" w:rsidR="00F87636" w:rsidRDefault="00000000">
      <w:r>
        <w:br w:type="page"/>
      </w:r>
    </w:p>
    <w:p w14:paraId="4D2E025B" w14:textId="77777777" w:rsidR="00F87636" w:rsidRDefault="00000000">
      <w:pPr>
        <w:spacing w:after="200"/>
      </w:pPr>
      <w:r>
        <w:rPr>
          <w:b/>
          <w:bCs/>
          <w:color w:val="0F172A"/>
          <w:sz w:val="30"/>
          <w:szCs w:val="30"/>
        </w:rPr>
        <w:lastRenderedPageBreak/>
        <w:t>Contents</w:t>
      </w:r>
    </w:p>
    <w:sdt>
      <w:sdtPr>
        <w:alias w:val="Contents"/>
        <w:id w:val="1136686027"/>
      </w:sdtPr>
      <w:sdtContent>
        <w:p w14:paraId="791D3180" w14:textId="77777777" w:rsidR="00147B2F" w:rsidRDefault="00000000">
          <w:pPr>
            <w:pStyle w:val="TOC1"/>
            <w:tabs>
              <w:tab w:val="right" w:leader="dot" w:pos="9628"/>
            </w:tabs>
            <w:rPr>
              <w:noProof/>
            </w:rPr>
          </w:pPr>
          <w:r>
            <w:fldChar w:fldCharType="begin"/>
          </w:r>
          <w:r>
            <w:instrText>TOC \h \o "1-2"</w:instrText>
          </w:r>
          <w:r>
            <w:fldChar w:fldCharType="separate"/>
          </w:r>
          <w:hyperlink w:anchor="_Toc239760053" w:history="1">
            <w:r w:rsidR="00147B2F" w:rsidRPr="005750EF">
              <w:rPr>
                <w:rStyle w:val="Hyperlink"/>
                <w:b/>
                <w:bCs/>
                <w:noProof/>
              </w:rPr>
              <w:t>1  Document Control</w:t>
            </w:r>
            <w:r w:rsidR="00147B2F">
              <w:rPr>
                <w:noProof/>
              </w:rPr>
              <w:tab/>
            </w:r>
            <w:r w:rsidR="00147B2F">
              <w:rPr>
                <w:noProof/>
              </w:rPr>
              <w:fldChar w:fldCharType="begin"/>
            </w:r>
            <w:r w:rsidR="00147B2F">
              <w:rPr>
                <w:noProof/>
              </w:rPr>
              <w:instrText xml:space="preserve"> PAGEREF _Toc239760053 \h </w:instrText>
            </w:r>
            <w:r w:rsidR="00147B2F">
              <w:rPr>
                <w:noProof/>
              </w:rPr>
            </w:r>
            <w:r w:rsidR="00147B2F">
              <w:rPr>
                <w:noProof/>
              </w:rPr>
              <w:fldChar w:fldCharType="separate"/>
            </w:r>
            <w:r w:rsidR="00147B2F">
              <w:rPr>
                <w:noProof/>
              </w:rPr>
              <w:t>4</w:t>
            </w:r>
            <w:r w:rsidR="00147B2F">
              <w:rPr>
                <w:noProof/>
              </w:rPr>
              <w:fldChar w:fldCharType="end"/>
            </w:r>
          </w:hyperlink>
        </w:p>
        <w:p w14:paraId="7000F089" w14:textId="77777777" w:rsidR="00147B2F" w:rsidRDefault="00147B2F">
          <w:pPr>
            <w:pStyle w:val="TOC2"/>
            <w:tabs>
              <w:tab w:val="right" w:leader="dot" w:pos="9628"/>
            </w:tabs>
            <w:rPr>
              <w:noProof/>
            </w:rPr>
          </w:pPr>
          <w:hyperlink w:anchor="_Toc239760054" w:history="1">
            <w:r w:rsidRPr="005750EF">
              <w:rPr>
                <w:rStyle w:val="Hyperlink"/>
                <w:b/>
                <w:bCs/>
                <w:noProof/>
              </w:rPr>
              <w:t>1.1  Related documents</w:t>
            </w:r>
            <w:r>
              <w:rPr>
                <w:noProof/>
              </w:rPr>
              <w:tab/>
            </w:r>
            <w:r>
              <w:rPr>
                <w:noProof/>
              </w:rPr>
              <w:fldChar w:fldCharType="begin"/>
            </w:r>
            <w:r>
              <w:rPr>
                <w:noProof/>
              </w:rPr>
              <w:instrText xml:space="preserve"> PAGEREF _Toc239760054 \h </w:instrText>
            </w:r>
            <w:r>
              <w:rPr>
                <w:noProof/>
              </w:rPr>
            </w:r>
            <w:r>
              <w:rPr>
                <w:noProof/>
              </w:rPr>
              <w:fldChar w:fldCharType="separate"/>
            </w:r>
            <w:r>
              <w:rPr>
                <w:noProof/>
              </w:rPr>
              <w:t>4</w:t>
            </w:r>
            <w:r>
              <w:rPr>
                <w:noProof/>
              </w:rPr>
              <w:fldChar w:fldCharType="end"/>
            </w:r>
          </w:hyperlink>
        </w:p>
        <w:p w14:paraId="6F18AD7B" w14:textId="77777777" w:rsidR="00147B2F" w:rsidRDefault="00147B2F">
          <w:pPr>
            <w:pStyle w:val="TOC2"/>
            <w:tabs>
              <w:tab w:val="right" w:leader="dot" w:pos="9628"/>
            </w:tabs>
            <w:rPr>
              <w:noProof/>
            </w:rPr>
          </w:pPr>
          <w:hyperlink w:anchor="_Toc239760055" w:history="1">
            <w:r w:rsidRPr="005750EF">
              <w:rPr>
                <w:rStyle w:val="Hyperlink"/>
                <w:b/>
                <w:bCs/>
                <w:noProof/>
              </w:rPr>
              <w:t>1.2  Change history</w:t>
            </w:r>
            <w:r>
              <w:rPr>
                <w:noProof/>
              </w:rPr>
              <w:tab/>
            </w:r>
            <w:r>
              <w:rPr>
                <w:noProof/>
              </w:rPr>
              <w:fldChar w:fldCharType="begin"/>
            </w:r>
            <w:r>
              <w:rPr>
                <w:noProof/>
              </w:rPr>
              <w:instrText xml:space="preserve"> PAGEREF _Toc239760055 \h </w:instrText>
            </w:r>
            <w:r>
              <w:rPr>
                <w:noProof/>
              </w:rPr>
            </w:r>
            <w:r>
              <w:rPr>
                <w:noProof/>
              </w:rPr>
              <w:fldChar w:fldCharType="separate"/>
            </w:r>
            <w:r>
              <w:rPr>
                <w:noProof/>
              </w:rPr>
              <w:t>4</w:t>
            </w:r>
            <w:r>
              <w:rPr>
                <w:noProof/>
              </w:rPr>
              <w:fldChar w:fldCharType="end"/>
            </w:r>
          </w:hyperlink>
        </w:p>
        <w:p w14:paraId="20C42F50" w14:textId="77777777" w:rsidR="00147B2F" w:rsidRDefault="00147B2F">
          <w:pPr>
            <w:pStyle w:val="TOC1"/>
            <w:tabs>
              <w:tab w:val="right" w:leader="dot" w:pos="9628"/>
            </w:tabs>
            <w:rPr>
              <w:noProof/>
            </w:rPr>
          </w:pPr>
          <w:hyperlink w:anchor="_Toc239760056" w:history="1">
            <w:r w:rsidRPr="005750EF">
              <w:rPr>
                <w:rStyle w:val="Hyperlink"/>
                <w:b/>
                <w:bCs/>
                <w:noProof/>
              </w:rPr>
              <w:t>2  Executive Summary</w:t>
            </w:r>
            <w:r>
              <w:rPr>
                <w:noProof/>
              </w:rPr>
              <w:tab/>
            </w:r>
            <w:r>
              <w:rPr>
                <w:noProof/>
              </w:rPr>
              <w:fldChar w:fldCharType="begin"/>
            </w:r>
            <w:r>
              <w:rPr>
                <w:noProof/>
              </w:rPr>
              <w:instrText xml:space="preserve"> PAGEREF _Toc239760056 \h </w:instrText>
            </w:r>
            <w:r>
              <w:rPr>
                <w:noProof/>
              </w:rPr>
            </w:r>
            <w:r>
              <w:rPr>
                <w:noProof/>
              </w:rPr>
              <w:fldChar w:fldCharType="separate"/>
            </w:r>
            <w:r>
              <w:rPr>
                <w:noProof/>
              </w:rPr>
              <w:t>5</w:t>
            </w:r>
            <w:r>
              <w:rPr>
                <w:noProof/>
              </w:rPr>
              <w:fldChar w:fldCharType="end"/>
            </w:r>
          </w:hyperlink>
        </w:p>
        <w:p w14:paraId="2157CBA2" w14:textId="77777777" w:rsidR="00147B2F" w:rsidRDefault="00147B2F">
          <w:pPr>
            <w:pStyle w:val="TOC1"/>
            <w:tabs>
              <w:tab w:val="right" w:leader="dot" w:pos="9628"/>
            </w:tabs>
            <w:rPr>
              <w:noProof/>
            </w:rPr>
          </w:pPr>
          <w:hyperlink w:anchor="_Toc239760057" w:history="1">
            <w:r w:rsidRPr="005750EF">
              <w:rPr>
                <w:rStyle w:val="Hyperlink"/>
                <w:b/>
                <w:bCs/>
                <w:noProof/>
              </w:rPr>
              <w:t>3  Purpose, Scope and Audience</w:t>
            </w:r>
            <w:r>
              <w:rPr>
                <w:noProof/>
              </w:rPr>
              <w:tab/>
            </w:r>
            <w:r>
              <w:rPr>
                <w:noProof/>
              </w:rPr>
              <w:fldChar w:fldCharType="begin"/>
            </w:r>
            <w:r>
              <w:rPr>
                <w:noProof/>
              </w:rPr>
              <w:instrText xml:space="preserve"> PAGEREF _Toc239760057 \h </w:instrText>
            </w:r>
            <w:r>
              <w:rPr>
                <w:noProof/>
              </w:rPr>
            </w:r>
            <w:r>
              <w:rPr>
                <w:noProof/>
              </w:rPr>
              <w:fldChar w:fldCharType="separate"/>
            </w:r>
            <w:r>
              <w:rPr>
                <w:noProof/>
              </w:rPr>
              <w:t>6</w:t>
            </w:r>
            <w:r>
              <w:rPr>
                <w:noProof/>
              </w:rPr>
              <w:fldChar w:fldCharType="end"/>
            </w:r>
          </w:hyperlink>
        </w:p>
        <w:p w14:paraId="402BC8D6" w14:textId="77777777" w:rsidR="00147B2F" w:rsidRDefault="00147B2F">
          <w:pPr>
            <w:pStyle w:val="TOC2"/>
            <w:tabs>
              <w:tab w:val="right" w:leader="dot" w:pos="9628"/>
            </w:tabs>
            <w:rPr>
              <w:noProof/>
            </w:rPr>
          </w:pPr>
          <w:hyperlink w:anchor="_Toc239760058" w:history="1">
            <w:r w:rsidRPr="005750EF">
              <w:rPr>
                <w:rStyle w:val="Hyperlink"/>
                <w:b/>
                <w:bCs/>
                <w:noProof/>
              </w:rPr>
              <w:t>3.1  Purpose</w:t>
            </w:r>
            <w:r>
              <w:rPr>
                <w:noProof/>
              </w:rPr>
              <w:tab/>
            </w:r>
            <w:r>
              <w:rPr>
                <w:noProof/>
              </w:rPr>
              <w:fldChar w:fldCharType="begin"/>
            </w:r>
            <w:r>
              <w:rPr>
                <w:noProof/>
              </w:rPr>
              <w:instrText xml:space="preserve"> PAGEREF _Toc239760058 \h </w:instrText>
            </w:r>
            <w:r>
              <w:rPr>
                <w:noProof/>
              </w:rPr>
            </w:r>
            <w:r>
              <w:rPr>
                <w:noProof/>
              </w:rPr>
              <w:fldChar w:fldCharType="separate"/>
            </w:r>
            <w:r>
              <w:rPr>
                <w:noProof/>
              </w:rPr>
              <w:t>6</w:t>
            </w:r>
            <w:r>
              <w:rPr>
                <w:noProof/>
              </w:rPr>
              <w:fldChar w:fldCharType="end"/>
            </w:r>
          </w:hyperlink>
        </w:p>
        <w:p w14:paraId="6AC4A26A" w14:textId="77777777" w:rsidR="00147B2F" w:rsidRDefault="00147B2F">
          <w:pPr>
            <w:pStyle w:val="TOC2"/>
            <w:tabs>
              <w:tab w:val="right" w:leader="dot" w:pos="9628"/>
            </w:tabs>
            <w:rPr>
              <w:noProof/>
            </w:rPr>
          </w:pPr>
          <w:hyperlink w:anchor="_Toc239760059" w:history="1">
            <w:r w:rsidRPr="005750EF">
              <w:rPr>
                <w:rStyle w:val="Hyperlink"/>
                <w:b/>
                <w:bCs/>
                <w:noProof/>
              </w:rPr>
              <w:t>3.2  In scope</w:t>
            </w:r>
            <w:r>
              <w:rPr>
                <w:noProof/>
              </w:rPr>
              <w:tab/>
            </w:r>
            <w:r>
              <w:rPr>
                <w:noProof/>
              </w:rPr>
              <w:fldChar w:fldCharType="begin"/>
            </w:r>
            <w:r>
              <w:rPr>
                <w:noProof/>
              </w:rPr>
              <w:instrText xml:space="preserve"> PAGEREF _Toc239760059 \h </w:instrText>
            </w:r>
            <w:r>
              <w:rPr>
                <w:noProof/>
              </w:rPr>
            </w:r>
            <w:r>
              <w:rPr>
                <w:noProof/>
              </w:rPr>
              <w:fldChar w:fldCharType="separate"/>
            </w:r>
            <w:r>
              <w:rPr>
                <w:noProof/>
              </w:rPr>
              <w:t>6</w:t>
            </w:r>
            <w:r>
              <w:rPr>
                <w:noProof/>
              </w:rPr>
              <w:fldChar w:fldCharType="end"/>
            </w:r>
          </w:hyperlink>
        </w:p>
        <w:p w14:paraId="1497B332" w14:textId="77777777" w:rsidR="00147B2F" w:rsidRDefault="00147B2F">
          <w:pPr>
            <w:pStyle w:val="TOC2"/>
            <w:tabs>
              <w:tab w:val="right" w:leader="dot" w:pos="9628"/>
            </w:tabs>
            <w:rPr>
              <w:noProof/>
            </w:rPr>
          </w:pPr>
          <w:hyperlink w:anchor="_Toc239760060" w:history="1">
            <w:r w:rsidRPr="005750EF">
              <w:rPr>
                <w:rStyle w:val="Hyperlink"/>
                <w:b/>
                <w:bCs/>
                <w:noProof/>
              </w:rPr>
              <w:t>3.3  Out of scope</w:t>
            </w:r>
            <w:r>
              <w:rPr>
                <w:noProof/>
              </w:rPr>
              <w:tab/>
            </w:r>
            <w:r>
              <w:rPr>
                <w:noProof/>
              </w:rPr>
              <w:fldChar w:fldCharType="begin"/>
            </w:r>
            <w:r>
              <w:rPr>
                <w:noProof/>
              </w:rPr>
              <w:instrText xml:space="preserve"> PAGEREF _Toc239760060 \h </w:instrText>
            </w:r>
            <w:r>
              <w:rPr>
                <w:noProof/>
              </w:rPr>
            </w:r>
            <w:r>
              <w:rPr>
                <w:noProof/>
              </w:rPr>
              <w:fldChar w:fldCharType="separate"/>
            </w:r>
            <w:r>
              <w:rPr>
                <w:noProof/>
              </w:rPr>
              <w:t>6</w:t>
            </w:r>
            <w:r>
              <w:rPr>
                <w:noProof/>
              </w:rPr>
              <w:fldChar w:fldCharType="end"/>
            </w:r>
          </w:hyperlink>
        </w:p>
        <w:p w14:paraId="1AC25437" w14:textId="77777777" w:rsidR="00147B2F" w:rsidRDefault="00147B2F">
          <w:pPr>
            <w:pStyle w:val="TOC1"/>
            <w:tabs>
              <w:tab w:val="right" w:leader="dot" w:pos="9628"/>
            </w:tabs>
            <w:rPr>
              <w:noProof/>
            </w:rPr>
          </w:pPr>
          <w:hyperlink w:anchor="_Toc239760061" w:history="1">
            <w:r w:rsidRPr="005750EF">
              <w:rPr>
                <w:rStyle w:val="Hyperlink"/>
                <w:b/>
                <w:bCs/>
                <w:noProof/>
              </w:rPr>
              <w:t>4  Context and Drivers</w:t>
            </w:r>
            <w:r>
              <w:rPr>
                <w:noProof/>
              </w:rPr>
              <w:tab/>
            </w:r>
            <w:r>
              <w:rPr>
                <w:noProof/>
              </w:rPr>
              <w:fldChar w:fldCharType="begin"/>
            </w:r>
            <w:r>
              <w:rPr>
                <w:noProof/>
              </w:rPr>
              <w:instrText xml:space="preserve"> PAGEREF _Toc239760061 \h </w:instrText>
            </w:r>
            <w:r>
              <w:rPr>
                <w:noProof/>
              </w:rPr>
            </w:r>
            <w:r>
              <w:rPr>
                <w:noProof/>
              </w:rPr>
              <w:fldChar w:fldCharType="separate"/>
            </w:r>
            <w:r>
              <w:rPr>
                <w:noProof/>
              </w:rPr>
              <w:t>7</w:t>
            </w:r>
            <w:r>
              <w:rPr>
                <w:noProof/>
              </w:rPr>
              <w:fldChar w:fldCharType="end"/>
            </w:r>
          </w:hyperlink>
        </w:p>
        <w:p w14:paraId="2C258DA9" w14:textId="77777777" w:rsidR="00147B2F" w:rsidRDefault="00147B2F">
          <w:pPr>
            <w:pStyle w:val="TOC1"/>
            <w:tabs>
              <w:tab w:val="right" w:leader="dot" w:pos="9628"/>
            </w:tabs>
            <w:rPr>
              <w:noProof/>
            </w:rPr>
          </w:pPr>
          <w:hyperlink w:anchor="_Toc239760062" w:history="1">
            <w:r w:rsidRPr="005750EF">
              <w:rPr>
                <w:rStyle w:val="Hyperlink"/>
                <w:b/>
                <w:bCs/>
                <w:noProof/>
              </w:rPr>
              <w:t>5  Principles (binding)</w:t>
            </w:r>
            <w:r>
              <w:rPr>
                <w:noProof/>
              </w:rPr>
              <w:tab/>
            </w:r>
            <w:r>
              <w:rPr>
                <w:noProof/>
              </w:rPr>
              <w:fldChar w:fldCharType="begin"/>
            </w:r>
            <w:r>
              <w:rPr>
                <w:noProof/>
              </w:rPr>
              <w:instrText xml:space="preserve"> PAGEREF _Toc239760062 \h </w:instrText>
            </w:r>
            <w:r>
              <w:rPr>
                <w:noProof/>
              </w:rPr>
            </w:r>
            <w:r>
              <w:rPr>
                <w:noProof/>
              </w:rPr>
              <w:fldChar w:fldCharType="separate"/>
            </w:r>
            <w:r>
              <w:rPr>
                <w:noProof/>
              </w:rPr>
              <w:t>7</w:t>
            </w:r>
            <w:r>
              <w:rPr>
                <w:noProof/>
              </w:rPr>
              <w:fldChar w:fldCharType="end"/>
            </w:r>
          </w:hyperlink>
        </w:p>
        <w:p w14:paraId="37B85168" w14:textId="77777777" w:rsidR="00147B2F" w:rsidRDefault="00147B2F">
          <w:pPr>
            <w:pStyle w:val="TOC2"/>
            <w:tabs>
              <w:tab w:val="right" w:leader="dot" w:pos="9628"/>
            </w:tabs>
            <w:rPr>
              <w:noProof/>
            </w:rPr>
          </w:pPr>
          <w:hyperlink w:anchor="_Toc239760063" w:history="1">
            <w:r w:rsidRPr="005750EF">
              <w:rPr>
                <w:rStyle w:val="Hyperlink"/>
                <w:b/>
                <w:bCs/>
                <w:noProof/>
              </w:rPr>
              <w:t>5.1  Platform principles</w:t>
            </w:r>
            <w:r>
              <w:rPr>
                <w:noProof/>
              </w:rPr>
              <w:tab/>
            </w:r>
            <w:r>
              <w:rPr>
                <w:noProof/>
              </w:rPr>
              <w:fldChar w:fldCharType="begin"/>
            </w:r>
            <w:r>
              <w:rPr>
                <w:noProof/>
              </w:rPr>
              <w:instrText xml:space="preserve"> PAGEREF _Toc239760063 \h </w:instrText>
            </w:r>
            <w:r>
              <w:rPr>
                <w:noProof/>
              </w:rPr>
            </w:r>
            <w:r>
              <w:rPr>
                <w:noProof/>
              </w:rPr>
              <w:fldChar w:fldCharType="separate"/>
            </w:r>
            <w:r>
              <w:rPr>
                <w:noProof/>
              </w:rPr>
              <w:t>7</w:t>
            </w:r>
            <w:r>
              <w:rPr>
                <w:noProof/>
              </w:rPr>
              <w:fldChar w:fldCharType="end"/>
            </w:r>
          </w:hyperlink>
        </w:p>
        <w:p w14:paraId="3517C16C" w14:textId="77777777" w:rsidR="00147B2F" w:rsidRDefault="00147B2F">
          <w:pPr>
            <w:pStyle w:val="TOC2"/>
            <w:tabs>
              <w:tab w:val="right" w:leader="dot" w:pos="9628"/>
            </w:tabs>
            <w:rPr>
              <w:noProof/>
            </w:rPr>
          </w:pPr>
          <w:hyperlink w:anchor="_Toc239760064" w:history="1">
            <w:r w:rsidRPr="005750EF">
              <w:rPr>
                <w:rStyle w:val="Hyperlink"/>
                <w:b/>
                <w:bCs/>
                <w:noProof/>
              </w:rPr>
              <w:t>5.2  Agent-first design principles</w:t>
            </w:r>
            <w:r>
              <w:rPr>
                <w:noProof/>
              </w:rPr>
              <w:tab/>
            </w:r>
            <w:r>
              <w:rPr>
                <w:noProof/>
              </w:rPr>
              <w:fldChar w:fldCharType="begin"/>
            </w:r>
            <w:r>
              <w:rPr>
                <w:noProof/>
              </w:rPr>
              <w:instrText xml:space="preserve"> PAGEREF _Toc239760064 \h </w:instrText>
            </w:r>
            <w:r>
              <w:rPr>
                <w:noProof/>
              </w:rPr>
            </w:r>
            <w:r>
              <w:rPr>
                <w:noProof/>
              </w:rPr>
              <w:fldChar w:fldCharType="separate"/>
            </w:r>
            <w:r>
              <w:rPr>
                <w:noProof/>
              </w:rPr>
              <w:t>8</w:t>
            </w:r>
            <w:r>
              <w:rPr>
                <w:noProof/>
              </w:rPr>
              <w:fldChar w:fldCharType="end"/>
            </w:r>
          </w:hyperlink>
        </w:p>
        <w:p w14:paraId="6B642060" w14:textId="77777777" w:rsidR="00147B2F" w:rsidRDefault="00147B2F">
          <w:pPr>
            <w:pStyle w:val="TOC1"/>
            <w:tabs>
              <w:tab w:val="right" w:leader="dot" w:pos="9628"/>
            </w:tabs>
            <w:rPr>
              <w:noProof/>
            </w:rPr>
          </w:pPr>
          <w:hyperlink w:anchor="_Toc239760065" w:history="1">
            <w:r w:rsidRPr="005750EF">
              <w:rPr>
                <w:rStyle w:val="Hyperlink"/>
                <w:b/>
                <w:bCs/>
                <w:noProof/>
              </w:rPr>
              <w:t>6  Architecture Overview</w:t>
            </w:r>
            <w:r>
              <w:rPr>
                <w:noProof/>
              </w:rPr>
              <w:tab/>
            </w:r>
            <w:r>
              <w:rPr>
                <w:noProof/>
              </w:rPr>
              <w:fldChar w:fldCharType="begin"/>
            </w:r>
            <w:r>
              <w:rPr>
                <w:noProof/>
              </w:rPr>
              <w:instrText xml:space="preserve"> PAGEREF _Toc239760065 \h </w:instrText>
            </w:r>
            <w:r>
              <w:rPr>
                <w:noProof/>
              </w:rPr>
            </w:r>
            <w:r>
              <w:rPr>
                <w:noProof/>
              </w:rPr>
              <w:fldChar w:fldCharType="separate"/>
            </w:r>
            <w:r>
              <w:rPr>
                <w:noProof/>
              </w:rPr>
              <w:t>8</w:t>
            </w:r>
            <w:r>
              <w:rPr>
                <w:noProof/>
              </w:rPr>
              <w:fldChar w:fldCharType="end"/>
            </w:r>
          </w:hyperlink>
        </w:p>
        <w:p w14:paraId="7B3B0266" w14:textId="77777777" w:rsidR="00147B2F" w:rsidRDefault="00147B2F">
          <w:pPr>
            <w:pStyle w:val="TOC2"/>
            <w:tabs>
              <w:tab w:val="right" w:leader="dot" w:pos="9628"/>
            </w:tabs>
            <w:rPr>
              <w:noProof/>
            </w:rPr>
          </w:pPr>
          <w:hyperlink w:anchor="_Toc239760066" w:history="1">
            <w:r w:rsidRPr="005750EF">
              <w:rPr>
                <w:rStyle w:val="Hyperlink"/>
                <w:b/>
                <w:bCs/>
                <w:noProof/>
              </w:rPr>
              <w:t>6.1  Service catalogue</w:t>
            </w:r>
            <w:r>
              <w:rPr>
                <w:noProof/>
              </w:rPr>
              <w:tab/>
            </w:r>
            <w:r>
              <w:rPr>
                <w:noProof/>
              </w:rPr>
              <w:fldChar w:fldCharType="begin"/>
            </w:r>
            <w:r>
              <w:rPr>
                <w:noProof/>
              </w:rPr>
              <w:instrText xml:space="preserve"> PAGEREF _Toc239760066 \h </w:instrText>
            </w:r>
            <w:r>
              <w:rPr>
                <w:noProof/>
              </w:rPr>
            </w:r>
            <w:r>
              <w:rPr>
                <w:noProof/>
              </w:rPr>
              <w:fldChar w:fldCharType="separate"/>
            </w:r>
            <w:r>
              <w:rPr>
                <w:noProof/>
              </w:rPr>
              <w:t>9</w:t>
            </w:r>
            <w:r>
              <w:rPr>
                <w:noProof/>
              </w:rPr>
              <w:fldChar w:fldCharType="end"/>
            </w:r>
          </w:hyperlink>
        </w:p>
        <w:p w14:paraId="21D80941" w14:textId="77777777" w:rsidR="00147B2F" w:rsidRDefault="00147B2F">
          <w:pPr>
            <w:pStyle w:val="TOC2"/>
            <w:tabs>
              <w:tab w:val="right" w:leader="dot" w:pos="9628"/>
            </w:tabs>
            <w:rPr>
              <w:noProof/>
            </w:rPr>
          </w:pPr>
          <w:hyperlink w:anchor="_Toc239760067" w:history="1">
            <w:r w:rsidRPr="005750EF">
              <w:rPr>
                <w:rStyle w:val="Hyperlink"/>
                <w:b/>
                <w:bCs/>
                <w:noProof/>
              </w:rPr>
              <w:t>6.2  Layer responsibilities</w:t>
            </w:r>
            <w:r>
              <w:rPr>
                <w:noProof/>
              </w:rPr>
              <w:tab/>
            </w:r>
            <w:r>
              <w:rPr>
                <w:noProof/>
              </w:rPr>
              <w:fldChar w:fldCharType="begin"/>
            </w:r>
            <w:r>
              <w:rPr>
                <w:noProof/>
              </w:rPr>
              <w:instrText xml:space="preserve"> PAGEREF _Toc239760067 \h </w:instrText>
            </w:r>
            <w:r>
              <w:rPr>
                <w:noProof/>
              </w:rPr>
            </w:r>
            <w:r>
              <w:rPr>
                <w:noProof/>
              </w:rPr>
              <w:fldChar w:fldCharType="separate"/>
            </w:r>
            <w:r>
              <w:rPr>
                <w:noProof/>
              </w:rPr>
              <w:t>10</w:t>
            </w:r>
            <w:r>
              <w:rPr>
                <w:noProof/>
              </w:rPr>
              <w:fldChar w:fldCharType="end"/>
            </w:r>
          </w:hyperlink>
        </w:p>
        <w:p w14:paraId="77E7C260" w14:textId="77777777" w:rsidR="00147B2F" w:rsidRDefault="00147B2F">
          <w:pPr>
            <w:pStyle w:val="TOC1"/>
            <w:tabs>
              <w:tab w:val="right" w:leader="dot" w:pos="9628"/>
            </w:tabs>
            <w:rPr>
              <w:noProof/>
            </w:rPr>
          </w:pPr>
          <w:hyperlink w:anchor="_Toc239760068" w:history="1">
            <w:r w:rsidRPr="005750EF">
              <w:rPr>
                <w:rStyle w:val="Hyperlink"/>
                <w:b/>
                <w:bCs/>
                <w:noProof/>
              </w:rPr>
              <w:t>7  TCG Integration Layer — tcg-service</w:t>
            </w:r>
            <w:r>
              <w:rPr>
                <w:noProof/>
              </w:rPr>
              <w:tab/>
            </w:r>
            <w:r>
              <w:rPr>
                <w:noProof/>
              </w:rPr>
              <w:fldChar w:fldCharType="begin"/>
            </w:r>
            <w:r>
              <w:rPr>
                <w:noProof/>
              </w:rPr>
              <w:instrText xml:space="preserve"> PAGEREF _Toc239760068 \h </w:instrText>
            </w:r>
            <w:r>
              <w:rPr>
                <w:noProof/>
              </w:rPr>
            </w:r>
            <w:r>
              <w:rPr>
                <w:noProof/>
              </w:rPr>
              <w:fldChar w:fldCharType="separate"/>
            </w:r>
            <w:r>
              <w:rPr>
                <w:noProof/>
              </w:rPr>
              <w:t>10</w:t>
            </w:r>
            <w:r>
              <w:rPr>
                <w:noProof/>
              </w:rPr>
              <w:fldChar w:fldCharType="end"/>
            </w:r>
          </w:hyperlink>
        </w:p>
        <w:p w14:paraId="1118CCD2" w14:textId="77777777" w:rsidR="00147B2F" w:rsidRDefault="00147B2F">
          <w:pPr>
            <w:pStyle w:val="TOC2"/>
            <w:tabs>
              <w:tab w:val="right" w:leader="dot" w:pos="9628"/>
            </w:tabs>
            <w:rPr>
              <w:noProof/>
            </w:rPr>
          </w:pPr>
          <w:hyperlink w:anchor="_Toc239760069" w:history="1">
            <w:r w:rsidRPr="005750EF">
              <w:rPr>
                <w:rStyle w:val="Hyperlink"/>
                <w:b/>
                <w:bCs/>
                <w:noProof/>
              </w:rPr>
              <w:t>7.1  Pattern</w:t>
            </w:r>
            <w:r>
              <w:rPr>
                <w:noProof/>
              </w:rPr>
              <w:tab/>
            </w:r>
            <w:r>
              <w:rPr>
                <w:noProof/>
              </w:rPr>
              <w:fldChar w:fldCharType="begin"/>
            </w:r>
            <w:r>
              <w:rPr>
                <w:noProof/>
              </w:rPr>
              <w:instrText xml:space="preserve"> PAGEREF _Toc239760069 \h </w:instrText>
            </w:r>
            <w:r>
              <w:rPr>
                <w:noProof/>
              </w:rPr>
            </w:r>
            <w:r>
              <w:rPr>
                <w:noProof/>
              </w:rPr>
              <w:fldChar w:fldCharType="separate"/>
            </w:r>
            <w:r>
              <w:rPr>
                <w:noProof/>
              </w:rPr>
              <w:t>10</w:t>
            </w:r>
            <w:r>
              <w:rPr>
                <w:noProof/>
              </w:rPr>
              <w:fldChar w:fldCharType="end"/>
            </w:r>
          </w:hyperlink>
        </w:p>
        <w:p w14:paraId="7F765626" w14:textId="77777777" w:rsidR="00147B2F" w:rsidRDefault="00147B2F">
          <w:pPr>
            <w:pStyle w:val="TOC2"/>
            <w:tabs>
              <w:tab w:val="right" w:leader="dot" w:pos="9628"/>
            </w:tabs>
            <w:rPr>
              <w:noProof/>
            </w:rPr>
          </w:pPr>
          <w:hyperlink w:anchor="_Toc239760070" w:history="1">
            <w:r w:rsidRPr="005750EF">
              <w:rPr>
                <w:rStyle w:val="Hyperlink"/>
                <w:b/>
                <w:bCs/>
                <w:noProof/>
              </w:rPr>
              <w:t>7.2  Master data via the FOP APIs</w:t>
            </w:r>
            <w:r>
              <w:rPr>
                <w:noProof/>
              </w:rPr>
              <w:tab/>
            </w:r>
            <w:r>
              <w:rPr>
                <w:noProof/>
              </w:rPr>
              <w:fldChar w:fldCharType="begin"/>
            </w:r>
            <w:r>
              <w:rPr>
                <w:noProof/>
              </w:rPr>
              <w:instrText xml:space="preserve"> PAGEREF _Toc239760070 \h </w:instrText>
            </w:r>
            <w:r>
              <w:rPr>
                <w:noProof/>
              </w:rPr>
            </w:r>
            <w:r>
              <w:rPr>
                <w:noProof/>
              </w:rPr>
              <w:fldChar w:fldCharType="separate"/>
            </w:r>
            <w:r>
              <w:rPr>
                <w:noProof/>
              </w:rPr>
              <w:t>10</w:t>
            </w:r>
            <w:r>
              <w:rPr>
                <w:noProof/>
              </w:rPr>
              <w:fldChar w:fldCharType="end"/>
            </w:r>
          </w:hyperlink>
        </w:p>
        <w:p w14:paraId="79D3E30B" w14:textId="77777777" w:rsidR="00147B2F" w:rsidRDefault="00147B2F">
          <w:pPr>
            <w:pStyle w:val="TOC2"/>
            <w:tabs>
              <w:tab w:val="right" w:leader="dot" w:pos="9628"/>
            </w:tabs>
            <w:rPr>
              <w:noProof/>
            </w:rPr>
          </w:pPr>
          <w:hyperlink w:anchor="_Toc239760071" w:history="1">
            <w:r w:rsidRPr="005750EF">
              <w:rPr>
                <w:rStyle w:val="Hyperlink"/>
                <w:b/>
                <w:bCs/>
                <w:noProof/>
              </w:rPr>
              <w:t>7.3  Transactional data via SFTP pull</w:t>
            </w:r>
            <w:r>
              <w:rPr>
                <w:noProof/>
              </w:rPr>
              <w:tab/>
            </w:r>
            <w:r>
              <w:rPr>
                <w:noProof/>
              </w:rPr>
              <w:fldChar w:fldCharType="begin"/>
            </w:r>
            <w:r>
              <w:rPr>
                <w:noProof/>
              </w:rPr>
              <w:instrText xml:space="preserve"> PAGEREF _Toc239760071 \h </w:instrText>
            </w:r>
            <w:r>
              <w:rPr>
                <w:noProof/>
              </w:rPr>
            </w:r>
            <w:r>
              <w:rPr>
                <w:noProof/>
              </w:rPr>
              <w:fldChar w:fldCharType="separate"/>
            </w:r>
            <w:r>
              <w:rPr>
                <w:noProof/>
              </w:rPr>
              <w:t>11</w:t>
            </w:r>
            <w:r>
              <w:rPr>
                <w:noProof/>
              </w:rPr>
              <w:fldChar w:fldCharType="end"/>
            </w:r>
          </w:hyperlink>
        </w:p>
        <w:p w14:paraId="50BA04EC" w14:textId="77777777" w:rsidR="00147B2F" w:rsidRDefault="00147B2F">
          <w:pPr>
            <w:pStyle w:val="TOC2"/>
            <w:tabs>
              <w:tab w:val="right" w:leader="dot" w:pos="9628"/>
            </w:tabs>
            <w:rPr>
              <w:noProof/>
            </w:rPr>
          </w:pPr>
          <w:hyperlink w:anchor="_Toc239760072" w:history="1">
            <w:r w:rsidRPr="005750EF">
              <w:rPr>
                <w:rStyle w:val="Hyperlink"/>
                <w:b/>
                <w:bCs/>
                <w:noProof/>
              </w:rPr>
              <w:t>7.4  Durable workflows</w:t>
            </w:r>
            <w:r>
              <w:rPr>
                <w:noProof/>
              </w:rPr>
              <w:tab/>
            </w:r>
            <w:r>
              <w:rPr>
                <w:noProof/>
              </w:rPr>
              <w:fldChar w:fldCharType="begin"/>
            </w:r>
            <w:r>
              <w:rPr>
                <w:noProof/>
              </w:rPr>
              <w:instrText xml:space="preserve"> PAGEREF _Toc239760072 \h </w:instrText>
            </w:r>
            <w:r>
              <w:rPr>
                <w:noProof/>
              </w:rPr>
            </w:r>
            <w:r>
              <w:rPr>
                <w:noProof/>
              </w:rPr>
              <w:fldChar w:fldCharType="separate"/>
            </w:r>
            <w:r>
              <w:rPr>
                <w:noProof/>
              </w:rPr>
              <w:t>12</w:t>
            </w:r>
            <w:r>
              <w:rPr>
                <w:noProof/>
              </w:rPr>
              <w:fldChar w:fldCharType="end"/>
            </w:r>
          </w:hyperlink>
        </w:p>
        <w:p w14:paraId="0B5BA92E" w14:textId="77777777" w:rsidR="00147B2F" w:rsidRDefault="00147B2F">
          <w:pPr>
            <w:pStyle w:val="TOC1"/>
            <w:tabs>
              <w:tab w:val="right" w:leader="dot" w:pos="9628"/>
            </w:tabs>
            <w:rPr>
              <w:noProof/>
            </w:rPr>
          </w:pPr>
          <w:hyperlink w:anchor="_Toc239760073" w:history="1">
            <w:r w:rsidRPr="005750EF">
              <w:rPr>
                <w:rStyle w:val="Hyperlink"/>
                <w:b/>
                <w:bCs/>
                <w:noProof/>
              </w:rPr>
              <w:t>8  Persistence — the PostgreSQL Data Platform</w:t>
            </w:r>
            <w:r>
              <w:rPr>
                <w:noProof/>
              </w:rPr>
              <w:tab/>
            </w:r>
            <w:r>
              <w:rPr>
                <w:noProof/>
              </w:rPr>
              <w:fldChar w:fldCharType="begin"/>
            </w:r>
            <w:r>
              <w:rPr>
                <w:noProof/>
              </w:rPr>
              <w:instrText xml:space="preserve"> PAGEREF _Toc239760073 \h </w:instrText>
            </w:r>
            <w:r>
              <w:rPr>
                <w:noProof/>
              </w:rPr>
            </w:r>
            <w:r>
              <w:rPr>
                <w:noProof/>
              </w:rPr>
              <w:fldChar w:fldCharType="separate"/>
            </w:r>
            <w:r>
              <w:rPr>
                <w:noProof/>
              </w:rPr>
              <w:t>12</w:t>
            </w:r>
            <w:r>
              <w:rPr>
                <w:noProof/>
              </w:rPr>
              <w:fldChar w:fldCharType="end"/>
            </w:r>
          </w:hyperlink>
        </w:p>
        <w:p w14:paraId="5675FC36" w14:textId="77777777" w:rsidR="00147B2F" w:rsidRDefault="00147B2F">
          <w:pPr>
            <w:pStyle w:val="TOC2"/>
            <w:tabs>
              <w:tab w:val="right" w:leader="dot" w:pos="9628"/>
            </w:tabs>
            <w:rPr>
              <w:noProof/>
            </w:rPr>
          </w:pPr>
          <w:hyperlink w:anchor="_Toc239760074" w:history="1">
            <w:r w:rsidRPr="005750EF">
              <w:rPr>
                <w:rStyle w:val="Hyperlink"/>
                <w:b/>
                <w:bCs/>
                <w:noProof/>
              </w:rPr>
              <w:t>8.1  Canonical: as-is in JSONB, keyed by generated columns</w:t>
            </w:r>
            <w:r>
              <w:rPr>
                <w:noProof/>
              </w:rPr>
              <w:tab/>
            </w:r>
            <w:r>
              <w:rPr>
                <w:noProof/>
              </w:rPr>
              <w:fldChar w:fldCharType="begin"/>
            </w:r>
            <w:r>
              <w:rPr>
                <w:noProof/>
              </w:rPr>
              <w:instrText xml:space="preserve"> PAGEREF _Toc239760074 \h </w:instrText>
            </w:r>
            <w:r>
              <w:rPr>
                <w:noProof/>
              </w:rPr>
            </w:r>
            <w:r>
              <w:rPr>
                <w:noProof/>
              </w:rPr>
              <w:fldChar w:fldCharType="separate"/>
            </w:r>
            <w:r>
              <w:rPr>
                <w:noProof/>
              </w:rPr>
              <w:t>13</w:t>
            </w:r>
            <w:r>
              <w:rPr>
                <w:noProof/>
              </w:rPr>
              <w:fldChar w:fldCharType="end"/>
            </w:r>
          </w:hyperlink>
        </w:p>
        <w:p w14:paraId="07598DCB" w14:textId="77777777" w:rsidR="00147B2F" w:rsidRDefault="00147B2F">
          <w:pPr>
            <w:pStyle w:val="TOC2"/>
            <w:tabs>
              <w:tab w:val="right" w:leader="dot" w:pos="9628"/>
            </w:tabs>
            <w:rPr>
              <w:noProof/>
            </w:rPr>
          </w:pPr>
          <w:hyperlink w:anchor="_Toc239760075" w:history="1">
            <w:r w:rsidRPr="005750EF">
              <w:rPr>
                <w:rStyle w:val="Hyperlink"/>
                <w:b/>
                <w:bCs/>
                <w:noProof/>
              </w:rPr>
              <w:t>8.2  The subscription overlay</w:t>
            </w:r>
            <w:r>
              <w:rPr>
                <w:noProof/>
              </w:rPr>
              <w:tab/>
            </w:r>
            <w:r>
              <w:rPr>
                <w:noProof/>
              </w:rPr>
              <w:fldChar w:fldCharType="begin"/>
            </w:r>
            <w:r>
              <w:rPr>
                <w:noProof/>
              </w:rPr>
              <w:instrText xml:space="preserve"> PAGEREF _Toc239760075 \h </w:instrText>
            </w:r>
            <w:r>
              <w:rPr>
                <w:noProof/>
              </w:rPr>
            </w:r>
            <w:r>
              <w:rPr>
                <w:noProof/>
              </w:rPr>
              <w:fldChar w:fldCharType="separate"/>
            </w:r>
            <w:r>
              <w:rPr>
                <w:noProof/>
              </w:rPr>
              <w:t>14</w:t>
            </w:r>
            <w:r>
              <w:rPr>
                <w:noProof/>
              </w:rPr>
              <w:fldChar w:fldCharType="end"/>
            </w:r>
          </w:hyperlink>
        </w:p>
        <w:p w14:paraId="11A166FC" w14:textId="77777777" w:rsidR="00147B2F" w:rsidRDefault="00147B2F">
          <w:pPr>
            <w:pStyle w:val="TOC2"/>
            <w:tabs>
              <w:tab w:val="right" w:leader="dot" w:pos="9628"/>
            </w:tabs>
            <w:rPr>
              <w:noProof/>
            </w:rPr>
          </w:pPr>
          <w:hyperlink w:anchor="_Toc239760076" w:history="1">
            <w:r w:rsidRPr="005750EF">
              <w:rPr>
                <w:rStyle w:val="Hyperlink"/>
                <w:b/>
                <w:bCs/>
                <w:noProof/>
              </w:rPr>
              <w:t>8.3  Staging, ops, roles and files</w:t>
            </w:r>
            <w:r>
              <w:rPr>
                <w:noProof/>
              </w:rPr>
              <w:tab/>
            </w:r>
            <w:r>
              <w:rPr>
                <w:noProof/>
              </w:rPr>
              <w:fldChar w:fldCharType="begin"/>
            </w:r>
            <w:r>
              <w:rPr>
                <w:noProof/>
              </w:rPr>
              <w:instrText xml:space="preserve"> PAGEREF _Toc239760076 \h </w:instrText>
            </w:r>
            <w:r>
              <w:rPr>
                <w:noProof/>
              </w:rPr>
            </w:r>
            <w:r>
              <w:rPr>
                <w:noProof/>
              </w:rPr>
              <w:fldChar w:fldCharType="separate"/>
            </w:r>
            <w:r>
              <w:rPr>
                <w:noProof/>
              </w:rPr>
              <w:t>14</w:t>
            </w:r>
            <w:r>
              <w:rPr>
                <w:noProof/>
              </w:rPr>
              <w:fldChar w:fldCharType="end"/>
            </w:r>
          </w:hyperlink>
        </w:p>
        <w:p w14:paraId="77F89AE6" w14:textId="77777777" w:rsidR="00147B2F" w:rsidRDefault="00147B2F">
          <w:pPr>
            <w:pStyle w:val="TOC1"/>
            <w:tabs>
              <w:tab w:val="right" w:leader="dot" w:pos="9628"/>
            </w:tabs>
            <w:rPr>
              <w:noProof/>
            </w:rPr>
          </w:pPr>
          <w:hyperlink w:anchor="_Toc239760077" w:history="1">
            <w:r w:rsidRPr="005750EF">
              <w:rPr>
                <w:rStyle w:val="Hyperlink"/>
                <w:b/>
                <w:bCs/>
                <w:noProof/>
              </w:rPr>
              <w:t>9  Cellular Tenancy — the ISM Subscriber Layer as Cells</w:t>
            </w:r>
            <w:r>
              <w:rPr>
                <w:noProof/>
              </w:rPr>
              <w:tab/>
            </w:r>
            <w:r>
              <w:rPr>
                <w:noProof/>
              </w:rPr>
              <w:fldChar w:fldCharType="begin"/>
            </w:r>
            <w:r>
              <w:rPr>
                <w:noProof/>
              </w:rPr>
              <w:instrText xml:space="preserve"> PAGEREF _Toc239760077 \h </w:instrText>
            </w:r>
            <w:r>
              <w:rPr>
                <w:noProof/>
              </w:rPr>
            </w:r>
            <w:r>
              <w:rPr>
                <w:noProof/>
              </w:rPr>
              <w:fldChar w:fldCharType="separate"/>
            </w:r>
            <w:r>
              <w:rPr>
                <w:noProof/>
              </w:rPr>
              <w:t>15</w:t>
            </w:r>
            <w:r>
              <w:rPr>
                <w:noProof/>
              </w:rPr>
              <w:fldChar w:fldCharType="end"/>
            </w:r>
          </w:hyperlink>
        </w:p>
        <w:p w14:paraId="175B6317" w14:textId="77777777" w:rsidR="00147B2F" w:rsidRDefault="00147B2F">
          <w:pPr>
            <w:pStyle w:val="TOC1"/>
            <w:tabs>
              <w:tab w:val="right" w:leader="dot" w:pos="9628"/>
            </w:tabs>
            <w:rPr>
              <w:noProof/>
            </w:rPr>
          </w:pPr>
          <w:hyperlink w:anchor="_Toc239760078" w:history="1">
            <w:r w:rsidRPr="005750EF">
              <w:rPr>
                <w:rStyle w:val="Hyperlink"/>
                <w:b/>
                <w:bCs/>
                <w:noProof/>
              </w:rPr>
              <w:t>10  Curation — the Web Application</w:t>
            </w:r>
            <w:r>
              <w:rPr>
                <w:noProof/>
              </w:rPr>
              <w:tab/>
            </w:r>
            <w:r>
              <w:rPr>
                <w:noProof/>
              </w:rPr>
              <w:fldChar w:fldCharType="begin"/>
            </w:r>
            <w:r>
              <w:rPr>
                <w:noProof/>
              </w:rPr>
              <w:instrText xml:space="preserve"> PAGEREF _Toc239760078 \h </w:instrText>
            </w:r>
            <w:r>
              <w:rPr>
                <w:noProof/>
              </w:rPr>
            </w:r>
            <w:r>
              <w:rPr>
                <w:noProof/>
              </w:rPr>
              <w:fldChar w:fldCharType="separate"/>
            </w:r>
            <w:r>
              <w:rPr>
                <w:noProof/>
              </w:rPr>
              <w:t>15</w:t>
            </w:r>
            <w:r>
              <w:rPr>
                <w:noProof/>
              </w:rPr>
              <w:fldChar w:fldCharType="end"/>
            </w:r>
          </w:hyperlink>
        </w:p>
        <w:p w14:paraId="27F534CF" w14:textId="77777777" w:rsidR="00147B2F" w:rsidRDefault="00147B2F">
          <w:pPr>
            <w:pStyle w:val="TOC2"/>
            <w:tabs>
              <w:tab w:val="right" w:leader="dot" w:pos="9628"/>
            </w:tabs>
            <w:rPr>
              <w:noProof/>
            </w:rPr>
          </w:pPr>
          <w:hyperlink w:anchor="_Toc239760079" w:history="1">
            <w:r w:rsidRPr="005750EF">
              <w:rPr>
                <w:rStyle w:val="Hyperlink"/>
                <w:b/>
                <w:bCs/>
                <w:noProof/>
              </w:rPr>
              <w:t>10.1  Subscribe and enrich</w:t>
            </w:r>
            <w:r>
              <w:rPr>
                <w:noProof/>
              </w:rPr>
              <w:tab/>
            </w:r>
            <w:r>
              <w:rPr>
                <w:noProof/>
              </w:rPr>
              <w:fldChar w:fldCharType="begin"/>
            </w:r>
            <w:r>
              <w:rPr>
                <w:noProof/>
              </w:rPr>
              <w:instrText xml:space="preserve"> PAGEREF _Toc239760079 \h </w:instrText>
            </w:r>
            <w:r>
              <w:rPr>
                <w:noProof/>
              </w:rPr>
            </w:r>
            <w:r>
              <w:rPr>
                <w:noProof/>
              </w:rPr>
              <w:fldChar w:fldCharType="separate"/>
            </w:r>
            <w:r>
              <w:rPr>
                <w:noProof/>
              </w:rPr>
              <w:t>15</w:t>
            </w:r>
            <w:r>
              <w:rPr>
                <w:noProof/>
              </w:rPr>
              <w:fldChar w:fldCharType="end"/>
            </w:r>
          </w:hyperlink>
        </w:p>
        <w:p w14:paraId="04F7BFAC" w14:textId="77777777" w:rsidR="00147B2F" w:rsidRDefault="00147B2F">
          <w:pPr>
            <w:pStyle w:val="TOC2"/>
            <w:tabs>
              <w:tab w:val="right" w:leader="dot" w:pos="9628"/>
            </w:tabs>
            <w:rPr>
              <w:noProof/>
            </w:rPr>
          </w:pPr>
          <w:hyperlink w:anchor="_Toc239760080" w:history="1">
            <w:r w:rsidRPr="005750EF">
              <w:rPr>
                <w:rStyle w:val="Hyperlink"/>
                <w:b/>
                <w:bCs/>
                <w:noProof/>
              </w:rPr>
              <w:t>10.2  The approval gate</w:t>
            </w:r>
            <w:r>
              <w:rPr>
                <w:noProof/>
              </w:rPr>
              <w:tab/>
            </w:r>
            <w:r>
              <w:rPr>
                <w:noProof/>
              </w:rPr>
              <w:fldChar w:fldCharType="begin"/>
            </w:r>
            <w:r>
              <w:rPr>
                <w:noProof/>
              </w:rPr>
              <w:instrText xml:space="preserve"> PAGEREF _Toc239760080 \h </w:instrText>
            </w:r>
            <w:r>
              <w:rPr>
                <w:noProof/>
              </w:rPr>
            </w:r>
            <w:r>
              <w:rPr>
                <w:noProof/>
              </w:rPr>
              <w:fldChar w:fldCharType="separate"/>
            </w:r>
            <w:r>
              <w:rPr>
                <w:noProof/>
              </w:rPr>
              <w:t>16</w:t>
            </w:r>
            <w:r>
              <w:rPr>
                <w:noProof/>
              </w:rPr>
              <w:fldChar w:fldCharType="end"/>
            </w:r>
          </w:hyperlink>
        </w:p>
        <w:p w14:paraId="2F80CE20" w14:textId="77777777" w:rsidR="00147B2F" w:rsidRDefault="00147B2F">
          <w:pPr>
            <w:pStyle w:val="TOC2"/>
            <w:tabs>
              <w:tab w:val="right" w:leader="dot" w:pos="9628"/>
            </w:tabs>
            <w:rPr>
              <w:noProof/>
            </w:rPr>
          </w:pPr>
          <w:hyperlink w:anchor="_Toc239760081" w:history="1">
            <w:r w:rsidRPr="005750EF">
              <w:rPr>
                <w:rStyle w:val="Hyperlink"/>
                <w:b/>
                <w:bCs/>
                <w:noProof/>
              </w:rPr>
              <w:t>10.3  Price and promotion: advisory surveillance</w:t>
            </w:r>
            <w:r>
              <w:rPr>
                <w:noProof/>
              </w:rPr>
              <w:tab/>
            </w:r>
            <w:r>
              <w:rPr>
                <w:noProof/>
              </w:rPr>
              <w:fldChar w:fldCharType="begin"/>
            </w:r>
            <w:r>
              <w:rPr>
                <w:noProof/>
              </w:rPr>
              <w:instrText xml:space="preserve"> PAGEREF _Toc239760081 \h </w:instrText>
            </w:r>
            <w:r>
              <w:rPr>
                <w:noProof/>
              </w:rPr>
            </w:r>
            <w:r>
              <w:rPr>
                <w:noProof/>
              </w:rPr>
              <w:fldChar w:fldCharType="separate"/>
            </w:r>
            <w:r>
              <w:rPr>
                <w:noProof/>
              </w:rPr>
              <w:t>16</w:t>
            </w:r>
            <w:r>
              <w:rPr>
                <w:noProof/>
              </w:rPr>
              <w:fldChar w:fldCharType="end"/>
            </w:r>
          </w:hyperlink>
        </w:p>
        <w:p w14:paraId="7B7074A4" w14:textId="77777777" w:rsidR="00147B2F" w:rsidRDefault="00147B2F">
          <w:pPr>
            <w:pStyle w:val="TOC2"/>
            <w:tabs>
              <w:tab w:val="right" w:leader="dot" w:pos="9628"/>
            </w:tabs>
            <w:rPr>
              <w:noProof/>
            </w:rPr>
          </w:pPr>
          <w:hyperlink w:anchor="_Toc239760082" w:history="1">
            <w:r w:rsidRPr="005750EF">
              <w:rPr>
                <w:rStyle w:val="Hyperlink"/>
                <w:b/>
                <w:bCs/>
                <w:noProof/>
              </w:rPr>
              <w:t>10.4  Realisation and personas</w:t>
            </w:r>
            <w:r>
              <w:rPr>
                <w:noProof/>
              </w:rPr>
              <w:tab/>
            </w:r>
            <w:r>
              <w:rPr>
                <w:noProof/>
              </w:rPr>
              <w:fldChar w:fldCharType="begin"/>
            </w:r>
            <w:r>
              <w:rPr>
                <w:noProof/>
              </w:rPr>
              <w:instrText xml:space="preserve"> PAGEREF _Toc239760082 \h </w:instrText>
            </w:r>
            <w:r>
              <w:rPr>
                <w:noProof/>
              </w:rPr>
            </w:r>
            <w:r>
              <w:rPr>
                <w:noProof/>
              </w:rPr>
              <w:fldChar w:fldCharType="separate"/>
            </w:r>
            <w:r>
              <w:rPr>
                <w:noProof/>
              </w:rPr>
              <w:t>16</w:t>
            </w:r>
            <w:r>
              <w:rPr>
                <w:noProof/>
              </w:rPr>
              <w:fldChar w:fldCharType="end"/>
            </w:r>
          </w:hyperlink>
        </w:p>
        <w:p w14:paraId="2437C1AC" w14:textId="77777777" w:rsidR="00147B2F" w:rsidRDefault="00147B2F">
          <w:pPr>
            <w:pStyle w:val="TOC1"/>
            <w:tabs>
              <w:tab w:val="right" w:leader="dot" w:pos="9628"/>
            </w:tabs>
            <w:rPr>
              <w:noProof/>
            </w:rPr>
          </w:pPr>
          <w:hyperlink w:anchor="_Toc239760083" w:history="1">
            <w:r w:rsidRPr="005750EF">
              <w:rPr>
                <w:rStyle w:val="Hyperlink"/>
                <w:b/>
                <w:bCs/>
                <w:noProof/>
              </w:rPr>
              <w:t>11  ISM Subscriber Layer — Interface Packs</w:t>
            </w:r>
            <w:r>
              <w:rPr>
                <w:noProof/>
              </w:rPr>
              <w:tab/>
            </w:r>
            <w:r>
              <w:rPr>
                <w:noProof/>
              </w:rPr>
              <w:fldChar w:fldCharType="begin"/>
            </w:r>
            <w:r>
              <w:rPr>
                <w:noProof/>
              </w:rPr>
              <w:instrText xml:space="preserve"> PAGEREF _Toc239760083 \h </w:instrText>
            </w:r>
            <w:r>
              <w:rPr>
                <w:noProof/>
              </w:rPr>
            </w:r>
            <w:r>
              <w:rPr>
                <w:noProof/>
              </w:rPr>
              <w:fldChar w:fldCharType="separate"/>
            </w:r>
            <w:r>
              <w:rPr>
                <w:noProof/>
              </w:rPr>
              <w:t>16</w:t>
            </w:r>
            <w:r>
              <w:rPr>
                <w:noProof/>
              </w:rPr>
              <w:fldChar w:fldCharType="end"/>
            </w:r>
          </w:hyperlink>
        </w:p>
        <w:p w14:paraId="0A0DB456" w14:textId="77777777" w:rsidR="00147B2F" w:rsidRDefault="00147B2F">
          <w:pPr>
            <w:pStyle w:val="TOC2"/>
            <w:tabs>
              <w:tab w:val="right" w:leader="dot" w:pos="9628"/>
            </w:tabs>
            <w:rPr>
              <w:noProof/>
            </w:rPr>
          </w:pPr>
          <w:hyperlink w:anchor="_Toc239760084" w:history="1">
            <w:r w:rsidRPr="005750EF">
              <w:rPr>
                <w:rStyle w:val="Hyperlink"/>
                <w:b/>
                <w:bCs/>
                <w:noProof/>
              </w:rPr>
              <w:t>11.1  A pack is the unit of subscriber variability</w:t>
            </w:r>
            <w:r>
              <w:rPr>
                <w:noProof/>
              </w:rPr>
              <w:tab/>
            </w:r>
            <w:r>
              <w:rPr>
                <w:noProof/>
              </w:rPr>
              <w:fldChar w:fldCharType="begin"/>
            </w:r>
            <w:r>
              <w:rPr>
                <w:noProof/>
              </w:rPr>
              <w:instrText xml:space="preserve"> PAGEREF _Toc239760084 \h </w:instrText>
            </w:r>
            <w:r>
              <w:rPr>
                <w:noProof/>
              </w:rPr>
            </w:r>
            <w:r>
              <w:rPr>
                <w:noProof/>
              </w:rPr>
              <w:fldChar w:fldCharType="separate"/>
            </w:r>
            <w:r>
              <w:rPr>
                <w:noProof/>
              </w:rPr>
              <w:t>17</w:t>
            </w:r>
            <w:r>
              <w:rPr>
                <w:noProof/>
              </w:rPr>
              <w:fldChar w:fldCharType="end"/>
            </w:r>
          </w:hyperlink>
        </w:p>
        <w:p w14:paraId="4ACBFA58" w14:textId="77777777" w:rsidR="00147B2F" w:rsidRDefault="00147B2F">
          <w:pPr>
            <w:pStyle w:val="TOC2"/>
            <w:tabs>
              <w:tab w:val="right" w:leader="dot" w:pos="9628"/>
            </w:tabs>
            <w:rPr>
              <w:noProof/>
            </w:rPr>
          </w:pPr>
          <w:hyperlink w:anchor="_Toc239760085" w:history="1">
            <w:r w:rsidRPr="005750EF">
              <w:rPr>
                <w:rStyle w:val="Hyperlink"/>
                <w:b/>
                <w:bCs/>
                <w:noProof/>
              </w:rPr>
              <w:t>11.2  Dispatch, receipts and the auth edge</w:t>
            </w:r>
            <w:r>
              <w:rPr>
                <w:noProof/>
              </w:rPr>
              <w:tab/>
            </w:r>
            <w:r>
              <w:rPr>
                <w:noProof/>
              </w:rPr>
              <w:fldChar w:fldCharType="begin"/>
            </w:r>
            <w:r>
              <w:rPr>
                <w:noProof/>
              </w:rPr>
              <w:instrText xml:space="preserve"> PAGEREF _Toc239760085 \h </w:instrText>
            </w:r>
            <w:r>
              <w:rPr>
                <w:noProof/>
              </w:rPr>
            </w:r>
            <w:r>
              <w:rPr>
                <w:noProof/>
              </w:rPr>
              <w:fldChar w:fldCharType="separate"/>
            </w:r>
            <w:r>
              <w:rPr>
                <w:noProof/>
              </w:rPr>
              <w:t>17</w:t>
            </w:r>
            <w:r>
              <w:rPr>
                <w:noProof/>
              </w:rPr>
              <w:fldChar w:fldCharType="end"/>
            </w:r>
          </w:hyperlink>
        </w:p>
        <w:p w14:paraId="0E4FD72A" w14:textId="77777777" w:rsidR="00147B2F" w:rsidRDefault="00147B2F">
          <w:pPr>
            <w:pStyle w:val="TOC2"/>
            <w:tabs>
              <w:tab w:val="right" w:leader="dot" w:pos="9628"/>
            </w:tabs>
            <w:rPr>
              <w:noProof/>
            </w:rPr>
          </w:pPr>
          <w:hyperlink w:anchor="_Toc239760086" w:history="1">
            <w:r w:rsidRPr="005750EF">
              <w:rPr>
                <w:rStyle w:val="Hyperlink"/>
                <w:b/>
                <w:bCs/>
                <w:noProof/>
              </w:rPr>
              <w:t>11.3  Outbound content</w:t>
            </w:r>
            <w:r>
              <w:rPr>
                <w:noProof/>
              </w:rPr>
              <w:tab/>
            </w:r>
            <w:r>
              <w:rPr>
                <w:noProof/>
              </w:rPr>
              <w:fldChar w:fldCharType="begin"/>
            </w:r>
            <w:r>
              <w:rPr>
                <w:noProof/>
              </w:rPr>
              <w:instrText xml:space="preserve"> PAGEREF _Toc239760086 \h </w:instrText>
            </w:r>
            <w:r>
              <w:rPr>
                <w:noProof/>
              </w:rPr>
            </w:r>
            <w:r>
              <w:rPr>
                <w:noProof/>
              </w:rPr>
              <w:fldChar w:fldCharType="separate"/>
            </w:r>
            <w:r>
              <w:rPr>
                <w:noProof/>
              </w:rPr>
              <w:t>17</w:t>
            </w:r>
            <w:r>
              <w:rPr>
                <w:noProof/>
              </w:rPr>
              <w:fldChar w:fldCharType="end"/>
            </w:r>
          </w:hyperlink>
        </w:p>
        <w:p w14:paraId="27FE2DE4" w14:textId="77777777" w:rsidR="00147B2F" w:rsidRDefault="00147B2F">
          <w:pPr>
            <w:pStyle w:val="TOC1"/>
            <w:tabs>
              <w:tab w:val="right" w:leader="dot" w:pos="9628"/>
            </w:tabs>
            <w:rPr>
              <w:noProof/>
            </w:rPr>
          </w:pPr>
          <w:hyperlink w:anchor="_Toc239760087" w:history="1">
            <w:r w:rsidRPr="005750EF">
              <w:rPr>
                <w:rStyle w:val="Hyperlink"/>
                <w:b/>
                <w:bCs/>
                <w:noProof/>
              </w:rPr>
              <w:t>12  Sales Order Return Path</w:t>
            </w:r>
            <w:r>
              <w:rPr>
                <w:noProof/>
              </w:rPr>
              <w:tab/>
            </w:r>
            <w:r>
              <w:rPr>
                <w:noProof/>
              </w:rPr>
              <w:fldChar w:fldCharType="begin"/>
            </w:r>
            <w:r>
              <w:rPr>
                <w:noProof/>
              </w:rPr>
              <w:instrText xml:space="preserve"> PAGEREF _Toc239760087 \h </w:instrText>
            </w:r>
            <w:r>
              <w:rPr>
                <w:noProof/>
              </w:rPr>
            </w:r>
            <w:r>
              <w:rPr>
                <w:noProof/>
              </w:rPr>
              <w:fldChar w:fldCharType="separate"/>
            </w:r>
            <w:r>
              <w:rPr>
                <w:noProof/>
              </w:rPr>
              <w:t>17</w:t>
            </w:r>
            <w:r>
              <w:rPr>
                <w:noProof/>
              </w:rPr>
              <w:fldChar w:fldCharType="end"/>
            </w:r>
          </w:hyperlink>
        </w:p>
        <w:p w14:paraId="5D33502E" w14:textId="77777777" w:rsidR="00147B2F" w:rsidRDefault="00147B2F">
          <w:pPr>
            <w:pStyle w:val="TOC2"/>
            <w:tabs>
              <w:tab w:val="right" w:leader="dot" w:pos="9628"/>
            </w:tabs>
            <w:rPr>
              <w:noProof/>
            </w:rPr>
          </w:pPr>
          <w:hyperlink w:anchor="_Toc239760088" w:history="1">
            <w:r w:rsidRPr="005750EF">
              <w:rPr>
                <w:rStyle w:val="Hyperlink"/>
                <w:b/>
                <w:bCs/>
                <w:noProof/>
              </w:rPr>
              <w:t>12.1  Flow</w:t>
            </w:r>
            <w:r>
              <w:rPr>
                <w:noProof/>
              </w:rPr>
              <w:tab/>
            </w:r>
            <w:r>
              <w:rPr>
                <w:noProof/>
              </w:rPr>
              <w:fldChar w:fldCharType="begin"/>
            </w:r>
            <w:r>
              <w:rPr>
                <w:noProof/>
              </w:rPr>
              <w:instrText xml:space="preserve"> PAGEREF _Toc239760088 \h </w:instrText>
            </w:r>
            <w:r>
              <w:rPr>
                <w:noProof/>
              </w:rPr>
            </w:r>
            <w:r>
              <w:rPr>
                <w:noProof/>
              </w:rPr>
              <w:fldChar w:fldCharType="separate"/>
            </w:r>
            <w:r>
              <w:rPr>
                <w:noProof/>
              </w:rPr>
              <w:t>18</w:t>
            </w:r>
            <w:r>
              <w:rPr>
                <w:noProof/>
              </w:rPr>
              <w:fldChar w:fldCharType="end"/>
            </w:r>
          </w:hyperlink>
        </w:p>
        <w:p w14:paraId="1497D213" w14:textId="77777777" w:rsidR="00147B2F" w:rsidRDefault="00147B2F">
          <w:pPr>
            <w:pStyle w:val="TOC2"/>
            <w:tabs>
              <w:tab w:val="right" w:leader="dot" w:pos="9628"/>
            </w:tabs>
            <w:rPr>
              <w:noProof/>
            </w:rPr>
          </w:pPr>
          <w:hyperlink w:anchor="_Toc239760089" w:history="1">
            <w:r w:rsidRPr="005750EF">
              <w:rPr>
                <w:rStyle w:val="Hyperlink"/>
                <w:b/>
                <w:bCs/>
                <w:noProof/>
              </w:rPr>
              <w:t>12.2  Contract shape (FOP spec v0.4.0 / beans worked example)</w:t>
            </w:r>
            <w:r>
              <w:rPr>
                <w:noProof/>
              </w:rPr>
              <w:tab/>
            </w:r>
            <w:r>
              <w:rPr>
                <w:noProof/>
              </w:rPr>
              <w:fldChar w:fldCharType="begin"/>
            </w:r>
            <w:r>
              <w:rPr>
                <w:noProof/>
              </w:rPr>
              <w:instrText xml:space="preserve"> PAGEREF _Toc239760089 \h </w:instrText>
            </w:r>
            <w:r>
              <w:rPr>
                <w:noProof/>
              </w:rPr>
            </w:r>
            <w:r>
              <w:rPr>
                <w:noProof/>
              </w:rPr>
              <w:fldChar w:fldCharType="separate"/>
            </w:r>
            <w:r>
              <w:rPr>
                <w:noProof/>
              </w:rPr>
              <w:t>18</w:t>
            </w:r>
            <w:r>
              <w:rPr>
                <w:noProof/>
              </w:rPr>
              <w:fldChar w:fldCharType="end"/>
            </w:r>
          </w:hyperlink>
        </w:p>
        <w:p w14:paraId="1F62E2D2" w14:textId="77777777" w:rsidR="00147B2F" w:rsidRDefault="00147B2F">
          <w:pPr>
            <w:pStyle w:val="TOC2"/>
            <w:tabs>
              <w:tab w:val="right" w:leader="dot" w:pos="9628"/>
            </w:tabs>
            <w:rPr>
              <w:noProof/>
            </w:rPr>
          </w:pPr>
          <w:hyperlink w:anchor="_Toc239760090" w:history="1">
            <w:r w:rsidRPr="005750EF">
              <w:rPr>
                <w:rStyle w:val="Hyperlink"/>
                <w:b/>
                <w:bCs/>
                <w:noProof/>
              </w:rPr>
              <w:t>12.3  Timing and the reviewed relay</w:t>
            </w:r>
            <w:r>
              <w:rPr>
                <w:noProof/>
              </w:rPr>
              <w:tab/>
            </w:r>
            <w:r>
              <w:rPr>
                <w:noProof/>
              </w:rPr>
              <w:fldChar w:fldCharType="begin"/>
            </w:r>
            <w:r>
              <w:rPr>
                <w:noProof/>
              </w:rPr>
              <w:instrText xml:space="preserve"> PAGEREF _Toc239760090 \h </w:instrText>
            </w:r>
            <w:r>
              <w:rPr>
                <w:noProof/>
              </w:rPr>
            </w:r>
            <w:r>
              <w:rPr>
                <w:noProof/>
              </w:rPr>
              <w:fldChar w:fldCharType="separate"/>
            </w:r>
            <w:r>
              <w:rPr>
                <w:noProof/>
              </w:rPr>
              <w:t>18</w:t>
            </w:r>
            <w:r>
              <w:rPr>
                <w:noProof/>
              </w:rPr>
              <w:fldChar w:fldCharType="end"/>
            </w:r>
          </w:hyperlink>
        </w:p>
        <w:p w14:paraId="2FA44371" w14:textId="77777777" w:rsidR="00147B2F" w:rsidRDefault="00147B2F">
          <w:pPr>
            <w:pStyle w:val="TOC1"/>
            <w:tabs>
              <w:tab w:val="right" w:leader="dot" w:pos="9628"/>
            </w:tabs>
            <w:rPr>
              <w:noProof/>
            </w:rPr>
          </w:pPr>
          <w:hyperlink w:anchor="_Toc239760091" w:history="1">
            <w:r w:rsidRPr="005750EF">
              <w:rPr>
                <w:rStyle w:val="Hyperlink"/>
                <w:b/>
                <w:bCs/>
                <w:noProof/>
              </w:rPr>
              <w:t>13  Durable Execution — Temporal</w:t>
            </w:r>
            <w:r>
              <w:rPr>
                <w:noProof/>
              </w:rPr>
              <w:tab/>
            </w:r>
            <w:r>
              <w:rPr>
                <w:noProof/>
              </w:rPr>
              <w:fldChar w:fldCharType="begin"/>
            </w:r>
            <w:r>
              <w:rPr>
                <w:noProof/>
              </w:rPr>
              <w:instrText xml:space="preserve"> PAGEREF _Toc239760091 \h </w:instrText>
            </w:r>
            <w:r>
              <w:rPr>
                <w:noProof/>
              </w:rPr>
            </w:r>
            <w:r>
              <w:rPr>
                <w:noProof/>
              </w:rPr>
              <w:fldChar w:fldCharType="separate"/>
            </w:r>
            <w:r>
              <w:rPr>
                <w:noProof/>
              </w:rPr>
              <w:t>18</w:t>
            </w:r>
            <w:r>
              <w:rPr>
                <w:noProof/>
              </w:rPr>
              <w:fldChar w:fldCharType="end"/>
            </w:r>
          </w:hyperlink>
        </w:p>
        <w:p w14:paraId="4BBC25E2" w14:textId="77777777" w:rsidR="00147B2F" w:rsidRDefault="00147B2F">
          <w:pPr>
            <w:pStyle w:val="TOC1"/>
            <w:tabs>
              <w:tab w:val="right" w:leader="dot" w:pos="9628"/>
            </w:tabs>
            <w:rPr>
              <w:noProof/>
            </w:rPr>
          </w:pPr>
          <w:hyperlink w:anchor="_Toc239760092" w:history="1">
            <w:r w:rsidRPr="005750EF">
              <w:rPr>
                <w:rStyle w:val="Hyperlink"/>
                <w:b/>
                <w:bCs/>
                <w:noProof/>
              </w:rPr>
              <w:t>14  The Knowledge-Graph Context Plane</w:t>
            </w:r>
            <w:r>
              <w:rPr>
                <w:noProof/>
              </w:rPr>
              <w:tab/>
            </w:r>
            <w:r>
              <w:rPr>
                <w:noProof/>
              </w:rPr>
              <w:fldChar w:fldCharType="begin"/>
            </w:r>
            <w:r>
              <w:rPr>
                <w:noProof/>
              </w:rPr>
              <w:instrText xml:space="preserve"> PAGEREF _Toc239760092 \h </w:instrText>
            </w:r>
            <w:r>
              <w:rPr>
                <w:noProof/>
              </w:rPr>
            </w:r>
            <w:r>
              <w:rPr>
                <w:noProof/>
              </w:rPr>
              <w:fldChar w:fldCharType="separate"/>
            </w:r>
            <w:r>
              <w:rPr>
                <w:noProof/>
              </w:rPr>
              <w:t>19</w:t>
            </w:r>
            <w:r>
              <w:rPr>
                <w:noProof/>
              </w:rPr>
              <w:fldChar w:fldCharType="end"/>
            </w:r>
          </w:hyperlink>
        </w:p>
        <w:p w14:paraId="0C063528" w14:textId="77777777" w:rsidR="00147B2F" w:rsidRDefault="00147B2F">
          <w:pPr>
            <w:pStyle w:val="TOC2"/>
            <w:tabs>
              <w:tab w:val="right" w:leader="dot" w:pos="9628"/>
            </w:tabs>
            <w:rPr>
              <w:noProof/>
            </w:rPr>
          </w:pPr>
          <w:hyperlink w:anchor="_Toc239760093" w:history="1">
            <w:r w:rsidRPr="005750EF">
              <w:rPr>
                <w:rStyle w:val="Hyperlink"/>
                <w:b/>
                <w:bCs/>
                <w:noProof/>
              </w:rPr>
              <w:t>14.1  What it is</w:t>
            </w:r>
            <w:r>
              <w:rPr>
                <w:noProof/>
              </w:rPr>
              <w:tab/>
            </w:r>
            <w:r>
              <w:rPr>
                <w:noProof/>
              </w:rPr>
              <w:fldChar w:fldCharType="begin"/>
            </w:r>
            <w:r>
              <w:rPr>
                <w:noProof/>
              </w:rPr>
              <w:instrText xml:space="preserve"> PAGEREF _Toc239760093 \h </w:instrText>
            </w:r>
            <w:r>
              <w:rPr>
                <w:noProof/>
              </w:rPr>
            </w:r>
            <w:r>
              <w:rPr>
                <w:noProof/>
              </w:rPr>
              <w:fldChar w:fldCharType="separate"/>
            </w:r>
            <w:r>
              <w:rPr>
                <w:noProof/>
              </w:rPr>
              <w:t>20</w:t>
            </w:r>
            <w:r>
              <w:rPr>
                <w:noProof/>
              </w:rPr>
              <w:fldChar w:fldCharType="end"/>
            </w:r>
          </w:hyperlink>
        </w:p>
        <w:p w14:paraId="65320224" w14:textId="77777777" w:rsidR="00147B2F" w:rsidRDefault="00147B2F">
          <w:pPr>
            <w:pStyle w:val="TOC2"/>
            <w:tabs>
              <w:tab w:val="right" w:leader="dot" w:pos="9628"/>
            </w:tabs>
            <w:rPr>
              <w:noProof/>
            </w:rPr>
          </w:pPr>
          <w:hyperlink w:anchor="_Toc239760094" w:history="1">
            <w:r w:rsidRPr="005750EF">
              <w:rPr>
                <w:rStyle w:val="Hyperlink"/>
                <w:b/>
                <w:bCs/>
                <w:noProof/>
              </w:rPr>
              <w:t>14.2  The one hard rule: derived, never curated (D9)</w:t>
            </w:r>
            <w:r>
              <w:rPr>
                <w:noProof/>
              </w:rPr>
              <w:tab/>
            </w:r>
            <w:r>
              <w:rPr>
                <w:noProof/>
              </w:rPr>
              <w:fldChar w:fldCharType="begin"/>
            </w:r>
            <w:r>
              <w:rPr>
                <w:noProof/>
              </w:rPr>
              <w:instrText xml:space="preserve"> PAGEREF _Toc239760094 \h </w:instrText>
            </w:r>
            <w:r>
              <w:rPr>
                <w:noProof/>
              </w:rPr>
            </w:r>
            <w:r>
              <w:rPr>
                <w:noProof/>
              </w:rPr>
              <w:fldChar w:fldCharType="separate"/>
            </w:r>
            <w:r>
              <w:rPr>
                <w:noProof/>
              </w:rPr>
              <w:t>20</w:t>
            </w:r>
            <w:r>
              <w:rPr>
                <w:noProof/>
              </w:rPr>
              <w:fldChar w:fldCharType="end"/>
            </w:r>
          </w:hyperlink>
        </w:p>
        <w:p w14:paraId="4A890B46" w14:textId="77777777" w:rsidR="00147B2F" w:rsidRDefault="00147B2F">
          <w:pPr>
            <w:pStyle w:val="TOC2"/>
            <w:tabs>
              <w:tab w:val="right" w:leader="dot" w:pos="9628"/>
            </w:tabs>
            <w:rPr>
              <w:noProof/>
            </w:rPr>
          </w:pPr>
          <w:hyperlink w:anchor="_Toc239760095" w:history="1">
            <w:r w:rsidRPr="005750EF">
              <w:rPr>
                <w:rStyle w:val="Hyperlink"/>
                <w:b/>
                <w:bCs/>
                <w:noProof/>
              </w:rPr>
              <w:t>14.3  How agents use it</w:t>
            </w:r>
            <w:r>
              <w:rPr>
                <w:noProof/>
              </w:rPr>
              <w:tab/>
            </w:r>
            <w:r>
              <w:rPr>
                <w:noProof/>
              </w:rPr>
              <w:fldChar w:fldCharType="begin"/>
            </w:r>
            <w:r>
              <w:rPr>
                <w:noProof/>
              </w:rPr>
              <w:instrText xml:space="preserve"> PAGEREF _Toc239760095 \h </w:instrText>
            </w:r>
            <w:r>
              <w:rPr>
                <w:noProof/>
              </w:rPr>
            </w:r>
            <w:r>
              <w:rPr>
                <w:noProof/>
              </w:rPr>
              <w:fldChar w:fldCharType="separate"/>
            </w:r>
            <w:r>
              <w:rPr>
                <w:noProof/>
              </w:rPr>
              <w:t>20</w:t>
            </w:r>
            <w:r>
              <w:rPr>
                <w:noProof/>
              </w:rPr>
              <w:fldChar w:fldCharType="end"/>
            </w:r>
          </w:hyperlink>
        </w:p>
        <w:p w14:paraId="0682615D" w14:textId="77777777" w:rsidR="00147B2F" w:rsidRDefault="00147B2F">
          <w:pPr>
            <w:pStyle w:val="TOC2"/>
            <w:tabs>
              <w:tab w:val="right" w:leader="dot" w:pos="9628"/>
            </w:tabs>
            <w:rPr>
              <w:noProof/>
            </w:rPr>
          </w:pPr>
          <w:hyperlink w:anchor="_Toc239760096" w:history="1">
            <w:r w:rsidRPr="005750EF">
              <w:rPr>
                <w:rStyle w:val="Hyperlink"/>
                <w:b/>
                <w:bCs/>
                <w:noProof/>
              </w:rPr>
              <w:t>14.4  Boundaries</w:t>
            </w:r>
            <w:r>
              <w:rPr>
                <w:noProof/>
              </w:rPr>
              <w:tab/>
            </w:r>
            <w:r>
              <w:rPr>
                <w:noProof/>
              </w:rPr>
              <w:fldChar w:fldCharType="begin"/>
            </w:r>
            <w:r>
              <w:rPr>
                <w:noProof/>
              </w:rPr>
              <w:instrText xml:space="preserve"> PAGEREF _Toc239760096 \h </w:instrText>
            </w:r>
            <w:r>
              <w:rPr>
                <w:noProof/>
              </w:rPr>
            </w:r>
            <w:r>
              <w:rPr>
                <w:noProof/>
              </w:rPr>
              <w:fldChar w:fldCharType="separate"/>
            </w:r>
            <w:r>
              <w:rPr>
                <w:noProof/>
              </w:rPr>
              <w:t>20</w:t>
            </w:r>
            <w:r>
              <w:rPr>
                <w:noProof/>
              </w:rPr>
              <w:fldChar w:fldCharType="end"/>
            </w:r>
          </w:hyperlink>
        </w:p>
        <w:p w14:paraId="52DDD399" w14:textId="77777777" w:rsidR="00147B2F" w:rsidRDefault="00147B2F">
          <w:pPr>
            <w:pStyle w:val="TOC1"/>
            <w:tabs>
              <w:tab w:val="right" w:leader="dot" w:pos="9628"/>
            </w:tabs>
            <w:rPr>
              <w:noProof/>
            </w:rPr>
          </w:pPr>
          <w:hyperlink w:anchor="_Toc239760097" w:history="1">
            <w:r w:rsidRPr="005750EF">
              <w:rPr>
                <w:rStyle w:val="Hyperlink"/>
                <w:b/>
                <w:bCs/>
                <w:noProof/>
              </w:rPr>
              <w:t>15  Data Flow Catalogue</w:t>
            </w:r>
            <w:r>
              <w:rPr>
                <w:noProof/>
              </w:rPr>
              <w:tab/>
            </w:r>
            <w:r>
              <w:rPr>
                <w:noProof/>
              </w:rPr>
              <w:fldChar w:fldCharType="begin"/>
            </w:r>
            <w:r>
              <w:rPr>
                <w:noProof/>
              </w:rPr>
              <w:instrText xml:space="preserve"> PAGEREF _Toc239760097 \h </w:instrText>
            </w:r>
            <w:r>
              <w:rPr>
                <w:noProof/>
              </w:rPr>
            </w:r>
            <w:r>
              <w:rPr>
                <w:noProof/>
              </w:rPr>
              <w:fldChar w:fldCharType="separate"/>
            </w:r>
            <w:r>
              <w:rPr>
                <w:noProof/>
              </w:rPr>
              <w:t>21</w:t>
            </w:r>
            <w:r>
              <w:rPr>
                <w:noProof/>
              </w:rPr>
              <w:fldChar w:fldCharType="end"/>
            </w:r>
          </w:hyperlink>
        </w:p>
        <w:p w14:paraId="230B71DF" w14:textId="77777777" w:rsidR="00147B2F" w:rsidRDefault="00147B2F">
          <w:pPr>
            <w:pStyle w:val="TOC1"/>
            <w:tabs>
              <w:tab w:val="right" w:leader="dot" w:pos="9628"/>
            </w:tabs>
            <w:rPr>
              <w:noProof/>
            </w:rPr>
          </w:pPr>
          <w:hyperlink w:anchor="_Toc239760098" w:history="1">
            <w:r w:rsidRPr="005750EF">
              <w:rPr>
                <w:rStyle w:val="Hyperlink"/>
                <w:b/>
                <w:bCs/>
                <w:noProof/>
              </w:rPr>
              <w:t>16  Security Architecture</w:t>
            </w:r>
            <w:r>
              <w:rPr>
                <w:noProof/>
              </w:rPr>
              <w:tab/>
            </w:r>
            <w:r>
              <w:rPr>
                <w:noProof/>
              </w:rPr>
              <w:fldChar w:fldCharType="begin"/>
            </w:r>
            <w:r>
              <w:rPr>
                <w:noProof/>
              </w:rPr>
              <w:instrText xml:space="preserve"> PAGEREF _Toc239760098 \h </w:instrText>
            </w:r>
            <w:r>
              <w:rPr>
                <w:noProof/>
              </w:rPr>
            </w:r>
            <w:r>
              <w:rPr>
                <w:noProof/>
              </w:rPr>
              <w:fldChar w:fldCharType="separate"/>
            </w:r>
            <w:r>
              <w:rPr>
                <w:noProof/>
              </w:rPr>
              <w:t>21</w:t>
            </w:r>
            <w:r>
              <w:rPr>
                <w:noProof/>
              </w:rPr>
              <w:fldChar w:fldCharType="end"/>
            </w:r>
          </w:hyperlink>
        </w:p>
        <w:p w14:paraId="091C30F6" w14:textId="77777777" w:rsidR="00147B2F" w:rsidRDefault="00147B2F">
          <w:pPr>
            <w:pStyle w:val="TOC2"/>
            <w:tabs>
              <w:tab w:val="right" w:leader="dot" w:pos="9628"/>
            </w:tabs>
            <w:rPr>
              <w:noProof/>
            </w:rPr>
          </w:pPr>
          <w:hyperlink w:anchor="_Toc239760099" w:history="1">
            <w:r w:rsidRPr="005750EF">
              <w:rPr>
                <w:rStyle w:val="Hyperlink"/>
                <w:b/>
                <w:bCs/>
                <w:noProof/>
              </w:rPr>
              <w:t>16.1  Identity</w:t>
            </w:r>
            <w:r>
              <w:rPr>
                <w:noProof/>
              </w:rPr>
              <w:tab/>
            </w:r>
            <w:r>
              <w:rPr>
                <w:noProof/>
              </w:rPr>
              <w:fldChar w:fldCharType="begin"/>
            </w:r>
            <w:r>
              <w:rPr>
                <w:noProof/>
              </w:rPr>
              <w:instrText xml:space="preserve"> PAGEREF _Toc239760099 \h </w:instrText>
            </w:r>
            <w:r>
              <w:rPr>
                <w:noProof/>
              </w:rPr>
            </w:r>
            <w:r>
              <w:rPr>
                <w:noProof/>
              </w:rPr>
              <w:fldChar w:fldCharType="separate"/>
            </w:r>
            <w:r>
              <w:rPr>
                <w:noProof/>
              </w:rPr>
              <w:t>21</w:t>
            </w:r>
            <w:r>
              <w:rPr>
                <w:noProof/>
              </w:rPr>
              <w:fldChar w:fldCharType="end"/>
            </w:r>
          </w:hyperlink>
        </w:p>
        <w:p w14:paraId="198F02A5" w14:textId="77777777" w:rsidR="00147B2F" w:rsidRDefault="00147B2F">
          <w:pPr>
            <w:pStyle w:val="TOC2"/>
            <w:tabs>
              <w:tab w:val="right" w:leader="dot" w:pos="9628"/>
            </w:tabs>
            <w:rPr>
              <w:noProof/>
            </w:rPr>
          </w:pPr>
          <w:hyperlink w:anchor="_Toc239760100" w:history="1">
            <w:r w:rsidRPr="005750EF">
              <w:rPr>
                <w:rStyle w:val="Hyperlink"/>
                <w:b/>
                <w:bCs/>
                <w:noProof/>
              </w:rPr>
              <w:t>16.2  Data protection and partitioning</w:t>
            </w:r>
            <w:r>
              <w:rPr>
                <w:noProof/>
              </w:rPr>
              <w:tab/>
            </w:r>
            <w:r>
              <w:rPr>
                <w:noProof/>
              </w:rPr>
              <w:fldChar w:fldCharType="begin"/>
            </w:r>
            <w:r>
              <w:rPr>
                <w:noProof/>
              </w:rPr>
              <w:instrText xml:space="preserve"> PAGEREF _Toc239760100 \h </w:instrText>
            </w:r>
            <w:r>
              <w:rPr>
                <w:noProof/>
              </w:rPr>
            </w:r>
            <w:r>
              <w:rPr>
                <w:noProof/>
              </w:rPr>
              <w:fldChar w:fldCharType="separate"/>
            </w:r>
            <w:r>
              <w:rPr>
                <w:noProof/>
              </w:rPr>
              <w:t>22</w:t>
            </w:r>
            <w:r>
              <w:rPr>
                <w:noProof/>
              </w:rPr>
              <w:fldChar w:fldCharType="end"/>
            </w:r>
          </w:hyperlink>
        </w:p>
        <w:p w14:paraId="1E652D0A" w14:textId="77777777" w:rsidR="00147B2F" w:rsidRDefault="00147B2F">
          <w:pPr>
            <w:pStyle w:val="TOC2"/>
            <w:tabs>
              <w:tab w:val="right" w:leader="dot" w:pos="9628"/>
            </w:tabs>
            <w:rPr>
              <w:noProof/>
            </w:rPr>
          </w:pPr>
          <w:hyperlink w:anchor="_Toc239760101" w:history="1">
            <w:r w:rsidRPr="005750EF">
              <w:rPr>
                <w:rStyle w:val="Hyperlink"/>
                <w:b/>
                <w:bCs/>
                <w:noProof/>
              </w:rPr>
              <w:t>16.3  Delivery-time guardrails (binding, from the driving brief)</w:t>
            </w:r>
            <w:r>
              <w:rPr>
                <w:noProof/>
              </w:rPr>
              <w:tab/>
            </w:r>
            <w:r>
              <w:rPr>
                <w:noProof/>
              </w:rPr>
              <w:fldChar w:fldCharType="begin"/>
            </w:r>
            <w:r>
              <w:rPr>
                <w:noProof/>
              </w:rPr>
              <w:instrText xml:space="preserve"> PAGEREF _Toc239760101 \h </w:instrText>
            </w:r>
            <w:r>
              <w:rPr>
                <w:noProof/>
              </w:rPr>
            </w:r>
            <w:r>
              <w:rPr>
                <w:noProof/>
              </w:rPr>
              <w:fldChar w:fldCharType="separate"/>
            </w:r>
            <w:r>
              <w:rPr>
                <w:noProof/>
              </w:rPr>
              <w:t>22</w:t>
            </w:r>
            <w:r>
              <w:rPr>
                <w:noProof/>
              </w:rPr>
              <w:fldChar w:fldCharType="end"/>
            </w:r>
          </w:hyperlink>
        </w:p>
        <w:p w14:paraId="2A7D9BD8" w14:textId="77777777" w:rsidR="00147B2F" w:rsidRDefault="00147B2F">
          <w:pPr>
            <w:pStyle w:val="TOC1"/>
            <w:tabs>
              <w:tab w:val="right" w:leader="dot" w:pos="9628"/>
            </w:tabs>
            <w:rPr>
              <w:noProof/>
            </w:rPr>
          </w:pPr>
          <w:hyperlink w:anchor="_Toc239760102" w:history="1">
            <w:r w:rsidRPr="005750EF">
              <w:rPr>
                <w:rStyle w:val="Hyperlink"/>
                <w:b/>
                <w:bCs/>
                <w:noProof/>
              </w:rPr>
              <w:t>17  Built for Agents: the Local Loop and the Oracles</w:t>
            </w:r>
            <w:r>
              <w:rPr>
                <w:noProof/>
              </w:rPr>
              <w:tab/>
            </w:r>
            <w:r>
              <w:rPr>
                <w:noProof/>
              </w:rPr>
              <w:fldChar w:fldCharType="begin"/>
            </w:r>
            <w:r>
              <w:rPr>
                <w:noProof/>
              </w:rPr>
              <w:instrText xml:space="preserve"> PAGEREF _Toc239760102 \h </w:instrText>
            </w:r>
            <w:r>
              <w:rPr>
                <w:noProof/>
              </w:rPr>
            </w:r>
            <w:r>
              <w:rPr>
                <w:noProof/>
              </w:rPr>
              <w:fldChar w:fldCharType="separate"/>
            </w:r>
            <w:r>
              <w:rPr>
                <w:noProof/>
              </w:rPr>
              <w:t>22</w:t>
            </w:r>
            <w:r>
              <w:rPr>
                <w:noProof/>
              </w:rPr>
              <w:fldChar w:fldCharType="end"/>
            </w:r>
          </w:hyperlink>
        </w:p>
        <w:p w14:paraId="2FD084B0" w14:textId="77777777" w:rsidR="00147B2F" w:rsidRDefault="00147B2F">
          <w:pPr>
            <w:pStyle w:val="TOC2"/>
            <w:tabs>
              <w:tab w:val="right" w:leader="dot" w:pos="9628"/>
            </w:tabs>
            <w:rPr>
              <w:noProof/>
            </w:rPr>
          </w:pPr>
          <w:hyperlink w:anchor="_Toc239760103" w:history="1">
            <w:r w:rsidRPr="005750EF">
              <w:rPr>
                <w:rStyle w:val="Hyperlink"/>
                <w:b/>
                <w:bCs/>
                <w:noProof/>
              </w:rPr>
              <w:t>17.1  The compose stack</w:t>
            </w:r>
            <w:r>
              <w:rPr>
                <w:noProof/>
              </w:rPr>
              <w:tab/>
            </w:r>
            <w:r>
              <w:rPr>
                <w:noProof/>
              </w:rPr>
              <w:fldChar w:fldCharType="begin"/>
            </w:r>
            <w:r>
              <w:rPr>
                <w:noProof/>
              </w:rPr>
              <w:instrText xml:space="preserve"> PAGEREF _Toc239760103 \h </w:instrText>
            </w:r>
            <w:r>
              <w:rPr>
                <w:noProof/>
              </w:rPr>
            </w:r>
            <w:r>
              <w:rPr>
                <w:noProof/>
              </w:rPr>
              <w:fldChar w:fldCharType="separate"/>
            </w:r>
            <w:r>
              <w:rPr>
                <w:noProof/>
              </w:rPr>
              <w:t>22</w:t>
            </w:r>
            <w:r>
              <w:rPr>
                <w:noProof/>
              </w:rPr>
              <w:fldChar w:fldCharType="end"/>
            </w:r>
          </w:hyperlink>
        </w:p>
        <w:p w14:paraId="6D7F17E5" w14:textId="77777777" w:rsidR="00147B2F" w:rsidRDefault="00147B2F">
          <w:pPr>
            <w:pStyle w:val="TOC2"/>
            <w:tabs>
              <w:tab w:val="right" w:leader="dot" w:pos="9628"/>
            </w:tabs>
            <w:rPr>
              <w:noProof/>
            </w:rPr>
          </w:pPr>
          <w:hyperlink w:anchor="_Toc239760104" w:history="1">
            <w:r w:rsidRPr="005750EF">
              <w:rPr>
                <w:rStyle w:val="Hyperlink"/>
                <w:b/>
                <w:bCs/>
                <w:noProof/>
              </w:rPr>
              <w:t>17.2  The oracle suite</w:t>
            </w:r>
            <w:r>
              <w:rPr>
                <w:noProof/>
              </w:rPr>
              <w:tab/>
            </w:r>
            <w:r>
              <w:rPr>
                <w:noProof/>
              </w:rPr>
              <w:fldChar w:fldCharType="begin"/>
            </w:r>
            <w:r>
              <w:rPr>
                <w:noProof/>
              </w:rPr>
              <w:instrText xml:space="preserve"> PAGEREF _Toc239760104 \h </w:instrText>
            </w:r>
            <w:r>
              <w:rPr>
                <w:noProof/>
              </w:rPr>
            </w:r>
            <w:r>
              <w:rPr>
                <w:noProof/>
              </w:rPr>
              <w:fldChar w:fldCharType="separate"/>
            </w:r>
            <w:r>
              <w:rPr>
                <w:noProof/>
              </w:rPr>
              <w:t>22</w:t>
            </w:r>
            <w:r>
              <w:rPr>
                <w:noProof/>
              </w:rPr>
              <w:fldChar w:fldCharType="end"/>
            </w:r>
          </w:hyperlink>
        </w:p>
        <w:p w14:paraId="3FC4A2BA" w14:textId="77777777" w:rsidR="00147B2F" w:rsidRDefault="00147B2F">
          <w:pPr>
            <w:pStyle w:val="TOC1"/>
            <w:tabs>
              <w:tab w:val="right" w:leader="dot" w:pos="9628"/>
            </w:tabs>
            <w:rPr>
              <w:noProof/>
            </w:rPr>
          </w:pPr>
          <w:hyperlink w:anchor="_Toc239760105" w:history="1">
            <w:r w:rsidRPr="005750EF">
              <w:rPr>
                <w:rStyle w:val="Hyperlink"/>
                <w:b/>
                <w:bCs/>
                <w:noProof/>
              </w:rPr>
              <w:t>18  Git Design and Repository Provisioning</w:t>
            </w:r>
            <w:r>
              <w:rPr>
                <w:noProof/>
              </w:rPr>
              <w:tab/>
            </w:r>
            <w:r>
              <w:rPr>
                <w:noProof/>
              </w:rPr>
              <w:fldChar w:fldCharType="begin"/>
            </w:r>
            <w:r>
              <w:rPr>
                <w:noProof/>
              </w:rPr>
              <w:instrText xml:space="preserve"> PAGEREF _Toc239760105 \h </w:instrText>
            </w:r>
            <w:r>
              <w:rPr>
                <w:noProof/>
              </w:rPr>
            </w:r>
            <w:r>
              <w:rPr>
                <w:noProof/>
              </w:rPr>
              <w:fldChar w:fldCharType="separate"/>
            </w:r>
            <w:r>
              <w:rPr>
                <w:noProof/>
              </w:rPr>
              <w:t>23</w:t>
            </w:r>
            <w:r>
              <w:rPr>
                <w:noProof/>
              </w:rPr>
              <w:fldChar w:fldCharType="end"/>
            </w:r>
          </w:hyperlink>
        </w:p>
        <w:p w14:paraId="75A3A131" w14:textId="77777777" w:rsidR="00147B2F" w:rsidRDefault="00147B2F">
          <w:pPr>
            <w:pStyle w:val="TOC2"/>
            <w:tabs>
              <w:tab w:val="right" w:leader="dot" w:pos="9628"/>
            </w:tabs>
            <w:rPr>
              <w:noProof/>
            </w:rPr>
          </w:pPr>
          <w:hyperlink w:anchor="_Toc239760106" w:history="1">
            <w:r w:rsidRPr="005750EF">
              <w:rPr>
                <w:rStyle w:val="Hyperlink"/>
                <w:b/>
                <w:bCs/>
                <w:noProof/>
              </w:rPr>
              <w:t>18.1  Repositories</w:t>
            </w:r>
            <w:r>
              <w:rPr>
                <w:noProof/>
              </w:rPr>
              <w:tab/>
            </w:r>
            <w:r>
              <w:rPr>
                <w:noProof/>
              </w:rPr>
              <w:fldChar w:fldCharType="begin"/>
            </w:r>
            <w:r>
              <w:rPr>
                <w:noProof/>
              </w:rPr>
              <w:instrText xml:space="preserve"> PAGEREF _Toc239760106 \h </w:instrText>
            </w:r>
            <w:r>
              <w:rPr>
                <w:noProof/>
              </w:rPr>
            </w:r>
            <w:r>
              <w:rPr>
                <w:noProof/>
              </w:rPr>
              <w:fldChar w:fldCharType="separate"/>
            </w:r>
            <w:r>
              <w:rPr>
                <w:noProof/>
              </w:rPr>
              <w:t>23</w:t>
            </w:r>
            <w:r>
              <w:rPr>
                <w:noProof/>
              </w:rPr>
              <w:fldChar w:fldCharType="end"/>
            </w:r>
          </w:hyperlink>
        </w:p>
        <w:p w14:paraId="216BDD06" w14:textId="77777777" w:rsidR="00147B2F" w:rsidRDefault="00147B2F">
          <w:pPr>
            <w:pStyle w:val="TOC2"/>
            <w:tabs>
              <w:tab w:val="right" w:leader="dot" w:pos="9628"/>
            </w:tabs>
            <w:rPr>
              <w:noProof/>
            </w:rPr>
          </w:pPr>
          <w:hyperlink w:anchor="_Toc239760107" w:history="1">
            <w:r w:rsidRPr="005750EF">
              <w:rPr>
                <w:rStyle w:val="Hyperlink"/>
                <w:b/>
                <w:bCs/>
                <w:noProof/>
              </w:rPr>
              <w:t>18.2  Policy</w:t>
            </w:r>
            <w:r>
              <w:rPr>
                <w:noProof/>
              </w:rPr>
              <w:tab/>
            </w:r>
            <w:r>
              <w:rPr>
                <w:noProof/>
              </w:rPr>
              <w:fldChar w:fldCharType="begin"/>
            </w:r>
            <w:r>
              <w:rPr>
                <w:noProof/>
              </w:rPr>
              <w:instrText xml:space="preserve"> PAGEREF _Toc239760107 \h </w:instrText>
            </w:r>
            <w:r>
              <w:rPr>
                <w:noProof/>
              </w:rPr>
            </w:r>
            <w:r>
              <w:rPr>
                <w:noProof/>
              </w:rPr>
              <w:fldChar w:fldCharType="separate"/>
            </w:r>
            <w:r>
              <w:rPr>
                <w:noProof/>
              </w:rPr>
              <w:t>23</w:t>
            </w:r>
            <w:r>
              <w:rPr>
                <w:noProof/>
              </w:rPr>
              <w:fldChar w:fldCharType="end"/>
            </w:r>
          </w:hyperlink>
        </w:p>
        <w:p w14:paraId="420AEB59" w14:textId="77777777" w:rsidR="00147B2F" w:rsidRDefault="00147B2F">
          <w:pPr>
            <w:pStyle w:val="TOC2"/>
            <w:tabs>
              <w:tab w:val="right" w:leader="dot" w:pos="9628"/>
            </w:tabs>
            <w:rPr>
              <w:noProof/>
            </w:rPr>
          </w:pPr>
          <w:hyperlink w:anchor="_Toc239760108" w:history="1">
            <w:r w:rsidRPr="005750EF">
              <w:rPr>
                <w:rStyle w:val="Hyperlink"/>
                <w:b/>
                <w:bCs/>
                <w:noProof/>
              </w:rPr>
              <w:t>18.3  The seed pack</w:t>
            </w:r>
            <w:r>
              <w:rPr>
                <w:noProof/>
              </w:rPr>
              <w:tab/>
            </w:r>
            <w:r>
              <w:rPr>
                <w:noProof/>
              </w:rPr>
              <w:fldChar w:fldCharType="begin"/>
            </w:r>
            <w:r>
              <w:rPr>
                <w:noProof/>
              </w:rPr>
              <w:instrText xml:space="preserve"> PAGEREF _Toc239760108 \h </w:instrText>
            </w:r>
            <w:r>
              <w:rPr>
                <w:noProof/>
              </w:rPr>
            </w:r>
            <w:r>
              <w:rPr>
                <w:noProof/>
              </w:rPr>
              <w:fldChar w:fldCharType="separate"/>
            </w:r>
            <w:r>
              <w:rPr>
                <w:noProof/>
              </w:rPr>
              <w:t>24</w:t>
            </w:r>
            <w:r>
              <w:rPr>
                <w:noProof/>
              </w:rPr>
              <w:fldChar w:fldCharType="end"/>
            </w:r>
          </w:hyperlink>
        </w:p>
        <w:p w14:paraId="37F389B4" w14:textId="77777777" w:rsidR="00147B2F" w:rsidRDefault="00147B2F">
          <w:pPr>
            <w:pStyle w:val="TOC1"/>
            <w:tabs>
              <w:tab w:val="right" w:leader="dot" w:pos="9628"/>
            </w:tabs>
            <w:rPr>
              <w:noProof/>
            </w:rPr>
          </w:pPr>
          <w:hyperlink w:anchor="_Toc239760109" w:history="1">
            <w:r w:rsidRPr="005750EF">
              <w:rPr>
                <w:rStyle w:val="Hyperlink"/>
                <w:b/>
                <w:bCs/>
                <w:noProof/>
              </w:rPr>
              <w:t>19  Deployment, Environments and Operations</w:t>
            </w:r>
            <w:r>
              <w:rPr>
                <w:noProof/>
              </w:rPr>
              <w:tab/>
            </w:r>
            <w:r>
              <w:rPr>
                <w:noProof/>
              </w:rPr>
              <w:fldChar w:fldCharType="begin"/>
            </w:r>
            <w:r>
              <w:rPr>
                <w:noProof/>
              </w:rPr>
              <w:instrText xml:space="preserve"> PAGEREF _Toc239760109 \h </w:instrText>
            </w:r>
            <w:r>
              <w:rPr>
                <w:noProof/>
              </w:rPr>
            </w:r>
            <w:r>
              <w:rPr>
                <w:noProof/>
              </w:rPr>
              <w:fldChar w:fldCharType="separate"/>
            </w:r>
            <w:r>
              <w:rPr>
                <w:noProof/>
              </w:rPr>
              <w:t>24</w:t>
            </w:r>
            <w:r>
              <w:rPr>
                <w:noProof/>
              </w:rPr>
              <w:fldChar w:fldCharType="end"/>
            </w:r>
          </w:hyperlink>
        </w:p>
        <w:p w14:paraId="14F6861A" w14:textId="77777777" w:rsidR="00147B2F" w:rsidRDefault="00147B2F">
          <w:pPr>
            <w:pStyle w:val="TOC2"/>
            <w:tabs>
              <w:tab w:val="right" w:leader="dot" w:pos="9628"/>
            </w:tabs>
            <w:rPr>
              <w:noProof/>
            </w:rPr>
          </w:pPr>
          <w:hyperlink w:anchor="_Toc239760110" w:history="1">
            <w:r w:rsidRPr="005750EF">
              <w:rPr>
                <w:rStyle w:val="Hyperlink"/>
                <w:b/>
                <w:bCs/>
                <w:noProof/>
              </w:rPr>
              <w:t>19.1  Environments</w:t>
            </w:r>
            <w:r>
              <w:rPr>
                <w:noProof/>
              </w:rPr>
              <w:tab/>
            </w:r>
            <w:r>
              <w:rPr>
                <w:noProof/>
              </w:rPr>
              <w:fldChar w:fldCharType="begin"/>
            </w:r>
            <w:r>
              <w:rPr>
                <w:noProof/>
              </w:rPr>
              <w:instrText xml:space="preserve"> PAGEREF _Toc239760110 \h </w:instrText>
            </w:r>
            <w:r>
              <w:rPr>
                <w:noProof/>
              </w:rPr>
            </w:r>
            <w:r>
              <w:rPr>
                <w:noProof/>
              </w:rPr>
              <w:fldChar w:fldCharType="separate"/>
            </w:r>
            <w:r>
              <w:rPr>
                <w:noProof/>
              </w:rPr>
              <w:t>25</w:t>
            </w:r>
            <w:r>
              <w:rPr>
                <w:noProof/>
              </w:rPr>
              <w:fldChar w:fldCharType="end"/>
            </w:r>
          </w:hyperlink>
        </w:p>
        <w:p w14:paraId="50834067" w14:textId="77777777" w:rsidR="00147B2F" w:rsidRDefault="00147B2F">
          <w:pPr>
            <w:pStyle w:val="TOC2"/>
            <w:tabs>
              <w:tab w:val="right" w:leader="dot" w:pos="9628"/>
            </w:tabs>
            <w:rPr>
              <w:noProof/>
            </w:rPr>
          </w:pPr>
          <w:hyperlink w:anchor="_Toc239760111" w:history="1">
            <w:r w:rsidRPr="005750EF">
              <w:rPr>
                <w:rStyle w:val="Hyperlink"/>
                <w:b/>
                <w:bCs/>
                <w:noProof/>
              </w:rPr>
              <w:t>19.2  Release train</w:t>
            </w:r>
            <w:r>
              <w:rPr>
                <w:noProof/>
              </w:rPr>
              <w:tab/>
            </w:r>
            <w:r>
              <w:rPr>
                <w:noProof/>
              </w:rPr>
              <w:fldChar w:fldCharType="begin"/>
            </w:r>
            <w:r>
              <w:rPr>
                <w:noProof/>
              </w:rPr>
              <w:instrText xml:space="preserve"> PAGEREF _Toc239760111 \h </w:instrText>
            </w:r>
            <w:r>
              <w:rPr>
                <w:noProof/>
              </w:rPr>
            </w:r>
            <w:r>
              <w:rPr>
                <w:noProof/>
              </w:rPr>
              <w:fldChar w:fldCharType="separate"/>
            </w:r>
            <w:r>
              <w:rPr>
                <w:noProof/>
              </w:rPr>
              <w:t>25</w:t>
            </w:r>
            <w:r>
              <w:rPr>
                <w:noProof/>
              </w:rPr>
              <w:fldChar w:fldCharType="end"/>
            </w:r>
          </w:hyperlink>
        </w:p>
        <w:p w14:paraId="564A88A8" w14:textId="77777777" w:rsidR="00147B2F" w:rsidRDefault="00147B2F">
          <w:pPr>
            <w:pStyle w:val="TOC2"/>
            <w:tabs>
              <w:tab w:val="right" w:leader="dot" w:pos="9628"/>
            </w:tabs>
            <w:rPr>
              <w:noProof/>
            </w:rPr>
          </w:pPr>
          <w:hyperlink w:anchor="_Toc239760112" w:history="1">
            <w:r w:rsidRPr="005750EF">
              <w:rPr>
                <w:rStyle w:val="Hyperlink"/>
                <w:b/>
                <w:bCs/>
                <w:noProof/>
              </w:rPr>
              <w:t>19.3  Operations and DR</w:t>
            </w:r>
            <w:r>
              <w:rPr>
                <w:noProof/>
              </w:rPr>
              <w:tab/>
            </w:r>
            <w:r>
              <w:rPr>
                <w:noProof/>
              </w:rPr>
              <w:fldChar w:fldCharType="begin"/>
            </w:r>
            <w:r>
              <w:rPr>
                <w:noProof/>
              </w:rPr>
              <w:instrText xml:space="preserve"> PAGEREF _Toc239760112 \h </w:instrText>
            </w:r>
            <w:r>
              <w:rPr>
                <w:noProof/>
              </w:rPr>
            </w:r>
            <w:r>
              <w:rPr>
                <w:noProof/>
              </w:rPr>
              <w:fldChar w:fldCharType="separate"/>
            </w:r>
            <w:r>
              <w:rPr>
                <w:noProof/>
              </w:rPr>
              <w:t>25</w:t>
            </w:r>
            <w:r>
              <w:rPr>
                <w:noProof/>
              </w:rPr>
              <w:fldChar w:fldCharType="end"/>
            </w:r>
          </w:hyperlink>
        </w:p>
        <w:p w14:paraId="04697BB0" w14:textId="77777777" w:rsidR="00147B2F" w:rsidRDefault="00147B2F">
          <w:pPr>
            <w:pStyle w:val="TOC1"/>
            <w:tabs>
              <w:tab w:val="right" w:leader="dot" w:pos="9628"/>
            </w:tabs>
            <w:rPr>
              <w:noProof/>
            </w:rPr>
          </w:pPr>
          <w:hyperlink w:anchor="_Toc239760113" w:history="1">
            <w:r w:rsidRPr="005750EF">
              <w:rPr>
                <w:rStyle w:val="Hyperlink"/>
                <w:b/>
                <w:bCs/>
                <w:noProof/>
              </w:rPr>
              <w:t>20  Non-Functional Requirements</w:t>
            </w:r>
            <w:r>
              <w:rPr>
                <w:noProof/>
              </w:rPr>
              <w:tab/>
            </w:r>
            <w:r>
              <w:rPr>
                <w:noProof/>
              </w:rPr>
              <w:fldChar w:fldCharType="begin"/>
            </w:r>
            <w:r>
              <w:rPr>
                <w:noProof/>
              </w:rPr>
              <w:instrText xml:space="preserve"> PAGEREF _Toc239760113 \h </w:instrText>
            </w:r>
            <w:r>
              <w:rPr>
                <w:noProof/>
              </w:rPr>
            </w:r>
            <w:r>
              <w:rPr>
                <w:noProof/>
              </w:rPr>
              <w:fldChar w:fldCharType="separate"/>
            </w:r>
            <w:r>
              <w:rPr>
                <w:noProof/>
              </w:rPr>
              <w:t>25</w:t>
            </w:r>
            <w:r>
              <w:rPr>
                <w:noProof/>
              </w:rPr>
              <w:fldChar w:fldCharType="end"/>
            </w:r>
          </w:hyperlink>
        </w:p>
        <w:p w14:paraId="5DBABC91" w14:textId="77777777" w:rsidR="00147B2F" w:rsidRDefault="00147B2F">
          <w:pPr>
            <w:pStyle w:val="TOC1"/>
            <w:tabs>
              <w:tab w:val="right" w:leader="dot" w:pos="9628"/>
            </w:tabs>
            <w:rPr>
              <w:noProof/>
            </w:rPr>
          </w:pPr>
          <w:hyperlink w:anchor="_Toc239760114" w:history="1">
            <w:r w:rsidRPr="005750EF">
              <w:rPr>
                <w:rStyle w:val="Hyperlink"/>
                <w:b/>
                <w:bCs/>
                <w:noProof/>
              </w:rPr>
              <w:t>21  Key Design Decisions</w:t>
            </w:r>
            <w:r>
              <w:rPr>
                <w:noProof/>
              </w:rPr>
              <w:tab/>
            </w:r>
            <w:r>
              <w:rPr>
                <w:noProof/>
              </w:rPr>
              <w:fldChar w:fldCharType="begin"/>
            </w:r>
            <w:r>
              <w:rPr>
                <w:noProof/>
              </w:rPr>
              <w:instrText xml:space="preserve"> PAGEREF _Toc239760114 \h </w:instrText>
            </w:r>
            <w:r>
              <w:rPr>
                <w:noProof/>
              </w:rPr>
            </w:r>
            <w:r>
              <w:rPr>
                <w:noProof/>
              </w:rPr>
              <w:fldChar w:fldCharType="separate"/>
            </w:r>
            <w:r>
              <w:rPr>
                <w:noProof/>
              </w:rPr>
              <w:t>26</w:t>
            </w:r>
            <w:r>
              <w:rPr>
                <w:noProof/>
              </w:rPr>
              <w:fldChar w:fldCharType="end"/>
            </w:r>
          </w:hyperlink>
        </w:p>
        <w:p w14:paraId="5FE0F844" w14:textId="77777777" w:rsidR="00147B2F" w:rsidRDefault="00147B2F">
          <w:pPr>
            <w:pStyle w:val="TOC1"/>
            <w:tabs>
              <w:tab w:val="right" w:leader="dot" w:pos="9628"/>
            </w:tabs>
            <w:rPr>
              <w:noProof/>
            </w:rPr>
          </w:pPr>
          <w:hyperlink w:anchor="_Toc239760115" w:history="1">
            <w:r w:rsidRPr="005750EF">
              <w:rPr>
                <w:rStyle w:val="Hyperlink"/>
                <w:b/>
                <w:bCs/>
                <w:noProof/>
              </w:rPr>
              <w:t>22  Assumptions, Dependencies and Risks</w:t>
            </w:r>
            <w:r>
              <w:rPr>
                <w:noProof/>
              </w:rPr>
              <w:tab/>
            </w:r>
            <w:r>
              <w:rPr>
                <w:noProof/>
              </w:rPr>
              <w:fldChar w:fldCharType="begin"/>
            </w:r>
            <w:r>
              <w:rPr>
                <w:noProof/>
              </w:rPr>
              <w:instrText xml:space="preserve"> PAGEREF _Toc239760115 \h </w:instrText>
            </w:r>
            <w:r>
              <w:rPr>
                <w:noProof/>
              </w:rPr>
            </w:r>
            <w:r>
              <w:rPr>
                <w:noProof/>
              </w:rPr>
              <w:fldChar w:fldCharType="separate"/>
            </w:r>
            <w:r>
              <w:rPr>
                <w:noProof/>
              </w:rPr>
              <w:t>28</w:t>
            </w:r>
            <w:r>
              <w:rPr>
                <w:noProof/>
              </w:rPr>
              <w:fldChar w:fldCharType="end"/>
            </w:r>
          </w:hyperlink>
        </w:p>
        <w:p w14:paraId="54A130A1" w14:textId="77777777" w:rsidR="00147B2F" w:rsidRDefault="00147B2F">
          <w:pPr>
            <w:pStyle w:val="TOC2"/>
            <w:tabs>
              <w:tab w:val="right" w:leader="dot" w:pos="9628"/>
            </w:tabs>
            <w:rPr>
              <w:noProof/>
            </w:rPr>
          </w:pPr>
          <w:hyperlink w:anchor="_Toc239760116" w:history="1">
            <w:r w:rsidRPr="005750EF">
              <w:rPr>
                <w:rStyle w:val="Hyperlink"/>
                <w:b/>
                <w:bCs/>
                <w:noProof/>
              </w:rPr>
              <w:t>22.1  Assumptions</w:t>
            </w:r>
            <w:r>
              <w:rPr>
                <w:noProof/>
              </w:rPr>
              <w:tab/>
            </w:r>
            <w:r>
              <w:rPr>
                <w:noProof/>
              </w:rPr>
              <w:fldChar w:fldCharType="begin"/>
            </w:r>
            <w:r>
              <w:rPr>
                <w:noProof/>
              </w:rPr>
              <w:instrText xml:space="preserve"> PAGEREF _Toc239760116 \h </w:instrText>
            </w:r>
            <w:r>
              <w:rPr>
                <w:noProof/>
              </w:rPr>
            </w:r>
            <w:r>
              <w:rPr>
                <w:noProof/>
              </w:rPr>
              <w:fldChar w:fldCharType="separate"/>
            </w:r>
            <w:r>
              <w:rPr>
                <w:noProof/>
              </w:rPr>
              <w:t>28</w:t>
            </w:r>
            <w:r>
              <w:rPr>
                <w:noProof/>
              </w:rPr>
              <w:fldChar w:fldCharType="end"/>
            </w:r>
          </w:hyperlink>
        </w:p>
        <w:p w14:paraId="46D367DB" w14:textId="77777777" w:rsidR="00147B2F" w:rsidRDefault="00147B2F">
          <w:pPr>
            <w:pStyle w:val="TOC2"/>
            <w:tabs>
              <w:tab w:val="right" w:leader="dot" w:pos="9628"/>
            </w:tabs>
            <w:rPr>
              <w:noProof/>
            </w:rPr>
          </w:pPr>
          <w:hyperlink w:anchor="_Toc239760117" w:history="1">
            <w:r w:rsidRPr="005750EF">
              <w:rPr>
                <w:rStyle w:val="Hyperlink"/>
                <w:b/>
                <w:bCs/>
                <w:noProof/>
              </w:rPr>
              <w:t>22.2  Dependencies</w:t>
            </w:r>
            <w:r>
              <w:rPr>
                <w:noProof/>
              </w:rPr>
              <w:tab/>
            </w:r>
            <w:r>
              <w:rPr>
                <w:noProof/>
              </w:rPr>
              <w:fldChar w:fldCharType="begin"/>
            </w:r>
            <w:r>
              <w:rPr>
                <w:noProof/>
              </w:rPr>
              <w:instrText xml:space="preserve"> PAGEREF _Toc239760117 \h </w:instrText>
            </w:r>
            <w:r>
              <w:rPr>
                <w:noProof/>
              </w:rPr>
            </w:r>
            <w:r>
              <w:rPr>
                <w:noProof/>
              </w:rPr>
              <w:fldChar w:fldCharType="separate"/>
            </w:r>
            <w:r>
              <w:rPr>
                <w:noProof/>
              </w:rPr>
              <w:t>28</w:t>
            </w:r>
            <w:r>
              <w:rPr>
                <w:noProof/>
              </w:rPr>
              <w:fldChar w:fldCharType="end"/>
            </w:r>
          </w:hyperlink>
        </w:p>
        <w:p w14:paraId="37440E75" w14:textId="77777777" w:rsidR="00147B2F" w:rsidRDefault="00147B2F">
          <w:pPr>
            <w:pStyle w:val="TOC2"/>
            <w:tabs>
              <w:tab w:val="right" w:leader="dot" w:pos="9628"/>
            </w:tabs>
            <w:rPr>
              <w:noProof/>
            </w:rPr>
          </w:pPr>
          <w:hyperlink w:anchor="_Toc239760118" w:history="1">
            <w:r w:rsidRPr="005750EF">
              <w:rPr>
                <w:rStyle w:val="Hyperlink"/>
                <w:b/>
                <w:bCs/>
                <w:noProof/>
              </w:rPr>
              <w:t>22.3  Risks</w:t>
            </w:r>
            <w:r>
              <w:rPr>
                <w:noProof/>
              </w:rPr>
              <w:tab/>
            </w:r>
            <w:r>
              <w:rPr>
                <w:noProof/>
              </w:rPr>
              <w:fldChar w:fldCharType="begin"/>
            </w:r>
            <w:r>
              <w:rPr>
                <w:noProof/>
              </w:rPr>
              <w:instrText xml:space="preserve"> PAGEREF _Toc239760118 \h </w:instrText>
            </w:r>
            <w:r>
              <w:rPr>
                <w:noProof/>
              </w:rPr>
            </w:r>
            <w:r>
              <w:rPr>
                <w:noProof/>
              </w:rPr>
              <w:fldChar w:fldCharType="separate"/>
            </w:r>
            <w:r>
              <w:rPr>
                <w:noProof/>
              </w:rPr>
              <w:t>28</w:t>
            </w:r>
            <w:r>
              <w:rPr>
                <w:noProof/>
              </w:rPr>
              <w:fldChar w:fldCharType="end"/>
            </w:r>
          </w:hyperlink>
        </w:p>
        <w:p w14:paraId="48EB666F" w14:textId="77777777" w:rsidR="00147B2F" w:rsidRDefault="00147B2F">
          <w:pPr>
            <w:pStyle w:val="TOC1"/>
            <w:tabs>
              <w:tab w:val="right" w:leader="dot" w:pos="9628"/>
            </w:tabs>
            <w:rPr>
              <w:noProof/>
            </w:rPr>
          </w:pPr>
          <w:hyperlink w:anchor="_Toc239760119" w:history="1">
            <w:r w:rsidRPr="005750EF">
              <w:rPr>
                <w:rStyle w:val="Hyperlink"/>
                <w:b/>
                <w:bCs/>
                <w:noProof/>
              </w:rPr>
              <w:t>23  Delivery Approach and Build Sequencing</w:t>
            </w:r>
            <w:r>
              <w:rPr>
                <w:noProof/>
              </w:rPr>
              <w:tab/>
            </w:r>
            <w:r>
              <w:rPr>
                <w:noProof/>
              </w:rPr>
              <w:fldChar w:fldCharType="begin"/>
            </w:r>
            <w:r>
              <w:rPr>
                <w:noProof/>
              </w:rPr>
              <w:instrText xml:space="preserve"> PAGEREF _Toc239760119 \h </w:instrText>
            </w:r>
            <w:r>
              <w:rPr>
                <w:noProof/>
              </w:rPr>
            </w:r>
            <w:r>
              <w:rPr>
                <w:noProof/>
              </w:rPr>
              <w:fldChar w:fldCharType="separate"/>
            </w:r>
            <w:r>
              <w:rPr>
                <w:noProof/>
              </w:rPr>
              <w:t>29</w:t>
            </w:r>
            <w:r>
              <w:rPr>
                <w:noProof/>
              </w:rPr>
              <w:fldChar w:fldCharType="end"/>
            </w:r>
          </w:hyperlink>
        </w:p>
        <w:p w14:paraId="09C5988E" w14:textId="77777777" w:rsidR="00147B2F" w:rsidRDefault="00147B2F">
          <w:pPr>
            <w:pStyle w:val="TOC1"/>
            <w:tabs>
              <w:tab w:val="right" w:leader="dot" w:pos="9628"/>
            </w:tabs>
            <w:rPr>
              <w:noProof/>
            </w:rPr>
          </w:pPr>
          <w:hyperlink w:anchor="_Toc239760120" w:history="1">
            <w:r w:rsidRPr="005750EF">
              <w:rPr>
                <w:rStyle w:val="Hyperlink"/>
                <w:b/>
                <w:bCs/>
                <w:noProof/>
              </w:rPr>
              <w:t>24  Open Items for Team Baseline</w:t>
            </w:r>
            <w:r>
              <w:rPr>
                <w:noProof/>
              </w:rPr>
              <w:tab/>
            </w:r>
            <w:r>
              <w:rPr>
                <w:noProof/>
              </w:rPr>
              <w:fldChar w:fldCharType="begin"/>
            </w:r>
            <w:r>
              <w:rPr>
                <w:noProof/>
              </w:rPr>
              <w:instrText xml:space="preserve"> PAGEREF _Toc239760120 \h </w:instrText>
            </w:r>
            <w:r>
              <w:rPr>
                <w:noProof/>
              </w:rPr>
            </w:r>
            <w:r>
              <w:rPr>
                <w:noProof/>
              </w:rPr>
              <w:fldChar w:fldCharType="separate"/>
            </w:r>
            <w:r>
              <w:rPr>
                <w:noProof/>
              </w:rPr>
              <w:t>30</w:t>
            </w:r>
            <w:r>
              <w:rPr>
                <w:noProof/>
              </w:rPr>
              <w:fldChar w:fldCharType="end"/>
            </w:r>
          </w:hyperlink>
        </w:p>
        <w:p w14:paraId="7C7A2619" w14:textId="77777777" w:rsidR="00147B2F" w:rsidRDefault="00147B2F">
          <w:pPr>
            <w:pStyle w:val="TOC1"/>
            <w:tabs>
              <w:tab w:val="right" w:leader="dot" w:pos="9628"/>
            </w:tabs>
            <w:rPr>
              <w:noProof/>
            </w:rPr>
          </w:pPr>
          <w:hyperlink w:anchor="_Toc239760121" w:history="1">
            <w:r w:rsidRPr="005750EF">
              <w:rPr>
                <w:rStyle w:val="Hyperlink"/>
                <w:b/>
                <w:bCs/>
                <w:noProof/>
              </w:rPr>
              <w:t>25  Glossary</w:t>
            </w:r>
            <w:r>
              <w:rPr>
                <w:noProof/>
              </w:rPr>
              <w:tab/>
            </w:r>
            <w:r>
              <w:rPr>
                <w:noProof/>
              </w:rPr>
              <w:fldChar w:fldCharType="begin"/>
            </w:r>
            <w:r>
              <w:rPr>
                <w:noProof/>
              </w:rPr>
              <w:instrText xml:space="preserve"> PAGEREF _Toc239760121 \h </w:instrText>
            </w:r>
            <w:r>
              <w:rPr>
                <w:noProof/>
              </w:rPr>
            </w:r>
            <w:r>
              <w:rPr>
                <w:noProof/>
              </w:rPr>
              <w:fldChar w:fldCharType="separate"/>
            </w:r>
            <w:r>
              <w:rPr>
                <w:noProof/>
              </w:rPr>
              <w:t>30</w:t>
            </w:r>
            <w:r>
              <w:rPr>
                <w:noProof/>
              </w:rPr>
              <w:fldChar w:fldCharType="end"/>
            </w:r>
          </w:hyperlink>
        </w:p>
        <w:p w14:paraId="751474DB" w14:textId="77777777" w:rsidR="00F87636" w:rsidRDefault="00000000">
          <w:r>
            <w:fldChar w:fldCharType="end"/>
          </w:r>
        </w:p>
      </w:sdtContent>
    </w:sdt>
    <w:p w14:paraId="2CD3E56E" w14:textId="77777777" w:rsidR="00F87636" w:rsidRDefault="00000000">
      <w:r>
        <w:br w:type="page"/>
      </w:r>
    </w:p>
    <w:p w14:paraId="581567C7" w14:textId="77777777" w:rsidR="00F87636" w:rsidRDefault="00000000">
      <w:pPr>
        <w:pStyle w:val="Heading1"/>
        <w:spacing w:before="360" w:after="200"/>
      </w:pPr>
      <w:bookmarkStart w:id="0" w:name="_Toc239760053"/>
      <w:r>
        <w:rPr>
          <w:b/>
          <w:bCs/>
          <w:color w:val="0F172A"/>
        </w:rPr>
        <w:lastRenderedPageBreak/>
        <w:t>1  Document Control</w:t>
      </w:r>
      <w:bookmarkEnd w:id="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0"/>
      </w:tblGrid>
      <w:tr w:rsidR="00F87636" w14:paraId="417651A9" w14:textId="77777777">
        <w:tblPrEx>
          <w:tblCellMar>
            <w:top w:w="0" w:type="dxa"/>
            <w:bottom w:w="0" w:type="dxa"/>
          </w:tblCellMar>
        </w:tblPrEx>
        <w:trPr>
          <w:cantSplit/>
          <w:tblHeader/>
        </w:trPr>
        <w:tc>
          <w:tcPr>
            <w:tcW w:w="26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83B2DAF" w14:textId="77777777" w:rsidR="00F87636" w:rsidRDefault="00000000">
            <w:pPr>
              <w:spacing w:after="20"/>
            </w:pPr>
            <w:r>
              <w:rPr>
                <w:b/>
                <w:bCs/>
                <w:color w:val="FFFFFF"/>
                <w:sz w:val="20"/>
                <w:szCs w:val="20"/>
              </w:rPr>
              <w:t>Field</w:t>
            </w:r>
          </w:p>
        </w:tc>
        <w:tc>
          <w:tcPr>
            <w:tcW w:w="67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21547E19" w14:textId="77777777" w:rsidR="00F87636" w:rsidRDefault="00000000">
            <w:pPr>
              <w:spacing w:after="20"/>
            </w:pPr>
            <w:r>
              <w:rPr>
                <w:b/>
                <w:bCs/>
                <w:color w:val="FFFFFF"/>
                <w:sz w:val="20"/>
                <w:szCs w:val="20"/>
              </w:rPr>
              <w:t>Value</w:t>
            </w:r>
          </w:p>
        </w:tc>
      </w:tr>
      <w:tr w:rsidR="00F87636" w14:paraId="1C660253"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3278C4B" w14:textId="77777777" w:rsidR="00F87636" w:rsidRDefault="00000000">
            <w:pPr>
              <w:spacing w:after="20"/>
            </w:pPr>
            <w:r>
              <w:rPr>
                <w:sz w:val="19"/>
                <w:szCs w:val="19"/>
              </w:rPr>
              <w:t>Document title</w:t>
            </w:r>
          </w:p>
        </w:tc>
        <w:tc>
          <w:tcPr>
            <w:tcW w:w="6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F3E1986" w14:textId="77777777" w:rsidR="00F87636" w:rsidRDefault="00000000">
            <w:pPr>
              <w:spacing w:after="20"/>
            </w:pPr>
            <w:r>
              <w:rPr>
                <w:sz w:val="19"/>
                <w:szCs w:val="19"/>
              </w:rPr>
              <w:t>FRTS Ingress Platform — High-Level Design (Master)</w:t>
            </w:r>
          </w:p>
        </w:tc>
      </w:tr>
      <w:tr w:rsidR="00F87636" w14:paraId="04C531F5"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073D910" w14:textId="77777777" w:rsidR="00F87636" w:rsidRDefault="00000000">
            <w:pPr>
              <w:spacing w:after="20"/>
            </w:pPr>
            <w:r>
              <w:rPr>
                <w:sz w:val="19"/>
                <w:szCs w:val="19"/>
              </w:rPr>
              <w:t>Version</w:t>
            </w:r>
          </w:p>
        </w:tc>
        <w:tc>
          <w:tcPr>
            <w:tcW w:w="6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75AE30D" w14:textId="77777777" w:rsidR="00F87636" w:rsidRDefault="00000000">
            <w:pPr>
              <w:spacing w:after="20"/>
            </w:pPr>
            <w:r>
              <w:rPr>
                <w:sz w:val="19"/>
                <w:szCs w:val="19"/>
              </w:rPr>
              <w:t>4.0 (Master — draft for team baseline)</w:t>
            </w:r>
          </w:p>
        </w:tc>
      </w:tr>
      <w:tr w:rsidR="00F87636" w14:paraId="73726DC2"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C1A3B61" w14:textId="77777777" w:rsidR="00F87636" w:rsidRDefault="00000000">
            <w:pPr>
              <w:spacing w:after="20"/>
            </w:pPr>
            <w:r>
              <w:rPr>
                <w:sz w:val="19"/>
                <w:szCs w:val="19"/>
              </w:rPr>
              <w:t>Author</w:t>
            </w:r>
          </w:p>
        </w:tc>
        <w:tc>
          <w:tcPr>
            <w:tcW w:w="6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564B4A2" w14:textId="77777777" w:rsidR="00F87636" w:rsidRDefault="00000000">
            <w:pPr>
              <w:spacing w:after="20"/>
            </w:pPr>
            <w:r>
              <w:rPr>
                <w:sz w:val="19"/>
                <w:szCs w:val="19"/>
              </w:rPr>
              <w:t>Andy Ward, UST Enterprise Architect</w:t>
            </w:r>
          </w:p>
        </w:tc>
      </w:tr>
      <w:tr w:rsidR="00F87636" w14:paraId="47BF3D03"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7E9B38D" w14:textId="77777777" w:rsidR="00F87636" w:rsidRDefault="00000000">
            <w:pPr>
              <w:spacing w:after="20"/>
            </w:pPr>
            <w:r>
              <w:rPr>
                <w:sz w:val="19"/>
                <w:szCs w:val="19"/>
              </w:rPr>
              <w:t>Date</w:t>
            </w:r>
          </w:p>
        </w:tc>
        <w:tc>
          <w:tcPr>
            <w:tcW w:w="6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B99D64E" w14:textId="77777777" w:rsidR="00F87636" w:rsidRDefault="00000000">
            <w:pPr>
              <w:spacing w:after="20"/>
            </w:pPr>
            <w:r>
              <w:rPr>
                <w:sz w:val="19"/>
                <w:szCs w:val="19"/>
              </w:rPr>
              <w:t>25 August 2026</w:t>
            </w:r>
          </w:p>
        </w:tc>
      </w:tr>
      <w:tr w:rsidR="00F87636" w14:paraId="5AF91E44"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E946B4B" w14:textId="77777777" w:rsidR="00F87636" w:rsidRDefault="00000000">
            <w:pPr>
              <w:spacing w:after="20"/>
            </w:pPr>
            <w:r>
              <w:rPr>
                <w:sz w:val="19"/>
                <w:szCs w:val="19"/>
              </w:rPr>
              <w:t>Audience</w:t>
            </w:r>
          </w:p>
        </w:tc>
        <w:tc>
          <w:tcPr>
            <w:tcW w:w="6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EE4CF7F" w14:textId="77777777" w:rsidR="00F87636" w:rsidRDefault="00000000">
            <w:pPr>
              <w:spacing w:after="20"/>
            </w:pPr>
            <w:r>
              <w:rPr>
                <w:sz w:val="19"/>
                <w:szCs w:val="19"/>
              </w:rPr>
              <w:t>UST delivery team (architecture, engineering, BA, test) and UST technical leadership. The delivery boundary is UST-only; ISMs are external requirement contributors and future subscribers with no sight of this document.</w:t>
            </w:r>
          </w:p>
        </w:tc>
      </w:tr>
      <w:tr w:rsidR="00F87636" w14:paraId="3EB93784"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20AFC88" w14:textId="77777777" w:rsidR="00F87636" w:rsidRDefault="00000000">
            <w:pPr>
              <w:spacing w:after="20"/>
            </w:pPr>
            <w:r>
              <w:rPr>
                <w:sz w:val="19"/>
                <w:szCs w:val="19"/>
              </w:rPr>
              <w:t>Status</w:t>
            </w:r>
          </w:p>
        </w:tc>
        <w:tc>
          <w:tcPr>
            <w:tcW w:w="6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A86C17A" w14:textId="77777777" w:rsidR="00F87636" w:rsidRDefault="00000000">
            <w:pPr>
              <w:spacing w:after="20"/>
            </w:pPr>
            <w:r>
              <w:rPr>
                <w:sz w:val="19"/>
                <w:szCs w:val="19"/>
              </w:rPr>
              <w:t>MASTER. The single, self-contained build reference for the FRTS Ingress Platform. Repositories are provisioned from section 18; the seed pack (frts-platform-seed.zip) is generated from this document.</w:t>
            </w:r>
          </w:p>
        </w:tc>
      </w:tr>
      <w:tr w:rsidR="00F87636" w14:paraId="73868AB7"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293A6C1" w14:textId="77777777" w:rsidR="00F87636" w:rsidRDefault="00000000">
            <w:pPr>
              <w:spacing w:after="20"/>
            </w:pPr>
            <w:r>
              <w:rPr>
                <w:sz w:val="19"/>
                <w:szCs w:val="19"/>
              </w:rPr>
              <w:t>Supersedes</w:t>
            </w:r>
          </w:p>
        </w:tc>
        <w:tc>
          <w:tcPr>
            <w:tcW w:w="6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5713837" w14:textId="77777777" w:rsidR="00F87636" w:rsidRDefault="00000000">
            <w:pPr>
              <w:spacing w:after="20"/>
            </w:pPr>
            <w:r>
              <w:rPr>
                <w:sz w:val="19"/>
                <w:szCs w:val="19"/>
              </w:rPr>
              <w:t>HLD v0.8, v1.0, v1.0-draft-2, v2.0 and v3.x. Those documents are retained in delivery-context as historical and evaluation records only; nothing in them is normative where this document speaks, and this document is written to speak completely.</w:t>
            </w:r>
          </w:p>
        </w:tc>
      </w:tr>
    </w:tbl>
    <w:p w14:paraId="0B848E89" w14:textId="77777777" w:rsidR="00F87636" w:rsidRDefault="00F87636">
      <w:pPr>
        <w:spacing w:after="60"/>
      </w:pPr>
    </w:p>
    <w:p w14:paraId="775CE194" w14:textId="77777777" w:rsidR="00F87636" w:rsidRDefault="00000000">
      <w:pPr>
        <w:pStyle w:val="Heading2"/>
        <w:spacing w:before="280" w:after="160"/>
      </w:pPr>
      <w:bookmarkStart w:id="1" w:name="_Toc239760054"/>
      <w:r>
        <w:rPr>
          <w:b/>
          <w:bCs/>
          <w:color w:val="1D4ED8"/>
        </w:rPr>
        <w:t>1.1  Related documents</w:t>
      </w:r>
      <w:bookmarkEnd w:id="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00"/>
      </w:tblGrid>
      <w:tr w:rsidR="00F87636" w14:paraId="685FD608" w14:textId="77777777">
        <w:tblPrEx>
          <w:tblCellMar>
            <w:top w:w="0" w:type="dxa"/>
            <w:bottom w:w="0" w:type="dxa"/>
          </w:tblCellMar>
        </w:tblPrEx>
        <w:trPr>
          <w:cantSplit/>
          <w:tblHeader/>
        </w:trPr>
        <w:tc>
          <w:tcPr>
            <w:tcW w:w="42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146D35E" w14:textId="77777777" w:rsidR="00F87636" w:rsidRDefault="00000000">
            <w:pPr>
              <w:spacing w:after="20"/>
            </w:pPr>
            <w:r>
              <w:rPr>
                <w:b/>
                <w:bCs/>
                <w:color w:val="FFFFFF"/>
                <w:sz w:val="20"/>
                <w:szCs w:val="20"/>
              </w:rPr>
              <w:t>Document</w:t>
            </w:r>
          </w:p>
        </w:tc>
        <w:tc>
          <w:tcPr>
            <w:tcW w:w="51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55278681" w14:textId="77777777" w:rsidR="00F87636" w:rsidRDefault="00000000">
            <w:pPr>
              <w:spacing w:after="20"/>
            </w:pPr>
            <w:r>
              <w:rPr>
                <w:b/>
                <w:bCs/>
                <w:color w:val="FFFFFF"/>
                <w:sz w:val="20"/>
                <w:szCs w:val="20"/>
              </w:rPr>
              <w:t>Role</w:t>
            </w:r>
          </w:p>
        </w:tc>
      </w:tr>
      <w:tr w:rsidR="00F87636" w14:paraId="774D4911" w14:textId="77777777">
        <w:tblPrEx>
          <w:tblCellMar>
            <w:top w:w="0" w:type="dxa"/>
            <w:bottom w:w="0" w:type="dxa"/>
          </w:tblCellMar>
        </w:tblPrEx>
        <w:trPr>
          <w:cantSplit/>
        </w:trPr>
        <w:tc>
          <w:tcPr>
            <w:tcW w:w="4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FA2E293" w14:textId="77777777" w:rsidR="00F87636" w:rsidRDefault="00000000">
            <w:pPr>
              <w:spacing w:after="20"/>
            </w:pPr>
            <w:r>
              <w:rPr>
                <w:sz w:val="19"/>
                <w:szCs w:val="19"/>
              </w:rPr>
              <w:t>FOP API spec v0.4.0 (OAS 3.0) + FRTS API Guide 0.4.0</w:t>
            </w:r>
          </w:p>
        </w:tc>
        <w:tc>
          <w:tcPr>
            <w:tcW w:w="5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6DAE9EE" w14:textId="77777777" w:rsidR="00F87636" w:rsidRDefault="00000000">
            <w:pPr>
              <w:spacing w:after="20"/>
            </w:pPr>
            <w:r>
              <w:rPr>
                <w:sz w:val="19"/>
                <w:szCs w:val="19"/>
              </w:rPr>
              <w:t>The upstream API contract this platform consumes. Committed to contracts/ in the monorepo in agent-readable form.</w:t>
            </w:r>
          </w:p>
        </w:tc>
      </w:tr>
      <w:tr w:rsidR="00F87636" w14:paraId="0FD4C7E6" w14:textId="77777777">
        <w:tblPrEx>
          <w:tblCellMar>
            <w:top w:w="0" w:type="dxa"/>
            <w:bottom w:w="0" w:type="dxa"/>
          </w:tblCellMar>
        </w:tblPrEx>
        <w:trPr>
          <w:cantSplit/>
        </w:trPr>
        <w:tc>
          <w:tcPr>
            <w:tcW w:w="4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AF909CF" w14:textId="77777777" w:rsidR="00F87636" w:rsidRDefault="00000000">
            <w:pPr>
              <w:spacing w:after="20"/>
            </w:pPr>
            <w:r>
              <w:rPr>
                <w:sz w:val="19"/>
                <w:szCs w:val="19"/>
              </w:rPr>
              <w:t>FRTS API Data Dictionary 0.4.0</w:t>
            </w:r>
          </w:p>
        </w:tc>
        <w:tc>
          <w:tcPr>
            <w:tcW w:w="5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EFA351F" w14:textId="77777777" w:rsidR="00F87636" w:rsidRDefault="00000000">
            <w:pPr>
              <w:spacing w:after="20"/>
            </w:pPr>
            <w:r>
              <w:rPr>
                <w:sz w:val="19"/>
                <w:szCs w:val="19"/>
              </w:rPr>
              <w:t>Field-level definitions for all FOP entities; source for canonical column generation and validation structs.</w:t>
            </w:r>
          </w:p>
        </w:tc>
      </w:tr>
      <w:tr w:rsidR="00F87636" w14:paraId="2E1E4B3D" w14:textId="77777777">
        <w:tblPrEx>
          <w:tblCellMar>
            <w:top w:w="0" w:type="dxa"/>
            <w:bottom w:w="0" w:type="dxa"/>
          </w:tblCellMar>
        </w:tblPrEx>
        <w:trPr>
          <w:cantSplit/>
        </w:trPr>
        <w:tc>
          <w:tcPr>
            <w:tcW w:w="4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10569BD" w14:textId="77777777" w:rsidR="00F87636" w:rsidRDefault="00000000">
            <w:pPr>
              <w:spacing w:after="20"/>
            </w:pPr>
            <w:r>
              <w:rPr>
                <w:sz w:val="19"/>
                <w:szCs w:val="19"/>
              </w:rPr>
              <w:t>Beans worked example (TCG sample payloads)</w:t>
            </w:r>
          </w:p>
        </w:tc>
        <w:tc>
          <w:tcPr>
            <w:tcW w:w="5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7B677C9" w14:textId="77777777" w:rsidR="00F87636" w:rsidRDefault="00000000">
            <w:pPr>
              <w:spacing w:after="20"/>
            </w:pPr>
            <w:r>
              <w:rPr>
                <w:sz w:val="19"/>
                <w:szCs w:val="19"/>
              </w:rPr>
              <w:t>Reference payloads including the sales order 200-rejection and 400-error shapes; the fidelity bar for the FOP mocks and the conformance pack.</w:t>
            </w:r>
          </w:p>
        </w:tc>
      </w:tr>
      <w:tr w:rsidR="00F87636" w14:paraId="56E4480D" w14:textId="77777777">
        <w:tblPrEx>
          <w:tblCellMar>
            <w:top w:w="0" w:type="dxa"/>
            <w:bottom w:w="0" w:type="dxa"/>
          </w:tblCellMar>
        </w:tblPrEx>
        <w:trPr>
          <w:cantSplit/>
        </w:trPr>
        <w:tc>
          <w:tcPr>
            <w:tcW w:w="4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B392851" w14:textId="77777777" w:rsidR="00F87636" w:rsidRDefault="00000000">
            <w:pPr>
              <w:spacing w:after="20"/>
            </w:pPr>
            <w:r>
              <w:rPr>
                <w:sz w:val="19"/>
                <w:szCs w:val="19"/>
              </w:rPr>
              <w:t>FRTS Business Requirements (TCG)</w:t>
            </w:r>
          </w:p>
        </w:tc>
        <w:tc>
          <w:tcPr>
            <w:tcW w:w="5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ACC9E5E" w14:textId="77777777" w:rsidR="00F87636" w:rsidRDefault="00000000">
            <w:pPr>
              <w:spacing w:after="20"/>
            </w:pPr>
            <w:r>
              <w:rPr>
                <w:sz w:val="19"/>
                <w:szCs w:val="19"/>
              </w:rPr>
              <w:t>Business context: flows in scope, business clocks, cutover framing, new product identifier structure.</w:t>
            </w:r>
          </w:p>
        </w:tc>
      </w:tr>
      <w:tr w:rsidR="00F87636" w14:paraId="41E54BD4" w14:textId="77777777">
        <w:tblPrEx>
          <w:tblCellMar>
            <w:top w:w="0" w:type="dxa"/>
            <w:bottom w:w="0" w:type="dxa"/>
          </w:tblCellMar>
        </w:tblPrEx>
        <w:trPr>
          <w:cantSplit/>
        </w:trPr>
        <w:tc>
          <w:tcPr>
            <w:tcW w:w="4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EACF4A4" w14:textId="77777777" w:rsidR="00F87636" w:rsidRDefault="00000000">
            <w:pPr>
              <w:spacing w:after="20"/>
            </w:pPr>
            <w:r>
              <w:rPr>
                <w:sz w:val="19"/>
                <w:szCs w:val="19"/>
              </w:rPr>
              <w:t>AI-First Delivery Driving Brief v0.2</w:t>
            </w:r>
          </w:p>
        </w:tc>
        <w:tc>
          <w:tcPr>
            <w:tcW w:w="5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C31E9DC" w14:textId="77777777" w:rsidR="00F87636" w:rsidRDefault="00000000">
            <w:pPr>
              <w:spacing w:after="20"/>
            </w:pPr>
            <w:r>
              <w:rPr>
                <w:sz w:val="19"/>
                <w:szCs w:val="19"/>
              </w:rPr>
              <w:t>The delivery operating model: principles A1–A7, team shape, guardrails, mobilisation plan.</w:t>
            </w:r>
          </w:p>
        </w:tc>
      </w:tr>
      <w:tr w:rsidR="00F87636" w14:paraId="095A613A" w14:textId="77777777">
        <w:tblPrEx>
          <w:tblCellMar>
            <w:top w:w="0" w:type="dxa"/>
            <w:bottom w:w="0" w:type="dxa"/>
          </w:tblCellMar>
        </w:tblPrEx>
        <w:trPr>
          <w:cantSplit/>
        </w:trPr>
        <w:tc>
          <w:tcPr>
            <w:tcW w:w="4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49AD29E" w14:textId="77777777" w:rsidR="00F87636" w:rsidRDefault="00000000">
            <w:pPr>
              <w:spacing w:after="20"/>
            </w:pPr>
            <w:r>
              <w:rPr>
                <w:sz w:val="19"/>
                <w:szCs w:val="19"/>
              </w:rPr>
              <w:t>ISM LLD workshop outputs (May 2026)</w:t>
            </w:r>
          </w:p>
        </w:tc>
        <w:tc>
          <w:tcPr>
            <w:tcW w:w="5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28EBFA2" w14:textId="77777777" w:rsidR="00F87636" w:rsidRDefault="00000000">
            <w:pPr>
              <w:spacing w:after="20"/>
            </w:pPr>
            <w:r>
              <w:rPr>
                <w:sz w:val="19"/>
                <w:szCs w:val="19"/>
              </w:rPr>
              <w:t>Open upstream questions and cutover constraints raised by the ISM community.</w:t>
            </w:r>
          </w:p>
        </w:tc>
      </w:tr>
      <w:tr w:rsidR="00F87636" w14:paraId="2596F8DD" w14:textId="77777777">
        <w:tblPrEx>
          <w:tblCellMar>
            <w:top w:w="0" w:type="dxa"/>
            <w:bottom w:w="0" w:type="dxa"/>
          </w:tblCellMar>
        </w:tblPrEx>
        <w:trPr>
          <w:cantSplit/>
        </w:trPr>
        <w:tc>
          <w:tcPr>
            <w:tcW w:w="4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B50AA76" w14:textId="77777777" w:rsidR="00F87636" w:rsidRDefault="00000000">
            <w:pPr>
              <w:spacing w:after="20"/>
            </w:pPr>
            <w:r>
              <w:rPr>
                <w:sz w:val="19"/>
                <w:szCs w:val="19"/>
              </w:rPr>
              <w:t>frts-platform-seed.zip</w:t>
            </w:r>
          </w:p>
        </w:tc>
        <w:tc>
          <w:tcPr>
            <w:tcW w:w="5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0A85A25" w14:textId="77777777" w:rsidR="00F87636" w:rsidRDefault="00000000">
            <w:pPr>
              <w:spacing w:after="20"/>
            </w:pPr>
            <w:r>
              <w:rPr>
                <w:sz w:val="19"/>
                <w:szCs w:val="19"/>
              </w:rPr>
              <w:t>The seed pack generated from this document: 14 accepted ADRs, DPD stubs, CLAUDE.md, Claude skills, templates (section 18.4).</w:t>
            </w:r>
          </w:p>
        </w:tc>
      </w:tr>
    </w:tbl>
    <w:p w14:paraId="2BD5EB56" w14:textId="77777777" w:rsidR="00F87636" w:rsidRDefault="00F87636">
      <w:pPr>
        <w:spacing w:after="60"/>
      </w:pPr>
    </w:p>
    <w:p w14:paraId="48B20CCC" w14:textId="77777777" w:rsidR="00F87636" w:rsidRDefault="00000000">
      <w:pPr>
        <w:pStyle w:val="Heading2"/>
        <w:spacing w:before="280" w:after="160"/>
      </w:pPr>
      <w:bookmarkStart w:id="2" w:name="_Toc239760055"/>
      <w:r>
        <w:rPr>
          <w:b/>
          <w:bCs/>
          <w:color w:val="1D4ED8"/>
        </w:rPr>
        <w:t>1.2  Change history</w:t>
      </w:r>
      <w:bookmarkEnd w:id="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6400"/>
      </w:tblGrid>
      <w:tr w:rsidR="00F87636" w14:paraId="6000EF70" w14:textId="77777777">
        <w:tblPrEx>
          <w:tblCellMar>
            <w:top w:w="0" w:type="dxa"/>
            <w:bottom w:w="0" w:type="dxa"/>
          </w:tblCellMar>
        </w:tblPrEx>
        <w:trPr>
          <w:cantSplit/>
          <w:tblHeader/>
        </w:trPr>
        <w:tc>
          <w:tcPr>
            <w:tcW w:w="13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1A1BDAE" w14:textId="77777777" w:rsidR="00F87636" w:rsidRDefault="00000000">
            <w:pPr>
              <w:spacing w:after="20"/>
            </w:pPr>
            <w:r>
              <w:rPr>
                <w:b/>
                <w:bCs/>
                <w:color w:val="FFFFFF"/>
                <w:sz w:val="20"/>
                <w:szCs w:val="20"/>
              </w:rPr>
              <w:lastRenderedPageBreak/>
              <w:t>Version</w:t>
            </w:r>
          </w:p>
        </w:tc>
        <w:tc>
          <w:tcPr>
            <w:tcW w:w="16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64F6B8AA" w14:textId="77777777" w:rsidR="00F87636" w:rsidRDefault="00000000">
            <w:pPr>
              <w:spacing w:after="20"/>
            </w:pPr>
            <w:r>
              <w:rPr>
                <w:b/>
                <w:bCs/>
                <w:color w:val="FFFFFF"/>
                <w:sz w:val="20"/>
                <w:szCs w:val="20"/>
              </w:rPr>
              <w:t>Date</w:t>
            </w:r>
          </w:p>
        </w:tc>
        <w:tc>
          <w:tcPr>
            <w:tcW w:w="64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681746B8" w14:textId="77777777" w:rsidR="00F87636" w:rsidRDefault="00000000">
            <w:pPr>
              <w:spacing w:after="20"/>
            </w:pPr>
            <w:r>
              <w:rPr>
                <w:b/>
                <w:bCs/>
                <w:color w:val="FFFFFF"/>
                <w:sz w:val="20"/>
                <w:szCs w:val="20"/>
              </w:rPr>
              <w:t>Change</w:t>
            </w:r>
          </w:p>
        </w:tc>
      </w:tr>
      <w:tr w:rsidR="00F87636" w14:paraId="1A6C49C9" w14:textId="77777777">
        <w:tblPrEx>
          <w:tblCellMar>
            <w:top w:w="0" w:type="dxa"/>
            <w:bottom w:w="0" w:type="dxa"/>
          </w:tblCellMar>
        </w:tblPrEx>
        <w:trPr>
          <w:cantSplit/>
        </w:trPr>
        <w:tc>
          <w:tcPr>
            <w:tcW w:w="1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EEE796D" w14:textId="77777777" w:rsidR="00F87636" w:rsidRDefault="00000000">
            <w:pPr>
              <w:spacing w:after="20"/>
            </w:pPr>
            <w:r>
              <w:rPr>
                <w:sz w:val="19"/>
                <w:szCs w:val="19"/>
              </w:rPr>
              <w:t>4.0 master</w:t>
            </w:r>
          </w:p>
        </w:tc>
        <w:tc>
          <w:tcPr>
            <w:tcW w:w="1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DB506FE" w14:textId="77777777" w:rsidR="00F87636" w:rsidRDefault="00000000">
            <w:pPr>
              <w:spacing w:after="20"/>
            </w:pPr>
            <w:r>
              <w:rPr>
                <w:sz w:val="19"/>
                <w:szCs w:val="19"/>
              </w:rPr>
              <w:t>25 Aug 2026</w:t>
            </w:r>
          </w:p>
        </w:tc>
        <w:tc>
          <w:tcPr>
            <w:tcW w:w="6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4DA012F" w14:textId="77777777" w:rsidR="00F87636" w:rsidRDefault="00000000">
            <w:pPr>
              <w:spacing w:after="20"/>
            </w:pPr>
            <w:r>
              <w:rPr>
                <w:sz w:val="19"/>
                <w:szCs w:val="19"/>
              </w:rPr>
              <w:t>Single self-contained master. Consolidates the requirement statement (previously in v1.0), the Manifold architecture (previously in v3.x), and the agent-first principles (previously split across v2.0/v3.x) into one document with no normative back-references. All decisions settled, including Temporal as the durable engine. Prior versions reclassified as records.</w:t>
            </w:r>
          </w:p>
        </w:tc>
      </w:tr>
      <w:tr w:rsidR="00F87636" w14:paraId="1B739A8F" w14:textId="77777777">
        <w:tblPrEx>
          <w:tblCellMar>
            <w:top w:w="0" w:type="dxa"/>
            <w:bottom w:w="0" w:type="dxa"/>
          </w:tblCellMar>
        </w:tblPrEx>
        <w:trPr>
          <w:cantSplit/>
        </w:trPr>
        <w:tc>
          <w:tcPr>
            <w:tcW w:w="1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757521A" w14:textId="77777777" w:rsidR="00F87636" w:rsidRDefault="00000000">
            <w:pPr>
              <w:spacing w:after="20"/>
            </w:pPr>
            <w:r>
              <w:rPr>
                <w:sz w:val="19"/>
                <w:szCs w:val="19"/>
              </w:rPr>
              <w:t>v3.x</w:t>
            </w:r>
          </w:p>
        </w:tc>
        <w:tc>
          <w:tcPr>
            <w:tcW w:w="1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BF57E1E" w14:textId="77777777" w:rsidR="00F87636" w:rsidRDefault="00000000">
            <w:pPr>
              <w:spacing w:after="20"/>
            </w:pPr>
            <w:r>
              <w:rPr>
                <w:sz w:val="19"/>
                <w:szCs w:val="19"/>
              </w:rPr>
              <w:t>18–25 Aug 2026</w:t>
            </w:r>
          </w:p>
        </w:tc>
        <w:tc>
          <w:tcPr>
            <w:tcW w:w="6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3F43A77" w14:textId="77777777" w:rsidR="00F87636" w:rsidRDefault="00000000">
            <w:pPr>
              <w:spacing w:after="20"/>
            </w:pPr>
            <w:r>
              <w:rPr>
                <w:sz w:val="19"/>
                <w:szCs w:val="19"/>
              </w:rPr>
              <w:t>Manifold architecture drafts (Option E): Go services, cellular tenancy, context plane; Temporal settled at v3.1.</w:t>
            </w:r>
          </w:p>
        </w:tc>
      </w:tr>
      <w:tr w:rsidR="00F87636" w14:paraId="28D2C0BB" w14:textId="77777777">
        <w:tblPrEx>
          <w:tblCellMar>
            <w:top w:w="0" w:type="dxa"/>
            <w:bottom w:w="0" w:type="dxa"/>
          </w:tblCellMar>
        </w:tblPrEx>
        <w:trPr>
          <w:cantSplit/>
        </w:trPr>
        <w:tc>
          <w:tcPr>
            <w:tcW w:w="1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CFD23AF" w14:textId="77777777" w:rsidR="00F87636" w:rsidRDefault="00000000">
            <w:pPr>
              <w:spacing w:after="20"/>
            </w:pPr>
            <w:r>
              <w:rPr>
                <w:sz w:val="19"/>
                <w:szCs w:val="19"/>
              </w:rPr>
              <w:t>v2.0</w:t>
            </w:r>
          </w:p>
        </w:tc>
        <w:tc>
          <w:tcPr>
            <w:tcW w:w="1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64ED234" w14:textId="77777777" w:rsidR="00F87636" w:rsidRDefault="00000000">
            <w:pPr>
              <w:spacing w:after="20"/>
            </w:pPr>
            <w:r>
              <w:rPr>
                <w:sz w:val="19"/>
                <w:szCs w:val="19"/>
              </w:rPr>
              <w:t>18 Aug 2026</w:t>
            </w:r>
          </w:p>
        </w:tc>
        <w:tc>
          <w:tcPr>
            <w:tcW w:w="6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8E308BB" w14:textId="77777777" w:rsidR="00F87636" w:rsidRDefault="00000000">
            <w:pPr>
              <w:spacing w:after="20"/>
            </w:pPr>
            <w:r>
              <w:rPr>
                <w:sz w:val="19"/>
                <w:szCs w:val="19"/>
              </w:rPr>
              <w:t>Agentic greenfield evaluation track (Option A+): TypeScript monolith, Postgres RLS, Temporal.</w:t>
            </w:r>
          </w:p>
        </w:tc>
      </w:tr>
      <w:tr w:rsidR="00F87636" w14:paraId="3F7AFCD0" w14:textId="77777777">
        <w:tblPrEx>
          <w:tblCellMar>
            <w:top w:w="0" w:type="dxa"/>
            <w:bottom w:w="0" w:type="dxa"/>
          </w:tblCellMar>
        </w:tblPrEx>
        <w:trPr>
          <w:cantSplit/>
        </w:trPr>
        <w:tc>
          <w:tcPr>
            <w:tcW w:w="1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83894C2" w14:textId="77777777" w:rsidR="00F87636" w:rsidRDefault="00000000">
            <w:pPr>
              <w:spacing w:after="20"/>
            </w:pPr>
            <w:r>
              <w:rPr>
                <w:sz w:val="19"/>
                <w:szCs w:val="19"/>
              </w:rPr>
              <w:t>v1.0</w:t>
            </w:r>
          </w:p>
        </w:tc>
        <w:tc>
          <w:tcPr>
            <w:tcW w:w="1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DAFB39C" w14:textId="77777777" w:rsidR="00F87636" w:rsidRDefault="00000000">
            <w:pPr>
              <w:spacing w:after="20"/>
            </w:pPr>
            <w:r>
              <w:rPr>
                <w:sz w:val="19"/>
                <w:szCs w:val="19"/>
              </w:rPr>
              <w:t>18 Aug 2026</w:t>
            </w:r>
          </w:p>
        </w:tc>
        <w:tc>
          <w:tcPr>
            <w:tcW w:w="6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88A5F69" w14:textId="77777777" w:rsidR="00F87636" w:rsidRDefault="00000000">
            <w:pPr>
              <w:spacing w:after="20"/>
            </w:pPr>
            <w:r>
              <w:rPr>
                <w:sz w:val="19"/>
                <w:szCs w:val="19"/>
              </w:rPr>
              <w:t>Microsoft-stack track: Dataverse, Power Platform, MDDI. Source of the consolidated requirement statement; superseded as architecture.</w:t>
            </w:r>
          </w:p>
        </w:tc>
      </w:tr>
      <w:tr w:rsidR="00F87636" w14:paraId="7C27A58F" w14:textId="77777777">
        <w:tblPrEx>
          <w:tblCellMar>
            <w:top w:w="0" w:type="dxa"/>
            <w:bottom w:w="0" w:type="dxa"/>
          </w:tblCellMar>
        </w:tblPrEx>
        <w:trPr>
          <w:cantSplit/>
        </w:trPr>
        <w:tc>
          <w:tcPr>
            <w:tcW w:w="1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C417DD8" w14:textId="77777777" w:rsidR="00F87636" w:rsidRDefault="00000000">
            <w:pPr>
              <w:spacing w:after="20"/>
            </w:pPr>
            <w:r>
              <w:rPr>
                <w:sz w:val="19"/>
                <w:szCs w:val="19"/>
              </w:rPr>
              <w:t>v0.8</w:t>
            </w:r>
          </w:p>
        </w:tc>
        <w:tc>
          <w:tcPr>
            <w:tcW w:w="1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785AFD8" w14:textId="77777777" w:rsidR="00F87636" w:rsidRDefault="00000000">
            <w:pPr>
              <w:spacing w:after="20"/>
            </w:pPr>
            <w:r>
              <w:rPr>
                <w:sz w:val="19"/>
                <w:szCs w:val="19"/>
              </w:rPr>
              <w:t>31 May 2026</w:t>
            </w:r>
          </w:p>
        </w:tc>
        <w:tc>
          <w:tcPr>
            <w:tcW w:w="6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EB7CC5B" w14:textId="77777777" w:rsidR="00F87636" w:rsidRDefault="00000000">
            <w:pPr>
              <w:spacing w:after="20"/>
            </w:pPr>
            <w:r>
              <w:rPr>
                <w:sz w:val="19"/>
                <w:szCs w:val="19"/>
              </w:rPr>
              <w:t>Pre-productisation UST-internal draft. Historical.</w:t>
            </w:r>
          </w:p>
        </w:tc>
      </w:tr>
    </w:tbl>
    <w:p w14:paraId="18074B60" w14:textId="77777777" w:rsidR="00F87636" w:rsidRDefault="00000000">
      <w:pPr>
        <w:pStyle w:val="Heading1"/>
        <w:spacing w:before="360" w:after="200"/>
      </w:pPr>
      <w:bookmarkStart w:id="3" w:name="_Toc239760056"/>
      <w:r>
        <w:rPr>
          <w:b/>
          <w:bCs/>
          <w:color w:val="0F172A"/>
        </w:rPr>
        <w:t>2  Executive Summary</w:t>
      </w:r>
      <w:bookmarkEnd w:id="3"/>
    </w:p>
    <w:p w14:paraId="6AE34F0E" w14:textId="77777777" w:rsidR="00F87636" w:rsidRDefault="00000000">
      <w:pPr>
        <w:spacing w:after="160"/>
      </w:pPr>
      <w:r>
        <w:t>TCG is retiring the legacy NSL product identifier and the 300-plus file feeds that depend on it, replacing them with the FRTS Ordering Platform (FOP): REST APIs for master data and ordering, plus SFTP file feeds for transactional documents. TCG has aligned its cutover to the Deposit Return Scheme go-live in October 2027 and will enforce that date through the Buying Services Agreement. Every ISM in the FRTS buying group must be consuming the new feeds by then — ten societies with heterogeneous downstream estates and limited appetite for bespoke builds of their own.</w:t>
      </w:r>
    </w:p>
    <w:p w14:paraId="2D5CBA3B" w14:textId="77777777" w:rsidR="00F87636" w:rsidRDefault="00000000">
      <w:pPr>
        <w:spacing w:after="160"/>
      </w:pPr>
      <w:r>
        <w:t>The FRTS Ingress Platform is UST's product answer: one multi-tenant platform that integrates with TCG exactly once and serves every subscribing society. It is designed on two premises. First, the delivery is fully agentic — AI agents write, test and operate essentially all of the code, with humans gating — so the architecture is chosen to be maximally legible to agents: everything text in git, everything runnable on a laptop, everything proven by deterministic test oracles. Second, the platform is greenfield: no low-code platforms, no inherited frameworks, no forked codebases.</w:t>
      </w:r>
    </w:p>
    <w:p w14:paraId="596143DF" w14:textId="77777777" w:rsidR="00F87636" w:rsidRDefault="00000000">
      <w:pPr>
        <w:spacing w:after="160"/>
      </w:pPr>
      <w:r>
        <w:t>The architecture is a manifold of Go services around a PostgreSQL hub, in four party-aligned layers:</w:t>
      </w:r>
    </w:p>
    <w:p w14:paraId="0375A512" w14:textId="77777777" w:rsidR="00F87636" w:rsidRDefault="00000000">
      <w:pPr>
        <w:pStyle w:val="ListParagraph"/>
        <w:numPr>
          <w:ilvl w:val="0"/>
          <w:numId w:val="2"/>
        </w:numPr>
        <w:spacing w:after="100"/>
      </w:pPr>
      <w:r>
        <w:rPr>
          <w:b/>
          <w:bCs/>
        </w:rPr>
        <w:t xml:space="preserve">TCG Integration Layer (tcg-service) — </w:t>
      </w:r>
      <w:r>
        <w:t>owns every exchange with TCG in both directions: master data pulled from the FOP APIs (OAuth2 JWT on a registered client, concurrent pollers with delta watermarks), transactional files pulled from TCG's SFTP endpoint, and sales orders submitted back to FOP. Inbound payloads are validated against the published contract and stored unchanged — there is no ETL on ingress, because TCG masters this data.</w:t>
      </w:r>
    </w:p>
    <w:p w14:paraId="534A5BF6" w14:textId="77777777" w:rsidR="00F87636" w:rsidRDefault="00000000">
      <w:pPr>
        <w:pStyle w:val="ListParagraph"/>
        <w:numPr>
          <w:ilvl w:val="0"/>
          <w:numId w:val="2"/>
        </w:numPr>
        <w:spacing w:after="100"/>
      </w:pPr>
      <w:r>
        <w:rPr>
          <w:b/>
          <w:bCs/>
        </w:rPr>
        <w:t xml:space="preserve">Persist (PostgreSQL data platform) — </w:t>
      </w:r>
      <w:r>
        <w:t>canonical TCG data as-is in JSONB with generated key columns; a subscriber overlay (selections, enrichment, decisions) under native row-level security; sales order staging; watermarks, lineage and append-only audit; an object store for the file landing zone and archive.</w:t>
      </w:r>
    </w:p>
    <w:p w14:paraId="66B6BD96" w14:textId="77777777" w:rsidR="00F87636" w:rsidRDefault="00000000">
      <w:pPr>
        <w:pStyle w:val="ListParagraph"/>
        <w:numPr>
          <w:ilvl w:val="0"/>
          <w:numId w:val="2"/>
        </w:numPr>
        <w:spacing w:after="100"/>
      </w:pPr>
      <w:r>
        <w:rPr>
          <w:b/>
          <w:bCs/>
        </w:rPr>
        <w:t xml:space="preserve">Curate (React SPA + curation-bff) — </w:t>
      </w:r>
      <w:r>
        <w:t>per-entity screens where a subscribing society's commercial user filters the TCG catalogue to what they range and enriches it with the data elements their systems need — above all their own downstream keys. Nothing leaves the platform without a decision recorded here.</w:t>
      </w:r>
    </w:p>
    <w:p w14:paraId="0B941FCD" w14:textId="77777777" w:rsidR="00F87636" w:rsidRDefault="00000000">
      <w:pPr>
        <w:pStyle w:val="ListParagraph"/>
        <w:numPr>
          <w:ilvl w:val="0"/>
          <w:numId w:val="2"/>
        </w:numPr>
        <w:spacing w:after="100"/>
      </w:pPr>
      <w:r>
        <w:rPr>
          <w:b/>
          <w:bCs/>
        </w:rPr>
        <w:t xml:space="preserve">ISM Subscriber Layer (ism-service cells) — </w:t>
      </w:r>
      <w:r>
        <w:t>one service image deployed as one cell per subscriber, executing that subscriber's interface pack: outbound distribution in their formats, inbound sales orders in their format mapped to the TCG format, per-cell credentials and database role. The auth edge and the tenant partition live here — isolation is enforced twice, in process and in data.</w:t>
      </w:r>
    </w:p>
    <w:p w14:paraId="4C94BC0F" w14:textId="77777777" w:rsidR="00F87636" w:rsidRDefault="00000000">
      <w:pPr>
        <w:spacing w:after="160"/>
      </w:pPr>
      <w:r>
        <w:t xml:space="preserve">Temporal (Go SDK) carries every durable flow — polling, file feeds, dispatch, the idempotent order relay — as plain Go functions with typed retry policies and full execution history. A knowledge-graph context plane, </w:t>
      </w:r>
      <w:r>
        <w:lastRenderedPageBreak/>
        <w:t>derived from the monorepo by CI on every merge and exposed read-only over MCP, gives agents structural navigation grep cannot: what writes this table, what breaks if a field disappears, which decision governs this package.</w:t>
      </w:r>
    </w:p>
    <w:p w14:paraId="00FF7B52" w14:textId="77777777" w:rsidR="00F87636" w:rsidRDefault="00000000">
      <w:pPr>
        <w:spacing w:after="160"/>
      </w:pPr>
      <w:r>
        <w:t>This document is the complete build reference: requirement, contracts, architecture, principles, security, delivery. Section 20 lists the design decisions that bind the implementation; section 18 defines the repositories; section 22 sequences the build from contract-faithful mocks and a walking skeleton.</w:t>
      </w:r>
    </w:p>
    <w:p w14:paraId="642AB388" w14:textId="77777777" w:rsidR="00F87636" w:rsidRDefault="00000000">
      <w:pPr>
        <w:pStyle w:val="Heading1"/>
        <w:spacing w:before="360" w:after="200"/>
      </w:pPr>
      <w:bookmarkStart w:id="4" w:name="_Toc239760057"/>
      <w:r>
        <w:rPr>
          <w:b/>
          <w:bCs/>
          <w:color w:val="0F172A"/>
        </w:rPr>
        <w:t>3  Purpose, Scope and Audience</w:t>
      </w:r>
      <w:bookmarkEnd w:id="4"/>
    </w:p>
    <w:p w14:paraId="553651D5" w14:textId="77777777" w:rsidR="00F87636" w:rsidRDefault="00000000">
      <w:pPr>
        <w:pStyle w:val="Heading2"/>
        <w:spacing w:before="280" w:after="160"/>
      </w:pPr>
      <w:bookmarkStart w:id="5" w:name="_Toc239760058"/>
      <w:r>
        <w:rPr>
          <w:b/>
          <w:bCs/>
          <w:color w:val="1D4ED8"/>
        </w:rPr>
        <w:t>3.1  Purpose</w:t>
      </w:r>
      <w:bookmarkEnd w:id="5"/>
    </w:p>
    <w:p w14:paraId="1FEE2D20" w14:textId="77777777" w:rsidR="00F87636" w:rsidRDefault="00000000">
      <w:pPr>
        <w:spacing w:after="160"/>
      </w:pPr>
      <w:r>
        <w:t>This HLD describes the FRTS Ingress Platform in sufficient detail for the delivery team to implement it — component responsibilities, integration contracts, the data model, the security model, environments and build order — and it is deliberately self-contained: a reader needs no prior HLD version. It is written to be decomposed directly into agent-ready specifications on the ADO board (specs are the product, principle A2), and it is the source from which the repository seed pack is generated.</w:t>
      </w:r>
    </w:p>
    <w:p w14:paraId="0F45E8D0" w14:textId="77777777" w:rsidR="00F87636" w:rsidRDefault="00000000">
      <w:pPr>
        <w:pStyle w:val="Heading2"/>
        <w:spacing w:before="280" w:after="160"/>
      </w:pPr>
      <w:bookmarkStart w:id="6" w:name="_Toc239760059"/>
      <w:r>
        <w:rPr>
          <w:b/>
          <w:bCs/>
          <w:color w:val="1D4ED8"/>
        </w:rPr>
        <w:t>3.2  In scope</w:t>
      </w:r>
      <w:bookmarkEnd w:id="6"/>
    </w:p>
    <w:p w14:paraId="08013248" w14:textId="77777777" w:rsidR="00F87636" w:rsidRDefault="00000000">
      <w:pPr>
        <w:pStyle w:val="ListParagraph"/>
        <w:numPr>
          <w:ilvl w:val="0"/>
          <w:numId w:val="2"/>
        </w:numPr>
        <w:spacing w:after="100"/>
      </w:pPr>
      <w:r>
        <w:t>Ingestion of all TCG/FRTS master data flows (retail product, wholesale product / catalogue item, wholesale cost, promotion, product hierarchy, supplier) via the FOP APIs, and of transactional flows (EDN, invoices, claims, condition contracts, planogram/RADR and PSA files) via SFTP file pull.</w:t>
      </w:r>
    </w:p>
    <w:p w14:paraId="30F2A8E8" w14:textId="77777777" w:rsidR="00F87636" w:rsidRDefault="00000000">
      <w:pPr>
        <w:pStyle w:val="ListParagraph"/>
        <w:numPr>
          <w:ilvl w:val="0"/>
          <w:numId w:val="2"/>
        </w:numPr>
        <w:spacing w:after="100"/>
      </w:pPr>
      <w:r>
        <w:t>Persistence of the TCG canonical model in PostgreSQL, stored as-is, with lineage and audit; file content in an object store.</w:t>
      </w:r>
    </w:p>
    <w:p w14:paraId="6846A153" w14:textId="77777777" w:rsidR="00F87636" w:rsidRDefault="00000000">
      <w:pPr>
        <w:pStyle w:val="ListParagraph"/>
        <w:numPr>
          <w:ilvl w:val="0"/>
          <w:numId w:val="2"/>
        </w:numPr>
        <w:spacing w:after="100"/>
      </w:pPr>
      <w:r>
        <w:t>The curation web application implementing subscribe-and-enrich per data element, with approval flows, advisory price/promotion surveillance and full decision audit.</w:t>
      </w:r>
    </w:p>
    <w:p w14:paraId="78A7CD35" w14:textId="77777777" w:rsidR="00F87636" w:rsidRDefault="00000000">
      <w:pPr>
        <w:pStyle w:val="ListParagraph"/>
        <w:numPr>
          <w:ilvl w:val="0"/>
          <w:numId w:val="2"/>
        </w:numPr>
        <w:spacing w:after="100"/>
      </w:pPr>
      <w:r>
        <w:t>The ISM Subscriber Layer as cells executing interface packs: per-destination definitions, typed mappings, dispatch, delivery receipts, inbound sales order intake at the auth edge.</w:t>
      </w:r>
    </w:p>
    <w:p w14:paraId="58786536" w14:textId="77777777" w:rsidR="00F87636" w:rsidRDefault="00000000">
      <w:pPr>
        <w:pStyle w:val="ListParagraph"/>
        <w:numPr>
          <w:ilvl w:val="0"/>
          <w:numId w:val="2"/>
        </w:numPr>
        <w:spacing w:after="100"/>
      </w:pPr>
      <w:r>
        <w:t>The sales order return path: ISM-format intake, transformation to TCG format, staging, idempotent submission to FOP, acknowledgement and rejection hand-back.</w:t>
      </w:r>
    </w:p>
    <w:p w14:paraId="1DCFA54E" w14:textId="77777777" w:rsidR="00F87636" w:rsidRDefault="00000000">
      <w:pPr>
        <w:pStyle w:val="ListParagraph"/>
        <w:numPr>
          <w:ilvl w:val="0"/>
          <w:numId w:val="2"/>
        </w:numPr>
        <w:spacing w:after="100"/>
      </w:pPr>
      <w:r>
        <w:t>Durable execution (Temporal), the knowledge-graph context plane, security architecture, environments, ALM, observability, non-functional requirements, git design and delivery sequencing.</w:t>
      </w:r>
    </w:p>
    <w:p w14:paraId="42056F43" w14:textId="77777777" w:rsidR="00F87636" w:rsidRDefault="00000000">
      <w:pPr>
        <w:pStyle w:val="Heading2"/>
        <w:spacing w:before="280" w:after="160"/>
      </w:pPr>
      <w:bookmarkStart w:id="7" w:name="_Toc239760060"/>
      <w:r>
        <w:rPr>
          <w:b/>
          <w:bCs/>
          <w:color w:val="1D4ED8"/>
        </w:rPr>
        <w:t>3.3  Out of scope</w:t>
      </w:r>
      <w:bookmarkEnd w:id="7"/>
    </w:p>
    <w:p w14:paraId="658A3395" w14:textId="77777777" w:rsidR="00F87636" w:rsidRDefault="00000000">
      <w:pPr>
        <w:pStyle w:val="ListParagraph"/>
        <w:numPr>
          <w:ilvl w:val="0"/>
          <w:numId w:val="2"/>
        </w:numPr>
        <w:spacing w:after="100"/>
      </w:pPr>
      <w:r>
        <w:rPr>
          <w:b/>
          <w:bCs/>
        </w:rPr>
        <w:t xml:space="preserve">Re-implementing TCG functionality. </w:t>
      </w:r>
      <w:r>
        <w:t>The platform consumes FOP; it does not duplicate or replace it. Upstream truth is upstream truth (P2).</w:t>
      </w:r>
    </w:p>
    <w:p w14:paraId="01E9B798" w14:textId="77777777" w:rsidR="00F87636" w:rsidRDefault="00000000">
      <w:pPr>
        <w:pStyle w:val="ListParagraph"/>
        <w:numPr>
          <w:ilvl w:val="0"/>
          <w:numId w:val="2"/>
        </w:numPr>
        <w:spacing w:after="100"/>
      </w:pPr>
      <w:r>
        <w:rPr>
          <w:b/>
          <w:bCs/>
        </w:rPr>
        <w:t xml:space="preserve">Order management. </w:t>
      </w:r>
      <w:r>
        <w:t>The platform validates, transforms and relays sales orders; browsing, composition, amendment and lifecycle stay in the subscriber's P2P (P6).</w:t>
      </w:r>
    </w:p>
    <w:p w14:paraId="7E34FB3C" w14:textId="77777777" w:rsidR="00F87636" w:rsidRDefault="00000000">
      <w:pPr>
        <w:pStyle w:val="ListParagraph"/>
        <w:numPr>
          <w:ilvl w:val="0"/>
          <w:numId w:val="2"/>
        </w:numPr>
        <w:spacing w:after="100"/>
      </w:pPr>
      <w:r>
        <w:rPr>
          <w:b/>
          <w:bCs/>
        </w:rPr>
        <w:t xml:space="preserve">Retail pricing decisions. </w:t>
      </w:r>
      <w:r>
        <w:t>TCG cost and promotion data is advisory. The platform never writes a consumer-facing price (P5).</w:t>
      </w:r>
    </w:p>
    <w:p w14:paraId="519735C4" w14:textId="77777777" w:rsidR="00F87636" w:rsidRDefault="00000000">
      <w:pPr>
        <w:pStyle w:val="ListParagraph"/>
        <w:numPr>
          <w:ilvl w:val="0"/>
          <w:numId w:val="2"/>
        </w:numPr>
        <w:spacing w:after="100"/>
      </w:pPr>
      <w:r>
        <w:rPr>
          <w:b/>
          <w:bCs/>
        </w:rPr>
        <w:t xml:space="preserve">Per-subscriber code. </w:t>
      </w:r>
      <w:r>
        <w:t>Variability lives in packs, cell manifests and configuration — never in code branches or per-tenant stacks (P1, P7).</w:t>
      </w:r>
    </w:p>
    <w:p w14:paraId="30F6929F" w14:textId="77777777" w:rsidR="00F87636" w:rsidRDefault="00000000">
      <w:pPr>
        <w:pStyle w:val="ListParagraph"/>
        <w:numPr>
          <w:ilvl w:val="0"/>
          <w:numId w:val="2"/>
        </w:numPr>
        <w:spacing w:after="100"/>
      </w:pPr>
      <w:r>
        <w:rPr>
          <w:b/>
          <w:bCs/>
        </w:rPr>
        <w:t xml:space="preserve">In-product AI. </w:t>
      </w:r>
      <w:r>
        <w:t>AI is the delivery team's build-time capability only; no product feature depends on model inference (KDD-19).</w:t>
      </w:r>
    </w:p>
    <w:p w14:paraId="7E639F3F" w14:textId="77777777" w:rsidR="00F87636" w:rsidRDefault="00000000">
      <w:pPr>
        <w:pStyle w:val="ListParagraph"/>
        <w:numPr>
          <w:ilvl w:val="0"/>
          <w:numId w:val="2"/>
        </w:numPr>
        <w:spacing w:after="100"/>
      </w:pPr>
      <w:r>
        <w:rPr>
          <w:b/>
          <w:bCs/>
        </w:rPr>
        <w:t xml:space="preserve">Commercial framing. </w:t>
      </w:r>
      <w:r>
        <w:t>Pricing, funding and partner economics are owned by the bid team and are deliberately absent from this document.</w:t>
      </w:r>
    </w:p>
    <w:p w14:paraId="4EE12AA6" w14:textId="77777777" w:rsidR="00F87636" w:rsidRDefault="00000000">
      <w:pPr>
        <w:pStyle w:val="Heading1"/>
        <w:spacing w:before="360" w:after="200"/>
      </w:pPr>
      <w:bookmarkStart w:id="8" w:name="_Toc239760061"/>
      <w:r>
        <w:rPr>
          <w:b/>
          <w:bCs/>
          <w:color w:val="0F172A"/>
        </w:rPr>
        <w:lastRenderedPageBreak/>
        <w:t>4  Context and Drivers</w:t>
      </w:r>
      <w:bookmarkEnd w:id="8"/>
    </w:p>
    <w:p w14:paraId="2F2DF866" w14:textId="77777777" w:rsidR="00F87636" w:rsidRDefault="00000000">
      <w:pPr>
        <w:spacing w:after="160"/>
      </w:pPr>
      <w:r>
        <w:t>TCG implemented SAP for its core retail estate under the Retail Business Transformation programme, but the wholesale order-to-bill processes serving the FRTS buying group still run on legacy systems keyed on NSL and Retail Line. The NSL Retirement programme replaces this with FOP: API-first master data and ordering on the new Catalogue Item identifier, with JSONL file feeds over SFTP for transactional documents. FOP is built on the existing RBT master-data design, and the programme is explicit that the core design is not reopening.</w:t>
      </w:r>
    </w:p>
    <w:p w14:paraId="119F2F95" w14:textId="77777777" w:rsidR="00F87636" w:rsidRDefault="00000000">
      <w:pPr>
        <w:spacing w:after="160"/>
      </w:pPr>
      <w:r>
        <w:t>Drivers that shape this architecture:</w:t>
      </w:r>
    </w:p>
    <w:p w14:paraId="22F12865" w14:textId="77777777" w:rsidR="00F87636" w:rsidRDefault="00000000">
      <w:pPr>
        <w:pStyle w:val="ListParagraph"/>
        <w:numPr>
          <w:ilvl w:val="0"/>
          <w:numId w:val="2"/>
        </w:numPr>
        <w:spacing w:after="100"/>
      </w:pPr>
      <w:r>
        <w:rPr>
          <w:b/>
          <w:bCs/>
        </w:rPr>
        <w:t xml:space="preserve">A hard, supplier-enforced deadline. </w:t>
      </w:r>
      <w:r>
        <w:t>October 2027, aligned to DRS. Not regulatory in origin, but binding in practice through the BSA.</w:t>
      </w:r>
    </w:p>
    <w:p w14:paraId="18A76630" w14:textId="77777777" w:rsidR="00F87636" w:rsidRDefault="00000000">
      <w:pPr>
        <w:pStyle w:val="ListParagraph"/>
        <w:numPr>
          <w:ilvl w:val="0"/>
          <w:numId w:val="2"/>
        </w:numPr>
        <w:spacing w:after="100"/>
      </w:pPr>
      <w:r>
        <w:rPr>
          <w:b/>
          <w:bCs/>
        </w:rPr>
        <w:t xml:space="preserve">Ten societies, one obligation, heterogeneous estates. </w:t>
      </w:r>
      <w:r>
        <w:t>Downstream landscapes range from SymphonyAI Gold and Unit4 to Excel-driven processes. The platform integrates with TCG once and absorbs per-subscriber variability at the edge, in packs and cells.</w:t>
      </w:r>
    </w:p>
    <w:p w14:paraId="6907FB74" w14:textId="77777777" w:rsidR="00F87636" w:rsidRDefault="00000000">
      <w:pPr>
        <w:pStyle w:val="ListParagraph"/>
        <w:numPr>
          <w:ilvl w:val="0"/>
          <w:numId w:val="2"/>
        </w:numPr>
        <w:spacing w:after="100"/>
      </w:pPr>
      <w:r>
        <w:rPr>
          <w:b/>
          <w:bCs/>
        </w:rPr>
        <w:t xml:space="preserve">TCG masters the data. </w:t>
      </w:r>
      <w:r>
        <w:t>The ISM-side value is not transformation of TCG data — it is selection (which items a society ranges), enrichment (the keys and attributes their systems need), and reliable, observable delivery.</w:t>
      </w:r>
    </w:p>
    <w:p w14:paraId="72467DEF" w14:textId="77777777" w:rsidR="00F87636" w:rsidRDefault="00000000">
      <w:pPr>
        <w:pStyle w:val="ListParagraph"/>
        <w:numPr>
          <w:ilvl w:val="0"/>
          <w:numId w:val="2"/>
        </w:numPr>
        <w:spacing w:after="100"/>
      </w:pPr>
      <w:r>
        <w:rPr>
          <w:b/>
          <w:bCs/>
        </w:rPr>
        <w:t xml:space="preserve">A moving upstream contract. </w:t>
      </w:r>
      <w:r>
        <w:t>The FOP spec is at v0.4.0 with open ISM-community questions (cutover phasing, rejection notifications, rate limits). The design confines contract churn to one generated client package, and delivery starts against contract-faithful mocks because TCG dev endpoints are not expected until roughly week six.</w:t>
      </w:r>
    </w:p>
    <w:p w14:paraId="155A3024" w14:textId="77777777" w:rsidR="00F87636" w:rsidRDefault="00000000">
      <w:pPr>
        <w:pStyle w:val="ListParagraph"/>
        <w:numPr>
          <w:ilvl w:val="0"/>
          <w:numId w:val="2"/>
        </w:numPr>
        <w:spacing w:after="100"/>
      </w:pPr>
      <w:r>
        <w:rPr>
          <w:b/>
          <w:bCs/>
        </w:rPr>
        <w:t xml:space="preserve">A fully agentic delivery. </w:t>
      </w:r>
      <w:r>
        <w:t>The team drives AI agents from shared context; humans gate. The architecture is therefore selected for agent build-and-operate efficiency — the D-principles of section 5 — subject to the unchanged business requirement.</w:t>
      </w:r>
    </w:p>
    <w:p w14:paraId="3FF5815C" w14:textId="77777777" w:rsidR="00F87636" w:rsidRDefault="00000000">
      <w:pPr>
        <w:pStyle w:val="Heading1"/>
        <w:spacing w:before="360" w:after="200"/>
      </w:pPr>
      <w:bookmarkStart w:id="9" w:name="_Toc239760062"/>
      <w:r>
        <w:rPr>
          <w:b/>
          <w:bCs/>
          <w:color w:val="0F172A"/>
        </w:rPr>
        <w:t>5  Principles (binding)</w:t>
      </w:r>
      <w:bookmarkEnd w:id="9"/>
    </w:p>
    <w:p w14:paraId="48708DAC" w14:textId="77777777" w:rsidR="00F87636" w:rsidRDefault="00000000">
      <w:pPr>
        <w:spacing w:after="160"/>
      </w:pPr>
      <w:r>
        <w:t>Two principle sets bind every design and every pull request. The platform principles (P) govern what the product is; the agent-first design principles (D) govern how it is shaped for an agentic delivery. Changing any principle requires an ADR with EA approval. The delivery principles A1–A7 (how the team works its agents) live in the driving brief.</w:t>
      </w:r>
    </w:p>
    <w:p w14:paraId="20F7E4DD" w14:textId="77777777" w:rsidR="00F87636" w:rsidRDefault="00000000">
      <w:pPr>
        <w:pStyle w:val="Heading2"/>
        <w:spacing w:before="280" w:after="160"/>
      </w:pPr>
      <w:bookmarkStart w:id="10" w:name="_Toc239760063"/>
      <w:r>
        <w:rPr>
          <w:b/>
          <w:bCs/>
          <w:color w:val="1D4ED8"/>
        </w:rPr>
        <w:t>5.1  Platform principles</w:t>
      </w:r>
      <w:bookmarkEnd w:id="1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5700"/>
      </w:tblGrid>
      <w:tr w:rsidR="00F87636" w14:paraId="5BBEAF49" w14:textId="77777777">
        <w:tblPrEx>
          <w:tblCellMar>
            <w:top w:w="0" w:type="dxa"/>
            <w:bottom w:w="0" w:type="dxa"/>
          </w:tblCellMar>
        </w:tblPrEx>
        <w:trPr>
          <w:cantSplit/>
          <w:tblHeader/>
        </w:trPr>
        <w:tc>
          <w:tcPr>
            <w:tcW w:w="7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6113C2E8" w14:textId="77777777" w:rsidR="00F87636" w:rsidRDefault="00000000">
            <w:pPr>
              <w:spacing w:after="20"/>
            </w:pPr>
            <w:r>
              <w:rPr>
                <w:b/>
                <w:bCs/>
                <w:color w:val="FFFFFF"/>
                <w:sz w:val="20"/>
                <w:szCs w:val="20"/>
              </w:rPr>
              <w:t>Ref</w:t>
            </w:r>
          </w:p>
        </w:tc>
        <w:tc>
          <w:tcPr>
            <w:tcW w:w="29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E292934" w14:textId="77777777" w:rsidR="00F87636" w:rsidRDefault="00000000">
            <w:pPr>
              <w:spacing w:after="20"/>
            </w:pPr>
            <w:r>
              <w:rPr>
                <w:b/>
                <w:bCs/>
                <w:color w:val="FFFFFF"/>
                <w:sz w:val="20"/>
                <w:szCs w:val="20"/>
              </w:rPr>
              <w:t>Principle</w:t>
            </w:r>
          </w:p>
        </w:tc>
        <w:tc>
          <w:tcPr>
            <w:tcW w:w="57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1C1E9173" w14:textId="77777777" w:rsidR="00F87636" w:rsidRDefault="00000000">
            <w:pPr>
              <w:spacing w:after="20"/>
            </w:pPr>
            <w:r>
              <w:rPr>
                <w:b/>
                <w:bCs/>
                <w:color w:val="FFFFFF"/>
                <w:sz w:val="20"/>
                <w:szCs w:val="20"/>
              </w:rPr>
              <w:t>Practical test</w:t>
            </w:r>
          </w:p>
        </w:tc>
      </w:tr>
      <w:tr w:rsidR="00F87636" w14:paraId="0C05B67E"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D575A70" w14:textId="77777777" w:rsidR="00F87636" w:rsidRDefault="00000000">
            <w:pPr>
              <w:spacing w:after="20"/>
            </w:pPr>
            <w:r>
              <w:rPr>
                <w:sz w:val="19"/>
                <w:szCs w:val="19"/>
              </w:rPr>
              <w:t>P1</w:t>
            </w:r>
          </w:p>
        </w:tc>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B354923" w14:textId="77777777" w:rsidR="00F87636" w:rsidRDefault="00000000">
            <w:pPr>
              <w:spacing w:after="20"/>
            </w:pPr>
            <w:r>
              <w:rPr>
                <w:sz w:val="19"/>
                <w:szCs w:val="19"/>
              </w:rPr>
              <w:t>Platform, not projects</w:t>
            </w:r>
          </w:p>
        </w:tc>
        <w:tc>
          <w:tcPr>
            <w:tcW w:w="5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643A460" w14:textId="77777777" w:rsidR="00F87636" w:rsidRDefault="00000000">
            <w:pPr>
              <w:spacing w:after="20"/>
            </w:pPr>
            <w:r>
              <w:rPr>
                <w:sz w:val="19"/>
                <w:szCs w:val="19"/>
              </w:rPr>
              <w:t>If a change can only be met by forking behaviour for one society, the design is wrong. Variability goes to packs, cell manifests, subscription data and configuration — never code branches.</w:t>
            </w:r>
          </w:p>
        </w:tc>
      </w:tr>
      <w:tr w:rsidR="00F87636" w14:paraId="5286E1F3"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236BB6A" w14:textId="77777777" w:rsidR="00F87636" w:rsidRDefault="00000000">
            <w:pPr>
              <w:spacing w:after="20"/>
            </w:pPr>
            <w:r>
              <w:rPr>
                <w:sz w:val="19"/>
                <w:szCs w:val="19"/>
              </w:rPr>
              <w:t>P2</w:t>
            </w:r>
          </w:p>
        </w:tc>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8C0C1D4" w14:textId="77777777" w:rsidR="00F87636" w:rsidRDefault="00000000">
            <w:pPr>
              <w:spacing w:after="20"/>
            </w:pPr>
            <w:r>
              <w:rPr>
                <w:sz w:val="19"/>
                <w:szCs w:val="19"/>
              </w:rPr>
              <w:t>Upstream truth is upstream truth</w:t>
            </w:r>
          </w:p>
        </w:tc>
        <w:tc>
          <w:tcPr>
            <w:tcW w:w="5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5D8A035" w14:textId="77777777" w:rsidR="00F87636" w:rsidRDefault="00000000">
            <w:pPr>
              <w:spacing w:after="20"/>
            </w:pPr>
            <w:r>
              <w:rPr>
                <w:sz w:val="19"/>
                <w:szCs w:val="19"/>
              </w:rPr>
              <w:t>Canonical tables are written only by tcg-service's validated upsert path. The overlay references canonical rows by key and never modifies them. Any other write into canonical is a defect.</w:t>
            </w:r>
          </w:p>
        </w:tc>
      </w:tr>
      <w:tr w:rsidR="00F87636" w14:paraId="4F6A4246"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B97192C" w14:textId="77777777" w:rsidR="00F87636" w:rsidRDefault="00000000">
            <w:pPr>
              <w:spacing w:after="20"/>
            </w:pPr>
            <w:r>
              <w:rPr>
                <w:sz w:val="19"/>
                <w:szCs w:val="19"/>
              </w:rPr>
              <w:t>P3</w:t>
            </w:r>
          </w:p>
        </w:tc>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EAD640F" w14:textId="77777777" w:rsidR="00F87636" w:rsidRDefault="00000000">
            <w:pPr>
              <w:spacing w:after="20"/>
            </w:pPr>
            <w:r>
              <w:rPr>
                <w:sz w:val="19"/>
                <w:szCs w:val="19"/>
              </w:rPr>
              <w:t>One way in, one way out</w:t>
            </w:r>
          </w:p>
        </w:tc>
        <w:tc>
          <w:tcPr>
            <w:tcW w:w="5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CE45A55" w14:textId="77777777" w:rsidR="00F87636" w:rsidRDefault="00000000">
            <w:pPr>
              <w:spacing w:after="20"/>
            </w:pPr>
            <w:r>
              <w:rPr>
                <w:sz w:val="19"/>
                <w:szCs w:val="19"/>
              </w:rPr>
              <w:t>API and SFTP inbound converge on the same canonical events. Every ISM-side interface — outbound or inbound — is a pack with the same lifecycle, receipts and observability. No side-channels.</w:t>
            </w:r>
          </w:p>
        </w:tc>
      </w:tr>
      <w:tr w:rsidR="00F87636" w14:paraId="32535B55"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A7D57A3" w14:textId="77777777" w:rsidR="00F87636" w:rsidRDefault="00000000">
            <w:pPr>
              <w:spacing w:after="20"/>
            </w:pPr>
            <w:r>
              <w:rPr>
                <w:sz w:val="19"/>
                <w:szCs w:val="19"/>
              </w:rPr>
              <w:t>P4</w:t>
            </w:r>
          </w:p>
        </w:tc>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597EABE" w14:textId="77777777" w:rsidR="00F87636" w:rsidRDefault="00000000">
            <w:pPr>
              <w:spacing w:after="20"/>
            </w:pPr>
            <w:r>
              <w:rPr>
                <w:sz w:val="19"/>
                <w:szCs w:val="19"/>
              </w:rPr>
              <w:t>Nothing leaves without a decision</w:t>
            </w:r>
          </w:p>
        </w:tc>
        <w:tc>
          <w:tcPr>
            <w:tcW w:w="5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01575C1" w14:textId="77777777" w:rsidR="00F87636" w:rsidRDefault="00000000">
            <w:pPr>
              <w:spacing w:after="20"/>
            </w:pPr>
            <w:r>
              <w:rPr>
                <w:sz w:val="19"/>
                <w:szCs w:val="19"/>
              </w:rPr>
              <w:t>Data exits only after a deliberate human or signed-off rule-based decision recorded in audit. Automation prepares; it does not approve.</w:t>
            </w:r>
          </w:p>
        </w:tc>
      </w:tr>
      <w:tr w:rsidR="00F87636" w14:paraId="7B423C44"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2E3AD23" w14:textId="77777777" w:rsidR="00F87636" w:rsidRDefault="00000000">
            <w:pPr>
              <w:spacing w:after="20"/>
            </w:pPr>
            <w:r>
              <w:rPr>
                <w:sz w:val="19"/>
                <w:szCs w:val="19"/>
              </w:rPr>
              <w:t>P5</w:t>
            </w:r>
          </w:p>
        </w:tc>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375E8B7" w14:textId="77777777" w:rsidR="00F87636" w:rsidRDefault="00000000">
            <w:pPr>
              <w:spacing w:after="20"/>
            </w:pPr>
            <w:r>
              <w:rPr>
                <w:sz w:val="19"/>
                <w:szCs w:val="19"/>
              </w:rPr>
              <w:t>Advisory, never authoritative, on price</w:t>
            </w:r>
          </w:p>
        </w:tc>
        <w:tc>
          <w:tcPr>
            <w:tcW w:w="5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D6D7585" w14:textId="77777777" w:rsidR="00F87636" w:rsidRDefault="00000000">
            <w:pPr>
              <w:spacing w:after="20"/>
            </w:pPr>
            <w:r>
              <w:rPr>
                <w:sz w:val="19"/>
                <w:szCs w:val="19"/>
              </w:rPr>
              <w:t>TCG cost and promotion data is surveilled and surfaced. The platform never writes a consumer-facing retail price.</w:t>
            </w:r>
          </w:p>
        </w:tc>
      </w:tr>
      <w:tr w:rsidR="00F87636" w14:paraId="4E5D40AB"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70EEB73" w14:textId="77777777" w:rsidR="00F87636" w:rsidRDefault="00000000">
            <w:pPr>
              <w:spacing w:after="20"/>
            </w:pPr>
            <w:r>
              <w:rPr>
                <w:sz w:val="19"/>
                <w:szCs w:val="19"/>
              </w:rPr>
              <w:lastRenderedPageBreak/>
              <w:t>P6</w:t>
            </w:r>
          </w:p>
        </w:tc>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26B603C" w14:textId="77777777" w:rsidR="00F87636" w:rsidRDefault="00000000">
            <w:pPr>
              <w:spacing w:after="20"/>
            </w:pPr>
            <w:r>
              <w:rPr>
                <w:sz w:val="19"/>
                <w:szCs w:val="19"/>
              </w:rPr>
              <w:t>Relay, not order management</w:t>
            </w:r>
          </w:p>
        </w:tc>
        <w:tc>
          <w:tcPr>
            <w:tcW w:w="5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C57C63E" w14:textId="77777777" w:rsidR="00F87636" w:rsidRDefault="00000000">
            <w:pPr>
              <w:spacing w:after="20"/>
            </w:pPr>
            <w:r>
              <w:rPr>
                <w:sz w:val="19"/>
                <w:szCs w:val="19"/>
              </w:rPr>
              <w:t>Sales orders are validated, transformed and relayed with idempotency. No order composition, amendment or lifecycle screens.</w:t>
            </w:r>
          </w:p>
        </w:tc>
      </w:tr>
      <w:tr w:rsidR="00F87636" w14:paraId="4267F1DE"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A86BB9B" w14:textId="77777777" w:rsidR="00F87636" w:rsidRDefault="00000000">
            <w:pPr>
              <w:spacing w:after="20"/>
            </w:pPr>
            <w:r>
              <w:rPr>
                <w:sz w:val="19"/>
                <w:szCs w:val="19"/>
              </w:rPr>
              <w:t>P7</w:t>
            </w:r>
          </w:p>
        </w:tc>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DD82131" w14:textId="77777777" w:rsidR="00F87636" w:rsidRDefault="00000000">
            <w:pPr>
              <w:spacing w:after="20"/>
            </w:pPr>
            <w:r>
              <w:rPr>
                <w:sz w:val="19"/>
                <w:szCs w:val="19"/>
              </w:rPr>
              <w:t>One platform; isolation in data and cells, never in code</w:t>
            </w:r>
          </w:p>
        </w:tc>
        <w:tc>
          <w:tcPr>
            <w:tcW w:w="5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77E469D" w14:textId="77777777" w:rsidR="00F87636" w:rsidRDefault="00000000">
            <w:pPr>
              <w:spacing w:after="20"/>
            </w:pPr>
            <w:r>
              <w:rPr>
                <w:sz w:val="19"/>
                <w:szCs w:val="19"/>
              </w:rPr>
              <w:t>One codebase, one data plane. Subscriber isolation is enforced by the cell (process, credentials, DB role) and by row-level security beneath it — never by per-tenant code or stacks.</w:t>
            </w:r>
          </w:p>
        </w:tc>
      </w:tr>
      <w:tr w:rsidR="00F87636" w14:paraId="0551D54E"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8B69CCE" w14:textId="77777777" w:rsidR="00F87636" w:rsidRDefault="00000000">
            <w:pPr>
              <w:spacing w:after="20"/>
            </w:pPr>
            <w:r>
              <w:rPr>
                <w:sz w:val="19"/>
                <w:szCs w:val="19"/>
              </w:rPr>
              <w:t>P8</w:t>
            </w:r>
          </w:p>
        </w:tc>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0AA456F" w14:textId="77777777" w:rsidR="00F87636" w:rsidRDefault="00000000">
            <w:pPr>
              <w:spacing w:after="20"/>
            </w:pPr>
            <w:r>
              <w:rPr>
                <w:sz w:val="19"/>
                <w:szCs w:val="19"/>
              </w:rPr>
              <w:t>Everything is code, everything is observable</w:t>
            </w:r>
          </w:p>
        </w:tc>
        <w:tc>
          <w:tcPr>
            <w:tcW w:w="5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F366873" w14:textId="77777777" w:rsidR="00F87636" w:rsidRDefault="00000000">
            <w:pPr>
              <w:spacing w:after="20"/>
            </w:pPr>
            <w:r>
              <w:rPr>
                <w:sz w:val="19"/>
                <w:szCs w:val="19"/>
              </w:rPr>
              <w:t>If it was clicked into existence in a portal, it does not exist. Every flow can answer 'where is my record?'.</w:t>
            </w:r>
          </w:p>
        </w:tc>
      </w:tr>
    </w:tbl>
    <w:p w14:paraId="2F70C1EE" w14:textId="77777777" w:rsidR="00F87636" w:rsidRDefault="00000000">
      <w:pPr>
        <w:pStyle w:val="Heading2"/>
        <w:spacing w:before="280" w:after="160"/>
      </w:pPr>
      <w:bookmarkStart w:id="11" w:name="_Toc239760064"/>
      <w:r>
        <w:rPr>
          <w:b/>
          <w:bCs/>
          <w:color w:val="1D4ED8"/>
        </w:rPr>
        <w:t>5.2  Agent-first design principles</w:t>
      </w:r>
      <w:bookmarkEnd w:id="1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5700"/>
      </w:tblGrid>
      <w:tr w:rsidR="00F87636" w14:paraId="3D6448CE" w14:textId="77777777">
        <w:tblPrEx>
          <w:tblCellMar>
            <w:top w:w="0" w:type="dxa"/>
            <w:bottom w:w="0" w:type="dxa"/>
          </w:tblCellMar>
        </w:tblPrEx>
        <w:trPr>
          <w:cantSplit/>
          <w:tblHeader/>
        </w:trPr>
        <w:tc>
          <w:tcPr>
            <w:tcW w:w="7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13CC8637" w14:textId="77777777" w:rsidR="00F87636" w:rsidRDefault="00000000">
            <w:pPr>
              <w:spacing w:after="20"/>
            </w:pPr>
            <w:r>
              <w:rPr>
                <w:b/>
                <w:bCs/>
                <w:color w:val="FFFFFF"/>
                <w:sz w:val="20"/>
                <w:szCs w:val="20"/>
              </w:rPr>
              <w:t>Ref</w:t>
            </w:r>
          </w:p>
        </w:tc>
        <w:tc>
          <w:tcPr>
            <w:tcW w:w="29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2845B766" w14:textId="77777777" w:rsidR="00F87636" w:rsidRDefault="00000000">
            <w:pPr>
              <w:spacing w:after="20"/>
            </w:pPr>
            <w:r>
              <w:rPr>
                <w:b/>
                <w:bCs/>
                <w:color w:val="FFFFFF"/>
                <w:sz w:val="20"/>
                <w:szCs w:val="20"/>
              </w:rPr>
              <w:t>Principle</w:t>
            </w:r>
          </w:p>
        </w:tc>
        <w:tc>
          <w:tcPr>
            <w:tcW w:w="57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159983DC" w14:textId="77777777" w:rsidR="00F87636" w:rsidRDefault="00000000">
            <w:pPr>
              <w:spacing w:after="20"/>
            </w:pPr>
            <w:r>
              <w:rPr>
                <w:b/>
                <w:bCs/>
                <w:color w:val="FFFFFF"/>
                <w:sz w:val="20"/>
                <w:szCs w:val="20"/>
              </w:rPr>
              <w:t>Practical test</w:t>
            </w:r>
          </w:p>
        </w:tc>
      </w:tr>
      <w:tr w:rsidR="00F87636" w14:paraId="253A4727"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B49D9AB" w14:textId="77777777" w:rsidR="00F87636" w:rsidRDefault="00000000">
            <w:pPr>
              <w:spacing w:after="20"/>
            </w:pPr>
            <w:r>
              <w:rPr>
                <w:sz w:val="19"/>
                <w:szCs w:val="19"/>
              </w:rPr>
              <w:t>D1</w:t>
            </w:r>
          </w:p>
        </w:tc>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B305A92" w14:textId="77777777" w:rsidR="00F87636" w:rsidRDefault="00000000">
            <w:pPr>
              <w:spacing w:after="20"/>
            </w:pPr>
            <w:r>
              <w:rPr>
                <w:sz w:val="19"/>
                <w:szCs w:val="19"/>
              </w:rPr>
              <w:t>Everything is text in git</w:t>
            </w:r>
          </w:p>
        </w:tc>
        <w:tc>
          <w:tcPr>
            <w:tcW w:w="5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90F90FF" w14:textId="77777777" w:rsidR="00F87636" w:rsidRDefault="00000000">
            <w:pPr>
              <w:spacing w:after="20"/>
            </w:pPr>
            <w:r>
              <w:rPr>
                <w:sz w:val="19"/>
                <w:szCs w:val="19"/>
              </w:rPr>
              <w:t>Code, schema, config, infra, seeds, tests, docs, runbooks. Behaviour that lives in a portal, designer canvas or vendor console does not exist.</w:t>
            </w:r>
          </w:p>
        </w:tc>
      </w:tr>
      <w:tr w:rsidR="00F87636" w14:paraId="7DB1CDBA"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7C865B4" w14:textId="77777777" w:rsidR="00F87636" w:rsidRDefault="00000000">
            <w:pPr>
              <w:spacing w:after="20"/>
            </w:pPr>
            <w:r>
              <w:rPr>
                <w:sz w:val="19"/>
                <w:szCs w:val="19"/>
              </w:rPr>
              <w:t>D2</w:t>
            </w:r>
          </w:p>
        </w:tc>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DF28F9E" w14:textId="77777777" w:rsidR="00F87636" w:rsidRDefault="00000000">
            <w:pPr>
              <w:spacing w:after="20"/>
            </w:pPr>
            <w:r>
              <w:rPr>
                <w:sz w:val="19"/>
                <w:szCs w:val="19"/>
              </w:rPr>
              <w:t>The whole platform runs locally</w:t>
            </w:r>
          </w:p>
        </w:tc>
        <w:tc>
          <w:tcPr>
            <w:tcW w:w="5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D7C8974" w14:textId="77777777" w:rsidR="00F87636" w:rsidRDefault="00000000">
            <w:pPr>
              <w:spacing w:after="20"/>
            </w:pPr>
            <w:r>
              <w:rPr>
                <w:sz w:val="19"/>
                <w:szCs w:val="19"/>
              </w:rPr>
              <w:t>docker compose boots database, workflow engine, object store, FOP mock, SFTP mock, graph and two synthetic subscriber cells. A feature that cannot run and be tested there is rejected at design time.</w:t>
            </w:r>
          </w:p>
        </w:tc>
      </w:tr>
      <w:tr w:rsidR="00F87636" w14:paraId="28B97C28"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92E4751" w14:textId="77777777" w:rsidR="00F87636" w:rsidRDefault="00000000">
            <w:pPr>
              <w:spacing w:after="20"/>
            </w:pPr>
            <w:r>
              <w:rPr>
                <w:sz w:val="19"/>
                <w:szCs w:val="19"/>
              </w:rPr>
              <w:t>D3</w:t>
            </w:r>
          </w:p>
        </w:tc>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F72B3E2" w14:textId="77777777" w:rsidR="00F87636" w:rsidRDefault="00000000">
            <w:pPr>
              <w:spacing w:after="20"/>
            </w:pPr>
            <w:r>
              <w:rPr>
                <w:sz w:val="19"/>
                <w:szCs w:val="19"/>
              </w:rPr>
              <w:t>Boring, deeply-documented technology</w:t>
            </w:r>
          </w:p>
        </w:tc>
        <w:tc>
          <w:tcPr>
            <w:tcW w:w="5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E6BCD8E" w14:textId="77777777" w:rsidR="00F87636" w:rsidRDefault="00000000">
            <w:pPr>
              <w:spacing w:after="20"/>
            </w:pPr>
            <w:r>
              <w:rPr>
                <w:sz w:val="19"/>
                <w:szCs w:val="19"/>
              </w:rPr>
              <w:t>Choose what the models know best: Go, PostgreSQL, React, OpenAPI, Terraform. Novelty buys its way in by ADR — Temporal is the one admitted exception (KDD-11).</w:t>
            </w:r>
          </w:p>
        </w:tc>
      </w:tr>
      <w:tr w:rsidR="00F87636" w14:paraId="534C3B7B"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EDCCD84" w14:textId="77777777" w:rsidR="00F87636" w:rsidRDefault="00000000">
            <w:pPr>
              <w:spacing w:after="20"/>
            </w:pPr>
            <w:r>
              <w:rPr>
                <w:sz w:val="19"/>
                <w:szCs w:val="19"/>
              </w:rPr>
              <w:t>D4</w:t>
            </w:r>
          </w:p>
        </w:tc>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7C529A1" w14:textId="77777777" w:rsidR="00F87636" w:rsidRDefault="00000000">
            <w:pPr>
              <w:spacing w:after="20"/>
            </w:pPr>
            <w:r>
              <w:rPr>
                <w:sz w:val="19"/>
                <w:szCs w:val="19"/>
              </w:rPr>
              <w:t>Schema-first with codegen</w:t>
            </w:r>
          </w:p>
        </w:tc>
        <w:tc>
          <w:tcPr>
            <w:tcW w:w="5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1DAD5E3" w14:textId="77777777" w:rsidR="00F87636" w:rsidRDefault="00000000">
            <w:pPr>
              <w:spacing w:after="20"/>
            </w:pPr>
            <w:r>
              <w:rPr>
                <w:sz w:val="19"/>
                <w:szCs w:val="19"/>
              </w:rPr>
              <w:t>The FOP OAS and data dictionary generate the client and validation structs; the BFF OAS generates the SPA's TypeScript client. Contract drift is a compile error, not a production incident.</w:t>
            </w:r>
          </w:p>
        </w:tc>
      </w:tr>
      <w:tr w:rsidR="00F87636" w14:paraId="5DC1778F"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E92CB9B" w14:textId="77777777" w:rsidR="00F87636" w:rsidRDefault="00000000">
            <w:pPr>
              <w:spacing w:after="20"/>
            </w:pPr>
            <w:r>
              <w:rPr>
                <w:sz w:val="19"/>
                <w:szCs w:val="19"/>
              </w:rPr>
              <w:t>D5</w:t>
            </w:r>
          </w:p>
        </w:tc>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099BEB1" w14:textId="77777777" w:rsidR="00F87636" w:rsidRDefault="00000000">
            <w:pPr>
              <w:spacing w:after="20"/>
            </w:pPr>
            <w:r>
              <w:rPr>
                <w:sz w:val="19"/>
                <w:szCs w:val="19"/>
              </w:rPr>
              <w:t>Deterministic oracles define done</w:t>
            </w:r>
          </w:p>
        </w:tc>
        <w:tc>
          <w:tcPr>
            <w:tcW w:w="5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5356DC9" w14:textId="77777777" w:rsidR="00F87636" w:rsidRDefault="00000000">
            <w:pPr>
              <w:spacing w:after="20"/>
            </w:pPr>
            <w:r>
              <w:rPr>
                <w:sz w:val="19"/>
                <w:szCs w:val="19"/>
              </w:rPr>
              <w:t>Unit, golden-file, contract, isolation and E2E suites are the acceptance criteria of every spec. An agent's work is finished when the oracles say so, not when the diff looks plausible.</w:t>
            </w:r>
          </w:p>
        </w:tc>
      </w:tr>
      <w:tr w:rsidR="00F87636" w14:paraId="40049CCA"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21483FC" w14:textId="77777777" w:rsidR="00F87636" w:rsidRDefault="00000000">
            <w:pPr>
              <w:spacing w:after="20"/>
            </w:pPr>
            <w:r>
              <w:rPr>
                <w:sz w:val="19"/>
                <w:szCs w:val="19"/>
              </w:rPr>
              <w:t>D6</w:t>
            </w:r>
          </w:p>
        </w:tc>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8184EFC" w14:textId="77777777" w:rsidR="00F87636" w:rsidRDefault="00000000">
            <w:pPr>
              <w:spacing w:after="20"/>
            </w:pPr>
            <w:r>
              <w:rPr>
                <w:sz w:val="19"/>
                <w:szCs w:val="19"/>
              </w:rPr>
              <w:t>One language per side of the BFF</w:t>
            </w:r>
          </w:p>
        </w:tc>
        <w:tc>
          <w:tcPr>
            <w:tcW w:w="5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79AFDB9" w14:textId="77777777" w:rsidR="00F87636" w:rsidRDefault="00000000">
            <w:pPr>
              <w:spacing w:after="20"/>
            </w:pPr>
            <w:r>
              <w:rPr>
                <w:sz w:val="19"/>
                <w:szCs w:val="19"/>
              </w:rPr>
              <w:t>Go everywhere behind it; TypeScript only in the SPA, its client generated from the BFF's OpenAPI. The seam is codegen, never hand-kept types.</w:t>
            </w:r>
          </w:p>
        </w:tc>
      </w:tr>
      <w:tr w:rsidR="00F87636" w14:paraId="29F60CD3"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BFFD185" w14:textId="77777777" w:rsidR="00F87636" w:rsidRDefault="00000000">
            <w:pPr>
              <w:spacing w:after="20"/>
            </w:pPr>
            <w:r>
              <w:rPr>
                <w:sz w:val="19"/>
                <w:szCs w:val="19"/>
              </w:rPr>
              <w:t>D7</w:t>
            </w:r>
          </w:p>
        </w:tc>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0159083" w14:textId="77777777" w:rsidR="00F87636" w:rsidRDefault="00000000">
            <w:pPr>
              <w:spacing w:after="20"/>
            </w:pPr>
            <w:r>
              <w:rPr>
                <w:sz w:val="19"/>
                <w:szCs w:val="19"/>
              </w:rPr>
              <w:t>Modular manifold over monolith or mesh</w:t>
            </w:r>
          </w:p>
        </w:tc>
        <w:tc>
          <w:tcPr>
            <w:tcW w:w="5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655F073" w14:textId="77777777" w:rsidR="00F87636" w:rsidRDefault="00000000">
            <w:pPr>
              <w:spacing w:after="20"/>
            </w:pPr>
            <w:r>
              <w:rPr>
                <w:sz w:val="19"/>
                <w:szCs w:val="19"/>
              </w:rPr>
              <w:t>Few services, no synchronous service-to-service calls, coordination through Postgres and Temporal only. The schema is the contract; there is no RPC topology to mis-reason about.</w:t>
            </w:r>
          </w:p>
        </w:tc>
      </w:tr>
      <w:tr w:rsidR="00F87636" w14:paraId="2AE804FE"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F56B219" w14:textId="77777777" w:rsidR="00F87636" w:rsidRDefault="00000000">
            <w:pPr>
              <w:spacing w:after="20"/>
            </w:pPr>
            <w:r>
              <w:rPr>
                <w:sz w:val="19"/>
                <w:szCs w:val="19"/>
              </w:rPr>
              <w:t>D8</w:t>
            </w:r>
          </w:p>
        </w:tc>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BFB52CF" w14:textId="77777777" w:rsidR="00F87636" w:rsidRDefault="00000000">
            <w:pPr>
              <w:spacing w:after="20"/>
            </w:pPr>
            <w:r>
              <w:rPr>
                <w:sz w:val="19"/>
                <w:szCs w:val="19"/>
              </w:rPr>
              <w:t>Observability as text</w:t>
            </w:r>
          </w:p>
        </w:tc>
        <w:tc>
          <w:tcPr>
            <w:tcW w:w="5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3A48DFE" w14:textId="77777777" w:rsidR="00F87636" w:rsidRDefault="00000000">
            <w:pPr>
              <w:spacing w:after="20"/>
            </w:pPr>
            <w:r>
              <w:rPr>
                <w:sz w:val="19"/>
                <w:szCs w:val="19"/>
              </w:rPr>
              <w:t>Structured logs, OpenTelemetry traces and Temporal execution histories answer 'where is my record?' from a terminal — the same interface agents debug through.</w:t>
            </w:r>
          </w:p>
        </w:tc>
      </w:tr>
      <w:tr w:rsidR="00F87636" w14:paraId="4F87720A" w14:textId="77777777">
        <w:tblPrEx>
          <w:tblCellMar>
            <w:top w:w="0" w:type="dxa"/>
            <w:bottom w:w="0" w:type="dxa"/>
          </w:tblCellMar>
        </w:tblPrEx>
        <w:trPr>
          <w:cantSplit/>
        </w:trPr>
        <w:tc>
          <w:tcPr>
            <w:tcW w:w="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2145533" w14:textId="77777777" w:rsidR="00F87636" w:rsidRDefault="00000000">
            <w:pPr>
              <w:spacing w:after="20"/>
            </w:pPr>
            <w:r>
              <w:rPr>
                <w:sz w:val="19"/>
                <w:szCs w:val="19"/>
              </w:rPr>
              <w:t>D9</w:t>
            </w:r>
          </w:p>
        </w:tc>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1153F9A" w14:textId="77777777" w:rsidR="00F87636" w:rsidRDefault="00000000">
            <w:pPr>
              <w:spacing w:after="20"/>
            </w:pPr>
            <w:r>
              <w:rPr>
                <w:sz w:val="19"/>
                <w:szCs w:val="19"/>
              </w:rPr>
              <w:t>Derived knowledge, never curated</w:t>
            </w:r>
          </w:p>
        </w:tc>
        <w:tc>
          <w:tcPr>
            <w:tcW w:w="5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735A1A8" w14:textId="77777777" w:rsidR="00F87636" w:rsidRDefault="00000000">
            <w:pPr>
              <w:spacing w:after="20"/>
            </w:pPr>
            <w:r>
              <w:rPr>
                <w:sz w:val="19"/>
                <w:szCs w:val="19"/>
              </w:rPr>
              <w:t>Any machine-readable index of the codebase — the knowledge graph above all — is regenerated from source by CI, stamped with the commit SHA, and read-only. Hand-edited indexes are forbidden: a stale index lies to agents with confidence.</w:t>
            </w:r>
          </w:p>
        </w:tc>
      </w:tr>
    </w:tbl>
    <w:p w14:paraId="1A2EBDF8" w14:textId="77777777" w:rsidR="00F87636" w:rsidRDefault="00000000">
      <w:pPr>
        <w:pStyle w:val="Heading1"/>
        <w:spacing w:before="360" w:after="200"/>
      </w:pPr>
      <w:bookmarkStart w:id="12" w:name="_Toc239760065"/>
      <w:r>
        <w:rPr>
          <w:b/>
          <w:bCs/>
          <w:color w:val="0F172A"/>
        </w:rPr>
        <w:t>6  Architecture Overview</w:t>
      </w:r>
      <w:bookmarkEnd w:id="12"/>
    </w:p>
    <w:p w14:paraId="0E3A841A" w14:textId="77777777" w:rsidR="00F87636" w:rsidRDefault="00000000">
      <w:pPr>
        <w:spacing w:after="160"/>
      </w:pPr>
      <w:r>
        <w:t>At system-context level the platform sits between TCG/FRTS and the subscriber estate. TCG integration happens exactly once, in one place. Subscribers interact in two ways, both at the auth edge: their commercial users curate data through the web application, and their systems exchange data through their cell. UST operates everything in between.</w:t>
      </w:r>
    </w:p>
    <w:p w14:paraId="75EA84FA" w14:textId="77777777" w:rsidR="00F87636" w:rsidRDefault="00000000">
      <w:pPr>
        <w:spacing w:before="160" w:after="60"/>
        <w:jc w:val="center"/>
      </w:pPr>
      <w:r>
        <w:rPr>
          <w:noProof/>
        </w:rPr>
        <w:lastRenderedPageBreak/>
        <w:drawing>
          <wp:inline distT="0" distB="0" distL="0" distR="0" wp14:anchorId="3AB5EE94" wp14:editId="708E7B21">
            <wp:extent cx="59436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24225"/>
                    </a:xfrm>
                    <a:prstGeom prst="rect">
                      <a:avLst/>
                    </a:prstGeom>
                  </pic:spPr>
                </pic:pic>
              </a:graphicData>
            </a:graphic>
          </wp:inline>
        </w:drawing>
      </w:r>
    </w:p>
    <w:p w14:paraId="40FC591D" w14:textId="77777777" w:rsidR="00F87636" w:rsidRDefault="00000000">
      <w:pPr>
        <w:spacing w:after="220"/>
        <w:jc w:val="center"/>
      </w:pPr>
      <w:r>
        <w:rPr>
          <w:i/>
          <w:iCs/>
          <w:color w:val="64748B"/>
          <w:sz w:val="19"/>
          <w:szCs w:val="19"/>
        </w:rPr>
        <w:t>Figure 1 — System context: one multi-tenant platform between TCG/FRTS and the ISM subscriber estate.</w:t>
      </w:r>
    </w:p>
    <w:p w14:paraId="2BF395C3" w14:textId="77777777" w:rsidR="00F87636" w:rsidRDefault="00000000">
      <w:pPr>
        <w:spacing w:after="160"/>
      </w:pPr>
      <w:r>
        <w:t>Internally the platform is a manifold: three service kinds around a PostgreSQL hub, with Temporal carrying all asynchronous work. The two outer layers are party-aligned — the TCG Integration Layer owns every exchange with TCG in both directions, and the ISM Subscriber Layer owns every exchange with subscribers in both directions. 'Ingress' and 'egress' describe the direction of a flow on an interface, never a layer; the product name FRTS Ingress Platform is brand, not a layer.</w:t>
      </w:r>
    </w:p>
    <w:p w14:paraId="3AC526B8" w14:textId="77777777" w:rsidR="00F87636" w:rsidRDefault="00000000">
      <w:pPr>
        <w:spacing w:before="160" w:after="60"/>
        <w:jc w:val="center"/>
      </w:pPr>
      <w:r>
        <w:rPr>
          <w:noProof/>
        </w:rPr>
        <w:drawing>
          <wp:inline distT="0" distB="0" distL="0" distR="0" wp14:anchorId="25169940" wp14:editId="6F01F441">
            <wp:extent cx="5943600" cy="3429000"/>
            <wp:effectExtent l="0" t="0" r="0" b="0"/>
            <wp:docPr id="256990262" name="Picture 25699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429000"/>
                    </a:xfrm>
                    <a:prstGeom prst="rect">
                      <a:avLst/>
                    </a:prstGeom>
                  </pic:spPr>
                </pic:pic>
              </a:graphicData>
            </a:graphic>
          </wp:inline>
        </w:drawing>
      </w:r>
    </w:p>
    <w:p w14:paraId="386B2242" w14:textId="77777777" w:rsidR="00F87636" w:rsidRDefault="00000000">
      <w:pPr>
        <w:spacing w:after="220"/>
        <w:jc w:val="center"/>
      </w:pPr>
      <w:r>
        <w:rPr>
          <w:i/>
          <w:iCs/>
          <w:color w:val="64748B"/>
          <w:sz w:val="19"/>
          <w:szCs w:val="19"/>
        </w:rPr>
        <w:t>Figure 2 — The manifold: tcg-service, curation-bff + SPA, ism-service cells, Postgres hub, Temporal.</w:t>
      </w:r>
    </w:p>
    <w:p w14:paraId="010E0769" w14:textId="77777777" w:rsidR="00F87636" w:rsidRDefault="00000000">
      <w:pPr>
        <w:pStyle w:val="Heading2"/>
        <w:spacing w:before="280" w:after="160"/>
      </w:pPr>
      <w:bookmarkStart w:id="13" w:name="_Toc239760066"/>
      <w:r>
        <w:rPr>
          <w:b/>
          <w:bCs/>
          <w:color w:val="1D4ED8"/>
        </w:rPr>
        <w:t>6.1  Service catalogue</w:t>
      </w:r>
      <w:bookmarkEnd w:id="1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4400"/>
        <w:gridCol w:w="1800"/>
      </w:tblGrid>
      <w:tr w:rsidR="00F87636" w14:paraId="21B0BF3D" w14:textId="77777777">
        <w:tblPrEx>
          <w:tblCellMar>
            <w:top w:w="0" w:type="dxa"/>
            <w:bottom w:w="0" w:type="dxa"/>
          </w:tblCellMar>
        </w:tblPrEx>
        <w:trPr>
          <w:cantSplit/>
          <w:tblHeader/>
        </w:trPr>
        <w:tc>
          <w:tcPr>
            <w:tcW w:w="15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123EFAEC" w14:textId="77777777" w:rsidR="00F87636" w:rsidRDefault="00000000">
            <w:pPr>
              <w:spacing w:after="20"/>
            </w:pPr>
            <w:r>
              <w:rPr>
                <w:b/>
                <w:bCs/>
                <w:color w:val="FFFFFF"/>
                <w:sz w:val="20"/>
                <w:szCs w:val="20"/>
              </w:rPr>
              <w:lastRenderedPageBreak/>
              <w:t>Service</w:t>
            </w:r>
          </w:p>
        </w:tc>
        <w:tc>
          <w:tcPr>
            <w:tcW w:w="16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152CF6EC" w14:textId="77777777" w:rsidR="00F87636" w:rsidRDefault="00000000">
            <w:pPr>
              <w:spacing w:after="20"/>
            </w:pPr>
            <w:r>
              <w:rPr>
                <w:b/>
                <w:bCs/>
                <w:color w:val="FFFFFF"/>
                <w:sz w:val="20"/>
                <w:szCs w:val="20"/>
              </w:rPr>
              <w:t>Layer</w:t>
            </w:r>
          </w:p>
        </w:tc>
        <w:tc>
          <w:tcPr>
            <w:tcW w:w="44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90969C6" w14:textId="77777777" w:rsidR="00F87636" w:rsidRDefault="00000000">
            <w:pPr>
              <w:spacing w:after="20"/>
            </w:pPr>
            <w:r>
              <w:rPr>
                <w:b/>
                <w:bCs/>
                <w:color w:val="FFFFFF"/>
                <w:sz w:val="20"/>
                <w:szCs w:val="20"/>
              </w:rPr>
              <w:t>Responsibilities</w:t>
            </w:r>
          </w:p>
        </w:tc>
        <w:tc>
          <w:tcPr>
            <w:tcW w:w="18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92BD5A9" w14:textId="77777777" w:rsidR="00F87636" w:rsidRDefault="00000000">
            <w:pPr>
              <w:spacing w:after="20"/>
            </w:pPr>
            <w:r>
              <w:rPr>
                <w:b/>
                <w:bCs/>
                <w:color w:val="FFFFFF"/>
                <w:sz w:val="20"/>
                <w:szCs w:val="20"/>
              </w:rPr>
              <w:t>Instances</w:t>
            </w:r>
          </w:p>
        </w:tc>
      </w:tr>
      <w:tr w:rsidR="00F87636" w14:paraId="1AEB76BC" w14:textId="77777777">
        <w:tblPrEx>
          <w:tblCellMar>
            <w:top w:w="0" w:type="dxa"/>
            <w:bottom w:w="0" w:type="dxa"/>
          </w:tblCellMar>
        </w:tblPrEx>
        <w:trPr>
          <w:cantSplit/>
        </w:trPr>
        <w:tc>
          <w:tcPr>
            <w:tcW w:w="1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4A550F8" w14:textId="77777777" w:rsidR="00F87636" w:rsidRDefault="00000000">
            <w:pPr>
              <w:spacing w:after="20"/>
            </w:pPr>
            <w:r>
              <w:rPr>
                <w:sz w:val="19"/>
                <w:szCs w:val="19"/>
              </w:rPr>
              <w:t>tcg-service</w:t>
            </w:r>
          </w:p>
        </w:tc>
        <w:tc>
          <w:tcPr>
            <w:tcW w:w="1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51FEA59" w14:textId="77777777" w:rsidR="00F87636" w:rsidRDefault="00000000">
            <w:pPr>
              <w:spacing w:after="20"/>
            </w:pPr>
            <w:r>
              <w:rPr>
                <w:sz w:val="19"/>
                <w:szCs w:val="19"/>
              </w:rPr>
              <w:t>TCG Integration</w:t>
            </w:r>
          </w:p>
        </w:tc>
        <w:tc>
          <w:tcPr>
            <w:tcW w:w="4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46E3145" w14:textId="77777777" w:rsidR="00F87636" w:rsidRDefault="00000000">
            <w:pPr>
              <w:spacing w:after="20"/>
            </w:pPr>
            <w:r>
              <w:rPr>
                <w:sz w:val="19"/>
                <w:szCs w:val="19"/>
              </w:rPr>
              <w:t>Generated FOP client (token, partnerId, declared egress IP); concurrent entity pollers with watermarks and pagination; SFTP fetch; validation (conformance only); canonical upserts; sales order submission</w:t>
            </w:r>
          </w:p>
        </w:tc>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2651536" w14:textId="77777777" w:rsidR="00F87636" w:rsidRDefault="00000000">
            <w:pPr>
              <w:spacing w:after="20"/>
            </w:pPr>
            <w:r>
              <w:rPr>
                <w:sz w:val="19"/>
                <w:szCs w:val="19"/>
              </w:rPr>
              <w:t>1 (scaled vertically; pollers are goroutines)</w:t>
            </w:r>
          </w:p>
        </w:tc>
      </w:tr>
      <w:tr w:rsidR="00F87636" w14:paraId="65B9C3F0" w14:textId="77777777">
        <w:tblPrEx>
          <w:tblCellMar>
            <w:top w:w="0" w:type="dxa"/>
            <w:bottom w:w="0" w:type="dxa"/>
          </w:tblCellMar>
        </w:tblPrEx>
        <w:trPr>
          <w:cantSplit/>
        </w:trPr>
        <w:tc>
          <w:tcPr>
            <w:tcW w:w="1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636D406" w14:textId="77777777" w:rsidR="00F87636" w:rsidRDefault="00000000">
            <w:pPr>
              <w:spacing w:after="20"/>
            </w:pPr>
            <w:r>
              <w:rPr>
                <w:sz w:val="19"/>
                <w:szCs w:val="19"/>
              </w:rPr>
              <w:t>curation-bff</w:t>
            </w:r>
          </w:p>
        </w:tc>
        <w:tc>
          <w:tcPr>
            <w:tcW w:w="1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070E032" w14:textId="77777777" w:rsidR="00F87636" w:rsidRDefault="00000000">
            <w:pPr>
              <w:spacing w:after="20"/>
            </w:pPr>
            <w:r>
              <w:rPr>
                <w:sz w:val="19"/>
                <w:szCs w:val="19"/>
              </w:rPr>
              <w:t>Curate</w:t>
            </w:r>
          </w:p>
        </w:tc>
        <w:tc>
          <w:tcPr>
            <w:tcW w:w="4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55594DC" w14:textId="77777777" w:rsidR="00F87636" w:rsidRDefault="00000000">
            <w:pPr>
              <w:spacing w:after="20"/>
            </w:pPr>
            <w:r>
              <w:rPr>
                <w:sz w:val="19"/>
                <w:szCs w:val="19"/>
              </w:rPr>
              <w:t>OIDC validation → subscriber context; OpenAPI-first REST for the SPA; approval engine; threshold surveillance; delivery console API</w:t>
            </w:r>
          </w:p>
        </w:tc>
        <w:tc>
          <w:tcPr>
            <w:tcW w:w="1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F3CACB0" w14:textId="77777777" w:rsidR="00F87636" w:rsidRDefault="00000000">
            <w:pPr>
              <w:spacing w:after="20"/>
            </w:pPr>
            <w:r>
              <w:rPr>
                <w:sz w:val="19"/>
                <w:szCs w:val="19"/>
              </w:rPr>
              <w:t>1–2 (stateless)</w:t>
            </w:r>
          </w:p>
        </w:tc>
      </w:tr>
      <w:tr w:rsidR="00F87636" w14:paraId="7388C78D" w14:textId="77777777">
        <w:tblPrEx>
          <w:tblCellMar>
            <w:top w:w="0" w:type="dxa"/>
            <w:bottom w:w="0" w:type="dxa"/>
          </w:tblCellMar>
        </w:tblPrEx>
        <w:trPr>
          <w:cantSplit/>
        </w:trPr>
        <w:tc>
          <w:tcPr>
            <w:tcW w:w="1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29EAC86" w14:textId="77777777" w:rsidR="00F87636" w:rsidRDefault="00000000">
            <w:pPr>
              <w:spacing w:after="20"/>
            </w:pPr>
            <w:r>
              <w:rPr>
                <w:sz w:val="19"/>
                <w:szCs w:val="19"/>
              </w:rPr>
              <w:t>web (SPA)</w:t>
            </w:r>
          </w:p>
        </w:tc>
        <w:tc>
          <w:tcPr>
            <w:tcW w:w="1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C4D5E75" w14:textId="77777777" w:rsidR="00F87636" w:rsidRDefault="00000000">
            <w:pPr>
              <w:spacing w:after="20"/>
            </w:pPr>
            <w:r>
              <w:rPr>
                <w:sz w:val="19"/>
                <w:szCs w:val="19"/>
              </w:rPr>
              <w:t>Curate</w:t>
            </w:r>
          </w:p>
        </w:tc>
        <w:tc>
          <w:tcPr>
            <w:tcW w:w="4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F2D76CE" w14:textId="77777777" w:rsidR="00F87636" w:rsidRDefault="00000000">
            <w:pPr>
              <w:spacing w:after="20"/>
            </w:pPr>
            <w:r>
              <w:rPr>
                <w:sz w:val="19"/>
                <w:szCs w:val="19"/>
              </w:rPr>
              <w:t>Per-entity screens, bulk subscribe, enrichment panel; TypeScript client generated from the BFF OpenAPI</w:t>
            </w:r>
          </w:p>
        </w:tc>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E33C7E8" w14:textId="77777777" w:rsidR="00F87636" w:rsidRDefault="00000000">
            <w:pPr>
              <w:spacing w:after="20"/>
            </w:pPr>
            <w:r>
              <w:rPr>
                <w:sz w:val="19"/>
                <w:szCs w:val="19"/>
              </w:rPr>
              <w:t>static assets + CDN</w:t>
            </w:r>
          </w:p>
        </w:tc>
      </w:tr>
      <w:tr w:rsidR="00F87636" w14:paraId="04041507" w14:textId="77777777">
        <w:tblPrEx>
          <w:tblCellMar>
            <w:top w:w="0" w:type="dxa"/>
            <w:bottom w:w="0" w:type="dxa"/>
          </w:tblCellMar>
        </w:tblPrEx>
        <w:trPr>
          <w:cantSplit/>
        </w:trPr>
        <w:tc>
          <w:tcPr>
            <w:tcW w:w="1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15C55DF" w14:textId="77777777" w:rsidR="00F87636" w:rsidRDefault="00000000">
            <w:pPr>
              <w:spacing w:after="20"/>
            </w:pPr>
            <w:r>
              <w:rPr>
                <w:sz w:val="19"/>
                <w:szCs w:val="19"/>
              </w:rPr>
              <w:t>ism-service</w:t>
            </w:r>
          </w:p>
        </w:tc>
        <w:tc>
          <w:tcPr>
            <w:tcW w:w="1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E572A59" w14:textId="77777777" w:rsidR="00F87636" w:rsidRDefault="00000000">
            <w:pPr>
              <w:spacing w:after="20"/>
            </w:pPr>
            <w:r>
              <w:rPr>
                <w:sz w:val="19"/>
                <w:szCs w:val="19"/>
              </w:rPr>
              <w:t>ISM Subscriber</w:t>
            </w:r>
          </w:p>
        </w:tc>
        <w:tc>
          <w:tcPr>
            <w:tcW w:w="4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100661B" w14:textId="77777777" w:rsidR="00F87636" w:rsidRDefault="00000000">
            <w:pPr>
              <w:spacing w:after="20"/>
            </w:pPr>
            <w:r>
              <w:rPr>
                <w:sz w:val="19"/>
                <w:szCs w:val="19"/>
              </w:rPr>
              <w:t>Pack execution: outbound dispatch with receipts; inbound order intake and mapping; auth-edge endpoints for its subscriber</w:t>
            </w:r>
          </w:p>
        </w:tc>
        <w:tc>
          <w:tcPr>
            <w:tcW w:w="1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75A087A" w14:textId="77777777" w:rsidR="00F87636" w:rsidRDefault="00000000">
            <w:pPr>
              <w:spacing w:after="20"/>
            </w:pPr>
            <w:r>
              <w:rPr>
                <w:sz w:val="19"/>
                <w:szCs w:val="19"/>
              </w:rPr>
              <w:t>1 cell per subscriber (section 9)</w:t>
            </w:r>
          </w:p>
        </w:tc>
      </w:tr>
    </w:tbl>
    <w:p w14:paraId="2BA765D1" w14:textId="77777777" w:rsidR="00F87636" w:rsidRDefault="00F87636">
      <w:pPr>
        <w:spacing w:after="60"/>
      </w:pPr>
    </w:p>
    <w:p w14:paraId="4FF9C636" w14:textId="77777777" w:rsidR="00F87636" w:rsidRDefault="00000000">
      <w:pPr>
        <w:pStyle w:val="Heading2"/>
        <w:spacing w:before="280" w:after="160"/>
      </w:pPr>
      <w:bookmarkStart w:id="14" w:name="_Toc239760067"/>
      <w:r>
        <w:rPr>
          <w:b/>
          <w:bCs/>
          <w:color w:val="1D4ED8"/>
        </w:rPr>
        <w:t>6.2  Layer responsibilities</w:t>
      </w:r>
      <w:bookmarkEnd w:id="1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00"/>
        <w:gridCol w:w="3500"/>
      </w:tblGrid>
      <w:tr w:rsidR="00F87636" w14:paraId="02872CBA" w14:textId="77777777">
        <w:tblPrEx>
          <w:tblCellMar>
            <w:top w:w="0" w:type="dxa"/>
            <w:bottom w:w="0" w:type="dxa"/>
          </w:tblCellMar>
        </w:tblPrEx>
        <w:trPr>
          <w:cantSplit/>
          <w:tblHeader/>
        </w:trPr>
        <w:tc>
          <w:tcPr>
            <w:tcW w:w="15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3C35E3CD" w14:textId="77777777" w:rsidR="00F87636" w:rsidRDefault="00000000">
            <w:pPr>
              <w:spacing w:after="20"/>
            </w:pPr>
            <w:r>
              <w:rPr>
                <w:b/>
                <w:bCs/>
                <w:color w:val="FFFFFF"/>
                <w:sz w:val="20"/>
                <w:szCs w:val="20"/>
              </w:rPr>
              <w:t>Layer</w:t>
            </w:r>
          </w:p>
        </w:tc>
        <w:tc>
          <w:tcPr>
            <w:tcW w:w="43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A7115AC" w14:textId="77777777" w:rsidR="00F87636" w:rsidRDefault="00000000">
            <w:pPr>
              <w:spacing w:after="20"/>
            </w:pPr>
            <w:r>
              <w:rPr>
                <w:b/>
                <w:bCs/>
                <w:color w:val="FFFFFF"/>
                <w:sz w:val="20"/>
                <w:szCs w:val="20"/>
              </w:rPr>
              <w:t>Owns</w:t>
            </w:r>
          </w:p>
        </w:tc>
        <w:tc>
          <w:tcPr>
            <w:tcW w:w="35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5F595E65" w14:textId="77777777" w:rsidR="00F87636" w:rsidRDefault="00000000">
            <w:pPr>
              <w:spacing w:after="20"/>
            </w:pPr>
            <w:r>
              <w:rPr>
                <w:b/>
                <w:bCs/>
                <w:color w:val="FFFFFF"/>
                <w:sz w:val="20"/>
                <w:szCs w:val="20"/>
              </w:rPr>
              <w:t>Never does</w:t>
            </w:r>
          </w:p>
        </w:tc>
      </w:tr>
      <w:tr w:rsidR="00F87636" w14:paraId="6D711A35" w14:textId="77777777">
        <w:tblPrEx>
          <w:tblCellMar>
            <w:top w:w="0" w:type="dxa"/>
            <w:bottom w:w="0" w:type="dxa"/>
          </w:tblCellMar>
        </w:tblPrEx>
        <w:trPr>
          <w:cantSplit/>
        </w:trPr>
        <w:tc>
          <w:tcPr>
            <w:tcW w:w="1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6CB7B7E" w14:textId="77777777" w:rsidR="00F87636" w:rsidRDefault="00000000">
            <w:pPr>
              <w:spacing w:after="20"/>
            </w:pPr>
            <w:r>
              <w:rPr>
                <w:sz w:val="19"/>
                <w:szCs w:val="19"/>
              </w:rPr>
              <w:t>TCG Integration</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74D52CA" w14:textId="77777777" w:rsidR="00F87636" w:rsidRDefault="00000000">
            <w:pPr>
              <w:spacing w:after="20"/>
            </w:pPr>
            <w:r>
              <w:rPr>
                <w:sz w:val="19"/>
                <w:szCs w:val="19"/>
              </w:rPr>
              <w:t>Every exchange with TCG, both directions: FOP API polling, SFTP file pull, sales order submission; schema validation; the landing zone; canonical upserts; watermarks.</w:t>
            </w:r>
          </w:p>
        </w:tc>
        <w:tc>
          <w:tcPr>
            <w:tcW w:w="3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C6DDAD7" w14:textId="77777777" w:rsidR="00F87636" w:rsidRDefault="00000000">
            <w:pPr>
              <w:spacing w:after="20"/>
            </w:pPr>
            <w:r>
              <w:rPr>
                <w:sz w:val="19"/>
                <w:szCs w:val="19"/>
              </w:rPr>
              <w:t>Transform, filter or enrich data. Approve anything. Talk to a subscriber system.</w:t>
            </w:r>
          </w:p>
        </w:tc>
      </w:tr>
      <w:tr w:rsidR="00F87636" w14:paraId="35B4F6A1" w14:textId="77777777">
        <w:tblPrEx>
          <w:tblCellMar>
            <w:top w:w="0" w:type="dxa"/>
            <w:bottom w:w="0" w:type="dxa"/>
          </w:tblCellMar>
        </w:tblPrEx>
        <w:trPr>
          <w:cantSplit/>
        </w:trPr>
        <w:tc>
          <w:tcPr>
            <w:tcW w:w="1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707549F" w14:textId="77777777" w:rsidR="00F87636" w:rsidRDefault="00000000">
            <w:pPr>
              <w:spacing w:after="20"/>
            </w:pPr>
            <w:r>
              <w:rPr>
                <w:sz w:val="19"/>
                <w:szCs w:val="19"/>
              </w:rPr>
              <w:t>Persist</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F462ADB" w14:textId="77777777" w:rsidR="00F87636" w:rsidRDefault="00000000">
            <w:pPr>
              <w:spacing w:after="20"/>
            </w:pPr>
            <w:r>
              <w:rPr>
                <w:sz w:val="19"/>
                <w:szCs w:val="19"/>
              </w:rPr>
              <w:t>Canonical entities as-is; the subscription overlay; sales order staging; lineage, audit, watermarks; the object store.</w:t>
            </w:r>
          </w:p>
        </w:tc>
        <w:tc>
          <w:tcPr>
            <w:tcW w:w="3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1E6FE42" w14:textId="77777777" w:rsidR="00F87636" w:rsidRDefault="00000000">
            <w:pPr>
              <w:spacing w:after="20"/>
            </w:pPr>
            <w:r>
              <w:rPr>
                <w:sz w:val="19"/>
                <w:szCs w:val="19"/>
              </w:rPr>
              <w:t>Accept canonical writes from anywhere except tcg-service's upsert path.</w:t>
            </w:r>
          </w:p>
        </w:tc>
      </w:tr>
      <w:tr w:rsidR="00F87636" w14:paraId="39B45241" w14:textId="77777777">
        <w:tblPrEx>
          <w:tblCellMar>
            <w:top w:w="0" w:type="dxa"/>
            <w:bottom w:w="0" w:type="dxa"/>
          </w:tblCellMar>
        </w:tblPrEx>
        <w:trPr>
          <w:cantSplit/>
        </w:trPr>
        <w:tc>
          <w:tcPr>
            <w:tcW w:w="1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A66515B" w14:textId="77777777" w:rsidR="00F87636" w:rsidRDefault="00000000">
            <w:pPr>
              <w:spacing w:after="20"/>
            </w:pPr>
            <w:r>
              <w:rPr>
                <w:sz w:val="19"/>
                <w:szCs w:val="19"/>
              </w:rPr>
              <w:t>Curate</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24C0C37" w14:textId="77777777" w:rsidR="00F87636" w:rsidRDefault="00000000">
            <w:pPr>
              <w:spacing w:after="20"/>
            </w:pPr>
            <w:r>
              <w:rPr>
                <w:sz w:val="19"/>
                <w:szCs w:val="19"/>
              </w:rPr>
              <w:t>Per-entity screens; subscribe-and-enrich; approvals; cost/promo surveillance; the delivery console; the optional reviewed-relay view.</w:t>
            </w:r>
          </w:p>
        </w:tc>
        <w:tc>
          <w:tcPr>
            <w:tcW w:w="3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A7D7311" w14:textId="77777777" w:rsidR="00F87636" w:rsidRDefault="00000000">
            <w:pPr>
              <w:spacing w:after="20"/>
            </w:pPr>
            <w:r>
              <w:rPr>
                <w:sz w:val="19"/>
                <w:szCs w:val="19"/>
              </w:rPr>
              <w:t>Modify canonical rows. Auto-approve without a signed-off rule.</w:t>
            </w:r>
          </w:p>
        </w:tc>
      </w:tr>
      <w:tr w:rsidR="00F87636" w14:paraId="1B4BC95B" w14:textId="77777777">
        <w:tblPrEx>
          <w:tblCellMar>
            <w:top w:w="0" w:type="dxa"/>
            <w:bottom w:w="0" w:type="dxa"/>
          </w:tblCellMar>
        </w:tblPrEx>
        <w:trPr>
          <w:cantSplit/>
        </w:trPr>
        <w:tc>
          <w:tcPr>
            <w:tcW w:w="1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5C463D9" w14:textId="77777777" w:rsidR="00F87636" w:rsidRDefault="00000000">
            <w:pPr>
              <w:spacing w:after="20"/>
            </w:pPr>
            <w:r>
              <w:rPr>
                <w:sz w:val="19"/>
                <w:szCs w:val="19"/>
              </w:rPr>
              <w:t>ISM Subscriber</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A376CAC" w14:textId="77777777" w:rsidR="00F87636" w:rsidRDefault="00000000">
            <w:pPr>
              <w:spacing w:after="20"/>
            </w:pPr>
            <w:r>
              <w:rPr>
                <w:sz w:val="19"/>
                <w:szCs w:val="19"/>
              </w:rPr>
              <w:t>Every exchange with subscribers, both directions: packs, dispatch, receipts, inbound order intake; the auth edge; the cell partition.</w:t>
            </w:r>
          </w:p>
        </w:tc>
        <w:tc>
          <w:tcPr>
            <w:tcW w:w="3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B50F173" w14:textId="77777777" w:rsidR="00F87636" w:rsidRDefault="00000000">
            <w:pPr>
              <w:spacing w:after="20"/>
            </w:pPr>
            <w:r>
              <w:rPr>
                <w:sz w:val="19"/>
                <w:szCs w:val="19"/>
              </w:rPr>
              <w:t>Carry subscriber-specific logic in platform code. Read beyond its own egress-ready view. Talk to FOP.</w:t>
            </w:r>
          </w:p>
        </w:tc>
      </w:tr>
    </w:tbl>
    <w:p w14:paraId="45787635" w14:textId="77777777" w:rsidR="00F87636" w:rsidRDefault="00F87636">
      <w:pPr>
        <w:spacing w:after="60"/>
      </w:pPr>
    </w:p>
    <w:p w14:paraId="395BBA67" w14:textId="77777777" w:rsidR="00F87636" w:rsidRDefault="00000000">
      <w:pPr>
        <w:spacing w:after="160"/>
      </w:pPr>
      <w:r>
        <w:rPr>
          <w:b/>
          <w:bCs/>
        </w:rPr>
        <w:t xml:space="preserve">The no-synchronous-calls rule. </w:t>
      </w:r>
      <w:r>
        <w:t>Services communicate only through Postgres state and Temporal jobs (KDD-10). tcg-service writes canonical and reads watermarks; the BFF reads and writes the overlay under RLS; cells read their egress-ready view and write staging and receipts. There is no internal RPC surface — no internal API versioning, no partial-failure call chains, and exactly two generated HTTP contracts in the system: the BFF's, and each cell's small auth-edge surface.</w:t>
      </w:r>
    </w:p>
    <w:p w14:paraId="0F0AD185" w14:textId="77777777" w:rsidR="00F87636" w:rsidRDefault="00000000">
      <w:pPr>
        <w:pStyle w:val="Heading1"/>
        <w:spacing w:before="360" w:after="200"/>
      </w:pPr>
      <w:bookmarkStart w:id="15" w:name="_Toc239760068"/>
      <w:r>
        <w:rPr>
          <w:b/>
          <w:bCs/>
          <w:color w:val="0F172A"/>
        </w:rPr>
        <w:t>7  TCG Integration Layer — tcg-service</w:t>
      </w:r>
      <w:bookmarkEnd w:id="15"/>
    </w:p>
    <w:p w14:paraId="2D149576" w14:textId="77777777" w:rsidR="00F87636" w:rsidRDefault="00000000">
      <w:pPr>
        <w:pStyle w:val="Heading2"/>
        <w:spacing w:before="280" w:after="160"/>
      </w:pPr>
      <w:bookmarkStart w:id="16" w:name="_Toc239760069"/>
      <w:r>
        <w:rPr>
          <w:b/>
          <w:bCs/>
          <w:color w:val="1D4ED8"/>
        </w:rPr>
        <w:t>7.1  Pattern</w:t>
      </w:r>
      <w:bookmarkEnd w:id="16"/>
    </w:p>
    <w:p w14:paraId="09B6A7E9" w14:textId="77777777" w:rsidR="00F87636" w:rsidRDefault="00000000">
      <w:pPr>
        <w:spacing w:after="160"/>
      </w:pPr>
      <w:r>
        <w:rPr>
          <w:b/>
          <w:bCs/>
        </w:rPr>
        <w:t xml:space="preserve">Master data arrives by API; transactional data arrives as files over SFTP; sales orders go back by API. </w:t>
      </w:r>
      <w:r>
        <w:t>All connections are platform-initiated outbound — the platform opens no inbound endpoint to TCG. Both inbound paths converge on the same validate → upsert chain, so a record is identical inside the platform whichever way it arrived. Because TCG masters the data, there is no ETL on ingress: validation checks conformance to the published contract and quarantines violations, but never reshapes a payload (KDD-4).</w:t>
      </w:r>
    </w:p>
    <w:p w14:paraId="3F545988" w14:textId="77777777" w:rsidR="00F87636" w:rsidRDefault="00000000">
      <w:pPr>
        <w:pStyle w:val="Heading2"/>
        <w:spacing w:before="280" w:after="160"/>
      </w:pPr>
      <w:bookmarkStart w:id="17" w:name="_Toc239760070"/>
      <w:r>
        <w:rPr>
          <w:b/>
          <w:bCs/>
          <w:color w:val="1D4ED8"/>
        </w:rPr>
        <w:t>7.2  Master data via the FOP APIs</w:t>
      </w:r>
      <w:bookmarkEnd w:id="17"/>
    </w:p>
    <w:p w14:paraId="21FB7F9D" w14:textId="77777777" w:rsidR="00F87636" w:rsidRDefault="00000000">
      <w:pPr>
        <w:spacing w:after="160"/>
      </w:pPr>
      <w:r>
        <w:lastRenderedPageBreak/>
        <w:t>The FOP client is generated from the committed OAS 3.0 spec (oapi-codegen); the FRTS data dictionary generates the validation structs. When the spec moves, regeneration turns every breaking change into a compile error inside one package. Token acquisition (OAuth2 client credentials — a JWT issued against the platform's registered client, one per environment, secret in Key Vault), partnerId injection, declared-egress-IP routing and back-off on 5xx/540 live in one client wrapper used by every activity; 4xx responses alert immediately as contract or configuration defects.</w:t>
      </w:r>
    </w:p>
    <w:p w14:paraId="485B6F45" w14:textId="77777777" w:rsidR="00F87636" w:rsidRDefault="00000000">
      <w:pPr>
        <w:pStyle w:val="Heading3"/>
        <w:spacing w:before="220" w:after="120"/>
      </w:pPr>
      <w:r>
        <w:rPr>
          <w:b/>
          <w:bCs/>
          <w:color w:val="0F172A"/>
          <w:sz w:val="23"/>
          <w:szCs w:val="23"/>
        </w:rPr>
        <w:t>7.2.1  Endpoints consumed (FOP API spec v0.4.0)</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900"/>
        <w:gridCol w:w="2200"/>
        <w:gridCol w:w="3100"/>
      </w:tblGrid>
      <w:tr w:rsidR="00F87636" w14:paraId="27E07FE4" w14:textId="77777777">
        <w:tblPrEx>
          <w:tblCellMar>
            <w:top w:w="0" w:type="dxa"/>
            <w:bottom w:w="0" w:type="dxa"/>
          </w:tblCellMar>
        </w:tblPrEx>
        <w:trPr>
          <w:cantSplit/>
          <w:tblHeader/>
        </w:trPr>
        <w:tc>
          <w:tcPr>
            <w:tcW w:w="31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6C87D9C" w14:textId="77777777" w:rsidR="00F87636" w:rsidRDefault="00000000">
            <w:pPr>
              <w:spacing w:after="20"/>
            </w:pPr>
            <w:r>
              <w:rPr>
                <w:b/>
                <w:bCs/>
                <w:color w:val="FFFFFF"/>
                <w:sz w:val="20"/>
                <w:szCs w:val="20"/>
              </w:rPr>
              <w:t>Endpoint</w:t>
            </w:r>
          </w:p>
        </w:tc>
        <w:tc>
          <w:tcPr>
            <w:tcW w:w="9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0487B7D2" w14:textId="77777777" w:rsidR="00F87636" w:rsidRDefault="00000000">
            <w:pPr>
              <w:spacing w:after="20"/>
            </w:pPr>
            <w:r>
              <w:rPr>
                <w:b/>
                <w:bCs/>
                <w:color w:val="FFFFFF"/>
                <w:sz w:val="20"/>
                <w:szCs w:val="20"/>
              </w:rPr>
              <w:t>Method</w:t>
            </w:r>
          </w:p>
        </w:tc>
        <w:tc>
          <w:tcPr>
            <w:tcW w:w="22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65A3A75D" w14:textId="77777777" w:rsidR="00F87636" w:rsidRDefault="00000000">
            <w:pPr>
              <w:spacing w:after="20"/>
            </w:pPr>
            <w:r>
              <w:rPr>
                <w:b/>
                <w:bCs/>
                <w:color w:val="FFFFFF"/>
                <w:sz w:val="20"/>
                <w:szCs w:val="20"/>
              </w:rPr>
              <w:t>Entity</w:t>
            </w:r>
          </w:p>
        </w:tc>
        <w:tc>
          <w:tcPr>
            <w:tcW w:w="31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52587DD7" w14:textId="77777777" w:rsidR="00F87636" w:rsidRDefault="00000000">
            <w:pPr>
              <w:spacing w:after="20"/>
            </w:pPr>
            <w:r>
              <w:rPr>
                <w:b/>
                <w:bCs/>
                <w:color w:val="FFFFFF"/>
                <w:sz w:val="20"/>
                <w:szCs w:val="20"/>
              </w:rPr>
              <w:t>Notes</w:t>
            </w:r>
          </w:p>
        </w:tc>
      </w:tr>
      <w:tr w:rsidR="00F87636" w14:paraId="4F50BEDE" w14:textId="77777777">
        <w:tblPrEx>
          <w:tblCellMar>
            <w:top w:w="0" w:type="dxa"/>
            <w:bottom w:w="0" w:type="dxa"/>
          </w:tblCellMar>
        </w:tblPrEx>
        <w:trPr>
          <w:cantSplit/>
        </w:trPr>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A971F0C" w14:textId="77777777" w:rsidR="00F87636" w:rsidRDefault="00000000">
            <w:pPr>
              <w:spacing w:after="20"/>
            </w:pPr>
            <w:r>
              <w:rPr>
                <w:sz w:val="19"/>
                <w:szCs w:val="19"/>
              </w:rPr>
              <w:t>/api/v1/retail-products</w:t>
            </w:r>
          </w:p>
        </w:tc>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28F0BAA" w14:textId="77777777" w:rsidR="00F87636" w:rsidRDefault="00000000">
            <w:pPr>
              <w:spacing w:after="20"/>
            </w:pPr>
            <w:r>
              <w:rPr>
                <w:sz w:val="19"/>
                <w:szCs w:val="19"/>
              </w:rPr>
              <w:t>GET</w:t>
            </w:r>
          </w:p>
        </w:tc>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4BF5FB7" w14:textId="77777777" w:rsidR="00F87636" w:rsidRDefault="00000000">
            <w:pPr>
              <w:spacing w:after="20"/>
            </w:pPr>
            <w:r>
              <w:rPr>
                <w:sz w:val="19"/>
                <w:szCs w:val="19"/>
              </w:rPr>
              <w:t>Retail Product</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CC7929F" w14:textId="77777777" w:rsidR="00F87636" w:rsidRDefault="00000000">
            <w:pPr>
              <w:spacing w:after="20"/>
            </w:pPr>
            <w:r>
              <w:rPr>
                <w:sz w:val="19"/>
                <w:szCs w:val="19"/>
              </w:rPr>
              <w:t>Delta by 'since' (ISO date, max 7 days back); paginated</w:t>
            </w:r>
          </w:p>
        </w:tc>
      </w:tr>
      <w:tr w:rsidR="00F87636" w14:paraId="6559405E" w14:textId="77777777">
        <w:tblPrEx>
          <w:tblCellMar>
            <w:top w:w="0" w:type="dxa"/>
            <w:bottom w:w="0" w:type="dxa"/>
          </w:tblCellMar>
        </w:tblPrEx>
        <w:trPr>
          <w:cantSplit/>
        </w:trPr>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7B73412" w14:textId="77777777" w:rsidR="00F87636" w:rsidRDefault="00000000">
            <w:pPr>
              <w:spacing w:after="20"/>
            </w:pPr>
            <w:r>
              <w:rPr>
                <w:sz w:val="19"/>
                <w:szCs w:val="19"/>
              </w:rPr>
              <w:t>/api/v1/retail-product/{productId}</w:t>
            </w:r>
          </w:p>
        </w:tc>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A55862E" w14:textId="77777777" w:rsidR="00F87636" w:rsidRDefault="00000000">
            <w:pPr>
              <w:spacing w:after="20"/>
            </w:pPr>
            <w:r>
              <w:rPr>
                <w:sz w:val="19"/>
                <w:szCs w:val="19"/>
              </w:rPr>
              <w:t>GET</w:t>
            </w:r>
          </w:p>
        </w:tc>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E098547" w14:textId="77777777" w:rsidR="00F87636" w:rsidRDefault="00000000">
            <w:pPr>
              <w:spacing w:after="20"/>
            </w:pPr>
            <w:r>
              <w:rPr>
                <w:sz w:val="19"/>
                <w:szCs w:val="19"/>
              </w:rPr>
              <w:t>Retail Product</w:t>
            </w:r>
          </w:p>
        </w:tc>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E4AC44C" w14:textId="77777777" w:rsidR="00F87636" w:rsidRDefault="00000000">
            <w:pPr>
              <w:spacing w:after="20"/>
            </w:pPr>
            <w:r>
              <w:rPr>
                <w:sz w:val="19"/>
                <w:szCs w:val="19"/>
              </w:rPr>
              <w:t>Single-record fetch for reconciliation and replay</w:t>
            </w:r>
          </w:p>
        </w:tc>
      </w:tr>
      <w:tr w:rsidR="00F87636" w14:paraId="71FF40C0" w14:textId="77777777">
        <w:tblPrEx>
          <w:tblCellMar>
            <w:top w:w="0" w:type="dxa"/>
            <w:bottom w:w="0" w:type="dxa"/>
          </w:tblCellMar>
        </w:tblPrEx>
        <w:trPr>
          <w:cantSplit/>
        </w:trPr>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C074F29" w14:textId="77777777" w:rsidR="00F87636" w:rsidRDefault="00000000">
            <w:pPr>
              <w:spacing w:after="20"/>
            </w:pPr>
            <w:r>
              <w:rPr>
                <w:sz w:val="19"/>
                <w:szCs w:val="19"/>
              </w:rPr>
              <w:t>/api/v1/wholesale-products</w:t>
            </w:r>
          </w:p>
        </w:tc>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F7498C9" w14:textId="77777777" w:rsidR="00F87636" w:rsidRDefault="00000000">
            <w:pPr>
              <w:spacing w:after="20"/>
            </w:pPr>
            <w:r>
              <w:rPr>
                <w:sz w:val="19"/>
                <w:szCs w:val="19"/>
              </w:rPr>
              <w:t>GET</w:t>
            </w:r>
          </w:p>
        </w:tc>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7161609" w14:textId="77777777" w:rsidR="00F87636" w:rsidRDefault="00000000">
            <w:pPr>
              <w:spacing w:after="20"/>
            </w:pPr>
            <w:r>
              <w:rPr>
                <w:sz w:val="19"/>
                <w:szCs w:val="19"/>
              </w:rPr>
              <w:t>Wholesale Product / Catalogue Item</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55827E5" w14:textId="77777777" w:rsidR="00F87636" w:rsidRDefault="00000000">
            <w:pPr>
              <w:spacing w:after="20"/>
            </w:pPr>
            <w:r>
              <w:rPr>
                <w:sz w:val="19"/>
                <w:szCs w:val="19"/>
              </w:rPr>
              <w:t>Orderable unit; cost prices array; the catalogue item identifier</w:t>
            </w:r>
          </w:p>
        </w:tc>
      </w:tr>
      <w:tr w:rsidR="00F87636" w14:paraId="2082E164" w14:textId="77777777">
        <w:tblPrEx>
          <w:tblCellMar>
            <w:top w:w="0" w:type="dxa"/>
            <w:bottom w:w="0" w:type="dxa"/>
          </w:tblCellMar>
        </w:tblPrEx>
        <w:trPr>
          <w:cantSplit/>
        </w:trPr>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863E74E" w14:textId="77777777" w:rsidR="00F87636" w:rsidRDefault="00000000">
            <w:pPr>
              <w:spacing w:after="20"/>
            </w:pPr>
            <w:r>
              <w:rPr>
                <w:sz w:val="19"/>
                <w:szCs w:val="19"/>
              </w:rPr>
              <w:t>/api/v1/wholesale-product/{catalogueItemId}</w:t>
            </w:r>
          </w:p>
        </w:tc>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BAD885B" w14:textId="77777777" w:rsidR="00F87636" w:rsidRDefault="00000000">
            <w:pPr>
              <w:spacing w:after="20"/>
            </w:pPr>
            <w:r>
              <w:rPr>
                <w:sz w:val="19"/>
                <w:szCs w:val="19"/>
              </w:rPr>
              <w:t>GET</w:t>
            </w:r>
          </w:p>
        </w:tc>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B54EFEA" w14:textId="77777777" w:rsidR="00F87636" w:rsidRDefault="00000000">
            <w:pPr>
              <w:spacing w:after="20"/>
            </w:pPr>
            <w:r>
              <w:rPr>
                <w:sz w:val="19"/>
                <w:szCs w:val="19"/>
              </w:rPr>
              <w:t>Wholesale Product</w:t>
            </w:r>
          </w:p>
        </w:tc>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484AA36" w14:textId="77777777" w:rsidR="00F87636" w:rsidRDefault="00000000">
            <w:pPr>
              <w:spacing w:after="20"/>
            </w:pPr>
            <w:r>
              <w:rPr>
                <w:sz w:val="19"/>
                <w:szCs w:val="19"/>
              </w:rPr>
              <w:t>Single-record fetch</w:t>
            </w:r>
          </w:p>
        </w:tc>
      </w:tr>
      <w:tr w:rsidR="00F87636" w14:paraId="7D8A39F7" w14:textId="77777777">
        <w:tblPrEx>
          <w:tblCellMar>
            <w:top w:w="0" w:type="dxa"/>
            <w:bottom w:w="0" w:type="dxa"/>
          </w:tblCellMar>
        </w:tblPrEx>
        <w:trPr>
          <w:cantSplit/>
        </w:trPr>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80D71E6" w14:textId="77777777" w:rsidR="00F87636" w:rsidRDefault="00000000">
            <w:pPr>
              <w:spacing w:after="20"/>
            </w:pPr>
            <w:r>
              <w:rPr>
                <w:sz w:val="19"/>
                <w:szCs w:val="19"/>
              </w:rPr>
              <w:t>/api/v1/promotions</w:t>
            </w:r>
          </w:p>
        </w:tc>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6D763B7" w14:textId="77777777" w:rsidR="00F87636" w:rsidRDefault="00000000">
            <w:pPr>
              <w:spacing w:after="20"/>
            </w:pPr>
            <w:r>
              <w:rPr>
                <w:sz w:val="19"/>
                <w:szCs w:val="19"/>
              </w:rPr>
              <w:t>GET</w:t>
            </w:r>
          </w:p>
        </w:tc>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019312E" w14:textId="77777777" w:rsidR="00F87636" w:rsidRDefault="00000000">
            <w:pPr>
              <w:spacing w:after="20"/>
            </w:pPr>
            <w:r>
              <w:rPr>
                <w:sz w:val="19"/>
                <w:szCs w:val="19"/>
              </w:rPr>
              <w:t>Promotion</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1809969" w14:textId="77777777" w:rsidR="00F87636" w:rsidRDefault="00000000">
            <w:pPr>
              <w:spacing w:after="20"/>
            </w:pPr>
            <w:r>
              <w:rPr>
                <w:sz w:val="19"/>
                <w:szCs w:val="19"/>
              </w:rPr>
              <w:t>Delta by 'since'; advisory data (P5)</w:t>
            </w:r>
          </w:p>
        </w:tc>
      </w:tr>
      <w:tr w:rsidR="00F87636" w14:paraId="579BB5FE" w14:textId="77777777">
        <w:tblPrEx>
          <w:tblCellMar>
            <w:top w:w="0" w:type="dxa"/>
            <w:bottom w:w="0" w:type="dxa"/>
          </w:tblCellMar>
        </w:tblPrEx>
        <w:trPr>
          <w:cantSplit/>
        </w:trPr>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ADEBD5B" w14:textId="77777777" w:rsidR="00F87636" w:rsidRDefault="00000000">
            <w:pPr>
              <w:spacing w:after="20"/>
            </w:pPr>
            <w:r>
              <w:rPr>
                <w:sz w:val="19"/>
                <w:szCs w:val="19"/>
              </w:rPr>
              <w:t>/api/v1/suppliers</w:t>
            </w:r>
          </w:p>
        </w:tc>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E131305" w14:textId="77777777" w:rsidR="00F87636" w:rsidRDefault="00000000">
            <w:pPr>
              <w:spacing w:after="20"/>
            </w:pPr>
            <w:r>
              <w:rPr>
                <w:sz w:val="19"/>
                <w:szCs w:val="19"/>
              </w:rPr>
              <w:t>GET</w:t>
            </w:r>
          </w:p>
        </w:tc>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CCD5AD2" w14:textId="77777777" w:rsidR="00F87636" w:rsidRDefault="00000000">
            <w:pPr>
              <w:spacing w:after="20"/>
            </w:pPr>
            <w:r>
              <w:rPr>
                <w:sz w:val="19"/>
                <w:szCs w:val="19"/>
              </w:rPr>
              <w:t>Supplier</w:t>
            </w:r>
          </w:p>
        </w:tc>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D21E003" w14:textId="77777777" w:rsidR="00F87636" w:rsidRDefault="00000000">
            <w:pPr>
              <w:spacing w:after="20"/>
            </w:pPr>
            <w:r>
              <w:rPr>
                <w:sz w:val="19"/>
                <w:szCs w:val="19"/>
              </w:rPr>
              <w:t>Delta by 'since'</w:t>
            </w:r>
          </w:p>
        </w:tc>
      </w:tr>
      <w:tr w:rsidR="00F87636" w14:paraId="7B937504" w14:textId="77777777">
        <w:tblPrEx>
          <w:tblCellMar>
            <w:top w:w="0" w:type="dxa"/>
            <w:bottom w:w="0" w:type="dxa"/>
          </w:tblCellMar>
        </w:tblPrEx>
        <w:trPr>
          <w:cantSplit/>
        </w:trPr>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BA1C87D" w14:textId="77777777" w:rsidR="00F87636" w:rsidRDefault="00000000">
            <w:pPr>
              <w:spacing w:after="20"/>
            </w:pPr>
            <w:r>
              <w:rPr>
                <w:sz w:val="19"/>
                <w:szCs w:val="19"/>
              </w:rPr>
              <w:t>/api/v1/product-hierarchies</w:t>
            </w:r>
          </w:p>
        </w:tc>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8951683" w14:textId="77777777" w:rsidR="00F87636" w:rsidRDefault="00000000">
            <w:pPr>
              <w:spacing w:after="20"/>
            </w:pPr>
            <w:r>
              <w:rPr>
                <w:sz w:val="19"/>
                <w:szCs w:val="19"/>
              </w:rPr>
              <w:t>GET</w:t>
            </w:r>
          </w:p>
        </w:tc>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A8D74C8" w14:textId="77777777" w:rsidR="00F87636" w:rsidRDefault="00000000">
            <w:pPr>
              <w:spacing w:after="20"/>
            </w:pPr>
            <w:r>
              <w:rPr>
                <w:sz w:val="19"/>
                <w:szCs w:val="19"/>
              </w:rPr>
              <w:t>Product Hierarchy</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FC60AA6" w14:textId="77777777" w:rsidR="00F87636" w:rsidRDefault="00000000">
            <w:pPr>
              <w:spacing w:after="20"/>
            </w:pPr>
            <w:r>
              <w:rPr>
                <w:sz w:val="19"/>
                <w:szCs w:val="19"/>
              </w:rPr>
              <w:t>Delta by 'since'</w:t>
            </w:r>
          </w:p>
        </w:tc>
      </w:tr>
      <w:tr w:rsidR="00F87636" w14:paraId="6DD0D49A" w14:textId="77777777">
        <w:tblPrEx>
          <w:tblCellMar>
            <w:top w:w="0" w:type="dxa"/>
            <w:bottom w:w="0" w:type="dxa"/>
          </w:tblCellMar>
        </w:tblPrEx>
        <w:trPr>
          <w:cantSplit/>
        </w:trPr>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2FD1E2D" w14:textId="77777777" w:rsidR="00F87636" w:rsidRDefault="00000000">
            <w:pPr>
              <w:spacing w:after="20"/>
            </w:pPr>
            <w:r>
              <w:rPr>
                <w:sz w:val="19"/>
                <w:szCs w:val="19"/>
              </w:rPr>
              <w:t>/api/v1/delivery-notifications</w:t>
            </w:r>
          </w:p>
        </w:tc>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37B8AC7" w14:textId="77777777" w:rsidR="00F87636" w:rsidRDefault="00000000">
            <w:pPr>
              <w:spacing w:after="20"/>
            </w:pPr>
            <w:r>
              <w:rPr>
                <w:sz w:val="19"/>
                <w:szCs w:val="19"/>
              </w:rPr>
              <w:t>GET</w:t>
            </w:r>
          </w:p>
        </w:tc>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587B362" w14:textId="77777777" w:rsidR="00F87636" w:rsidRDefault="00000000">
            <w:pPr>
              <w:spacing w:after="20"/>
            </w:pPr>
            <w:r>
              <w:rPr>
                <w:sz w:val="19"/>
                <w:szCs w:val="19"/>
              </w:rPr>
              <w:t>EDN</w:t>
            </w:r>
          </w:p>
        </w:tc>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1F98E31" w14:textId="77777777" w:rsidR="00F87636" w:rsidRDefault="00000000">
            <w:pPr>
              <w:spacing w:after="20"/>
            </w:pPr>
            <w:r>
              <w:rPr>
                <w:sz w:val="19"/>
                <w:szCs w:val="19"/>
              </w:rPr>
              <w:t>Available via API; baseline EDN path is SFTP (7.4) — this endpoint is a per-feed configuration alternative</w:t>
            </w:r>
          </w:p>
        </w:tc>
      </w:tr>
      <w:tr w:rsidR="00F87636" w14:paraId="0E6728BE" w14:textId="77777777">
        <w:tblPrEx>
          <w:tblCellMar>
            <w:top w:w="0" w:type="dxa"/>
            <w:bottom w:w="0" w:type="dxa"/>
          </w:tblCellMar>
        </w:tblPrEx>
        <w:trPr>
          <w:cantSplit/>
        </w:trPr>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F78F9E0" w14:textId="77777777" w:rsidR="00F87636" w:rsidRDefault="00000000">
            <w:pPr>
              <w:spacing w:after="20"/>
            </w:pPr>
            <w:r>
              <w:rPr>
                <w:sz w:val="19"/>
                <w:szCs w:val="19"/>
              </w:rPr>
              <w:t>/api/v1/sales-order</w:t>
            </w:r>
          </w:p>
        </w:tc>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F16EFCC" w14:textId="77777777" w:rsidR="00F87636" w:rsidRDefault="00000000">
            <w:pPr>
              <w:spacing w:after="20"/>
            </w:pPr>
            <w:r>
              <w:rPr>
                <w:sz w:val="19"/>
                <w:szCs w:val="19"/>
              </w:rPr>
              <w:t>POST</w:t>
            </w:r>
          </w:p>
        </w:tc>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DFA54D5" w14:textId="77777777" w:rsidR="00F87636" w:rsidRDefault="00000000">
            <w:pPr>
              <w:spacing w:after="20"/>
            </w:pPr>
            <w:r>
              <w:rPr>
                <w:sz w:val="19"/>
                <w:szCs w:val="19"/>
              </w:rPr>
              <w:t>Sales Order</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7951C2F" w14:textId="77777777" w:rsidR="00F87636" w:rsidRDefault="00000000">
            <w:pPr>
              <w:spacing w:after="20"/>
            </w:pPr>
            <w:r>
              <w:rPr>
                <w:sz w:val="19"/>
                <w:szCs w:val="19"/>
              </w:rPr>
              <w:t>Outbound relay — section 12</w:t>
            </w:r>
          </w:p>
        </w:tc>
      </w:tr>
    </w:tbl>
    <w:p w14:paraId="2692C98E" w14:textId="77777777" w:rsidR="00F87636" w:rsidRDefault="00F87636">
      <w:pPr>
        <w:spacing w:after="60"/>
      </w:pPr>
    </w:p>
    <w:p w14:paraId="684B1FD4" w14:textId="77777777" w:rsidR="00F87636" w:rsidRDefault="00000000">
      <w:pPr>
        <w:pStyle w:val="Heading3"/>
        <w:spacing w:before="220" w:after="120"/>
      </w:pPr>
      <w:r>
        <w:rPr>
          <w:b/>
          <w:bCs/>
          <w:color w:val="0F172A"/>
          <w:sz w:val="23"/>
          <w:szCs w:val="23"/>
        </w:rPr>
        <w:t>7.2.2  Contract behaviours this layer must honour</w:t>
      </w:r>
    </w:p>
    <w:p w14:paraId="251100A7" w14:textId="77777777" w:rsidR="00F87636" w:rsidRDefault="00000000">
      <w:pPr>
        <w:pStyle w:val="ListParagraph"/>
        <w:numPr>
          <w:ilvl w:val="0"/>
          <w:numId w:val="2"/>
        </w:numPr>
        <w:spacing w:after="100"/>
      </w:pPr>
      <w:r>
        <w:rPr>
          <w:b/>
          <w:bCs/>
        </w:rPr>
        <w:t xml:space="preserve">partnerId on every call. </w:t>
      </w:r>
      <w:r>
        <w:t>Missing or invalid partnerId returns HTTP 406 and is logged identifiably in FOP. The partnerId is environment configuration, never hard-coded.</w:t>
      </w:r>
    </w:p>
    <w:p w14:paraId="1852CB15" w14:textId="77777777" w:rsidR="00F87636" w:rsidRDefault="00000000">
      <w:pPr>
        <w:pStyle w:val="ListParagraph"/>
        <w:numPr>
          <w:ilvl w:val="0"/>
          <w:numId w:val="2"/>
        </w:numPr>
        <w:spacing w:after="100"/>
      </w:pPr>
      <w:r>
        <w:rPr>
          <w:b/>
          <w:bCs/>
        </w:rPr>
        <w:t xml:space="preserve">Delta semantics. </w:t>
      </w:r>
      <w:r>
        <w:t>The 'since' parameter may reach back at most 7 days. A watermark that falls further behind (extended outage) must fail loudly into the re-baseline runbook — recovery uses the weekly full SFTP feed or the single-record endpoints — never silently request an invalid window.</w:t>
      </w:r>
    </w:p>
    <w:p w14:paraId="3B4591E3" w14:textId="77777777" w:rsidR="00F87636" w:rsidRDefault="00000000">
      <w:pPr>
        <w:pStyle w:val="ListParagraph"/>
        <w:numPr>
          <w:ilvl w:val="0"/>
          <w:numId w:val="2"/>
        </w:numPr>
        <w:spacing w:after="100"/>
      </w:pPr>
      <w:r>
        <w:rPr>
          <w:b/>
          <w:bCs/>
        </w:rPr>
        <w:t xml:space="preserve">Pagination. </w:t>
      </w:r>
      <w:r>
        <w:t>Page size is owned and tuned by FOP. Keep requesting incrementing pages while the returned array length is less than the response 'total'; stop on HTTP 204. Both the single-page case (length equals total) and the 204 terminator are covered in the conformance pack.</w:t>
      </w:r>
    </w:p>
    <w:p w14:paraId="76FA8036" w14:textId="77777777" w:rsidR="00F87636" w:rsidRDefault="00000000">
      <w:pPr>
        <w:pStyle w:val="ListParagraph"/>
        <w:numPr>
          <w:ilvl w:val="0"/>
          <w:numId w:val="2"/>
        </w:numPr>
        <w:spacing w:after="100"/>
      </w:pPr>
      <w:r>
        <w:rPr>
          <w:b/>
          <w:bCs/>
        </w:rPr>
        <w:t xml:space="preserve">Response codes. </w:t>
      </w:r>
      <w:r>
        <w:t>200 success; 204 no more data; 400 malformed request; 401/403 authorisation (IP restriction, token, or client registration issue); 404 bad URI; 406 partnerId invalid or function not allowed for this partner; 500 platform error; 505 API version retired; 540 temporarily disabled by FOP configuration. 4xx alerts immediately; 5xx/540 backs off with circuit-breaking.</w:t>
      </w:r>
    </w:p>
    <w:p w14:paraId="03159427" w14:textId="77777777" w:rsidR="00F87636" w:rsidRDefault="00000000">
      <w:pPr>
        <w:pStyle w:val="Heading2"/>
        <w:spacing w:before="280" w:after="160"/>
      </w:pPr>
      <w:bookmarkStart w:id="18" w:name="_Toc239760071"/>
      <w:r>
        <w:rPr>
          <w:b/>
          <w:bCs/>
          <w:color w:val="1D4ED8"/>
        </w:rPr>
        <w:t>7.3  Transactional data via SFTP pull</w:t>
      </w:r>
      <w:bookmarkEnd w:id="18"/>
    </w:p>
    <w:p w14:paraId="6DE14B72" w14:textId="77777777" w:rsidR="00F87636" w:rsidRDefault="00000000">
      <w:pPr>
        <w:spacing w:after="160"/>
      </w:pPr>
      <w:r>
        <w:t xml:space="preserve">Transactional documents are published by TCG as files (JSONL for structured data) on the TCG-hosted SFTP endpoint. The platform pulls on per-feed schedules aligned to TCG's publication clocks, authenticating with a per-environment SSH key pair (private key in Key Vault, public key registered with TCG). Files land unmodified in the immutable object-store landing zone with hash and manifest recorded; JSONL validation is line-level, quarantining bad lines without discarding the file; originals and PDF artefacts are archived and referenced from the rows they produced. Outbound files (claims, promotional sales volumes) run the same </w:t>
      </w:r>
      <w:r>
        <w:lastRenderedPageBreak/>
        <w:t>machinery in reverse. If TCG ever prefers to push, the landing zone can expose an SFTP-enabled storage endpoint with no change downstream — the decision is configuration (KDD-5).</w:t>
      </w:r>
    </w:p>
    <w:p w14:paraId="771845DB" w14:textId="77777777" w:rsidR="00F87636" w:rsidRDefault="00000000">
      <w:pPr>
        <w:pStyle w:val="Heading3"/>
        <w:spacing w:before="220" w:after="120"/>
      </w:pPr>
      <w:r>
        <w:rPr>
          <w:b/>
          <w:bCs/>
          <w:color w:val="0F172A"/>
          <w:sz w:val="23"/>
          <w:szCs w:val="23"/>
        </w:rPr>
        <w:t>7.3.1  File feeds in scope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00"/>
      </w:tblGrid>
      <w:tr w:rsidR="00F87636" w14:paraId="24510237" w14:textId="77777777">
        <w:tblPrEx>
          <w:tblCellMar>
            <w:top w:w="0" w:type="dxa"/>
            <w:bottom w:w="0" w:type="dxa"/>
          </w:tblCellMar>
        </w:tblPrEx>
        <w:trPr>
          <w:cantSplit/>
          <w:tblHeader/>
        </w:trPr>
        <w:tc>
          <w:tcPr>
            <w:tcW w:w="26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93CD39F" w14:textId="77777777" w:rsidR="00F87636" w:rsidRDefault="00000000">
            <w:pPr>
              <w:spacing w:after="20"/>
            </w:pPr>
            <w:r>
              <w:rPr>
                <w:b/>
                <w:bCs/>
                <w:color w:val="FFFFFF"/>
                <w:sz w:val="20"/>
                <w:szCs w:val="20"/>
              </w:rPr>
              <w:t>Feed</w:t>
            </w:r>
          </w:p>
        </w:tc>
        <w:tc>
          <w:tcPr>
            <w:tcW w:w="20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2D8F7EB6" w14:textId="77777777" w:rsidR="00F87636" w:rsidRDefault="00000000">
            <w:pPr>
              <w:spacing w:after="20"/>
            </w:pPr>
            <w:r>
              <w:rPr>
                <w:b/>
                <w:bCs/>
                <w:color w:val="FFFFFF"/>
                <w:sz w:val="20"/>
                <w:szCs w:val="20"/>
              </w:rPr>
              <w:t>Direction</w:t>
            </w:r>
          </w:p>
        </w:tc>
        <w:tc>
          <w:tcPr>
            <w:tcW w:w="47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4FCE102" w14:textId="77777777" w:rsidR="00F87636" w:rsidRDefault="00000000">
            <w:pPr>
              <w:spacing w:after="20"/>
            </w:pPr>
            <w:r>
              <w:rPr>
                <w:b/>
                <w:bCs/>
                <w:color w:val="FFFFFF"/>
                <w:sz w:val="20"/>
                <w:szCs w:val="20"/>
              </w:rPr>
              <w:t>Content</w:t>
            </w:r>
          </w:p>
        </w:tc>
      </w:tr>
      <w:tr w:rsidR="00F87636" w14:paraId="3B8584FF"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2CEAE74" w14:textId="77777777" w:rsidR="00F87636" w:rsidRDefault="00000000">
            <w:pPr>
              <w:spacing w:after="20"/>
            </w:pPr>
            <w:r>
              <w:rPr>
                <w:sz w:val="19"/>
                <w:szCs w:val="19"/>
              </w:rPr>
              <w:t>EDN (baseline path)</w:t>
            </w:r>
          </w:p>
        </w:tc>
        <w:tc>
          <w:tcPr>
            <w:tcW w:w="2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E077400" w14:textId="77777777" w:rsidR="00F87636" w:rsidRDefault="00000000">
            <w:pPr>
              <w:spacing w:after="20"/>
            </w:pPr>
            <w:r>
              <w:rPr>
                <w:sz w:val="19"/>
                <w:szCs w:val="19"/>
              </w:rPr>
              <w:t>TCG → platform</w:t>
            </w:r>
          </w:p>
        </w:tc>
        <w:tc>
          <w:tcPr>
            <w:tcW w:w="4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EFA185D" w14:textId="77777777" w:rsidR="00F87636" w:rsidRDefault="00000000">
            <w:pPr>
              <w:spacing w:after="20"/>
            </w:pPr>
            <w:r>
              <w:rPr>
                <w:sz w:val="19"/>
                <w:szCs w:val="19"/>
              </w:rPr>
              <w:t>Electronic delivery notifications: delivered items, substitutions, quantities, expiry dates</w:t>
            </w:r>
          </w:p>
        </w:tc>
      </w:tr>
      <w:tr w:rsidR="00F87636" w14:paraId="1DC05DEE"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C4C02FB" w14:textId="77777777" w:rsidR="00F87636" w:rsidRDefault="00000000">
            <w:pPr>
              <w:spacing w:after="20"/>
            </w:pPr>
            <w:r>
              <w:rPr>
                <w:sz w:val="19"/>
                <w:szCs w:val="19"/>
              </w:rPr>
              <w:t>Depot / Direct invoices</w:t>
            </w:r>
          </w:p>
        </w:tc>
        <w:tc>
          <w:tcPr>
            <w:tcW w:w="2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B1B1094" w14:textId="77777777" w:rsidR="00F87636" w:rsidRDefault="00000000">
            <w:pPr>
              <w:spacing w:after="20"/>
            </w:pPr>
            <w:r>
              <w:rPr>
                <w:sz w:val="19"/>
                <w:szCs w:val="19"/>
              </w:rPr>
              <w:t>TCG → platform</w:t>
            </w:r>
          </w:p>
        </w:tc>
        <w:tc>
          <w:tcPr>
            <w:tcW w:w="4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857DCDA" w14:textId="77777777" w:rsidR="00F87636" w:rsidRDefault="00000000">
            <w:pPr>
              <w:spacing w:after="20"/>
            </w:pPr>
            <w:r>
              <w:rPr>
                <w:sz w:val="19"/>
                <w:szCs w:val="19"/>
              </w:rPr>
              <w:t>Line-level invoice data (retains the article/NSL/GTIN trio during transition)</w:t>
            </w:r>
          </w:p>
        </w:tc>
      </w:tr>
      <w:tr w:rsidR="00F87636" w14:paraId="3B5A6EC5"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7E038EB" w14:textId="77777777" w:rsidR="00F87636" w:rsidRDefault="00000000">
            <w:pPr>
              <w:spacing w:after="20"/>
            </w:pPr>
            <w:r>
              <w:rPr>
                <w:sz w:val="19"/>
                <w:szCs w:val="19"/>
              </w:rPr>
              <w:t>Claims (Depot / Direct)</w:t>
            </w:r>
          </w:p>
        </w:tc>
        <w:tc>
          <w:tcPr>
            <w:tcW w:w="2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FF477D2" w14:textId="77777777" w:rsidR="00F87636" w:rsidRDefault="00000000">
            <w:pPr>
              <w:spacing w:after="20"/>
            </w:pPr>
            <w:r>
              <w:rPr>
                <w:sz w:val="19"/>
                <w:szCs w:val="19"/>
              </w:rPr>
              <w:t>platform → TCG</w:t>
            </w:r>
          </w:p>
        </w:tc>
        <w:tc>
          <w:tcPr>
            <w:tcW w:w="4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0A59539" w14:textId="77777777" w:rsidR="00F87636" w:rsidRDefault="00000000">
            <w:pPr>
              <w:spacing w:after="20"/>
            </w:pPr>
            <w:r>
              <w:rPr>
                <w:sz w:val="19"/>
                <w:szCs w:val="19"/>
              </w:rPr>
              <w:t>Outbound claim settlement files on TCG's schedule</w:t>
            </w:r>
          </w:p>
        </w:tc>
      </w:tr>
      <w:tr w:rsidR="00F87636" w14:paraId="3976E9D2"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75844D9" w14:textId="77777777" w:rsidR="00F87636" w:rsidRDefault="00000000">
            <w:pPr>
              <w:spacing w:after="20"/>
            </w:pPr>
            <w:r>
              <w:rPr>
                <w:sz w:val="19"/>
                <w:szCs w:val="19"/>
              </w:rPr>
              <w:t>Condition contracts</w:t>
            </w:r>
          </w:p>
        </w:tc>
        <w:tc>
          <w:tcPr>
            <w:tcW w:w="2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0560509" w14:textId="77777777" w:rsidR="00F87636" w:rsidRDefault="00000000">
            <w:pPr>
              <w:spacing w:after="20"/>
            </w:pPr>
            <w:r>
              <w:rPr>
                <w:sz w:val="19"/>
                <w:szCs w:val="19"/>
              </w:rPr>
              <w:t>TCG → platform</w:t>
            </w:r>
          </w:p>
        </w:tc>
        <w:tc>
          <w:tcPr>
            <w:tcW w:w="4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F0BF9B1" w14:textId="77777777" w:rsidR="00F87636" w:rsidRDefault="00000000">
            <w:pPr>
              <w:spacing w:after="20"/>
            </w:pPr>
            <w:r>
              <w:rPr>
                <w:sz w:val="19"/>
                <w:szCs w:val="19"/>
              </w:rPr>
              <w:t>Settlement information for promotions and supplier funds</w:t>
            </w:r>
          </w:p>
        </w:tc>
      </w:tr>
      <w:tr w:rsidR="00F87636" w14:paraId="194E4F23"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1F4F422" w14:textId="77777777" w:rsidR="00F87636" w:rsidRDefault="00000000">
            <w:pPr>
              <w:spacing w:after="20"/>
            </w:pPr>
            <w:r>
              <w:rPr>
                <w:sz w:val="19"/>
                <w:szCs w:val="19"/>
              </w:rPr>
              <w:t>Promotional sales volumes</w:t>
            </w:r>
          </w:p>
        </w:tc>
        <w:tc>
          <w:tcPr>
            <w:tcW w:w="2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D4683D5" w14:textId="77777777" w:rsidR="00F87636" w:rsidRDefault="00000000">
            <w:pPr>
              <w:spacing w:after="20"/>
            </w:pPr>
            <w:r>
              <w:rPr>
                <w:sz w:val="19"/>
                <w:szCs w:val="19"/>
              </w:rPr>
              <w:t>platform → TCG</w:t>
            </w:r>
          </w:p>
        </w:tc>
        <w:tc>
          <w:tcPr>
            <w:tcW w:w="4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53C6729" w14:textId="77777777" w:rsidR="00F87636" w:rsidRDefault="00000000">
            <w:pPr>
              <w:spacing w:after="20"/>
            </w:pPr>
            <w:r>
              <w:rPr>
                <w:sz w:val="19"/>
                <w:szCs w:val="19"/>
              </w:rPr>
              <w:t>Outbound weekly volumes for promotional settlement</w:t>
            </w:r>
          </w:p>
        </w:tc>
      </w:tr>
      <w:tr w:rsidR="00F87636" w14:paraId="5A5E5CEE"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C3EB0E1" w14:textId="77777777" w:rsidR="00F87636" w:rsidRDefault="00000000">
            <w:pPr>
              <w:spacing w:after="20"/>
            </w:pPr>
            <w:r>
              <w:rPr>
                <w:sz w:val="19"/>
                <w:szCs w:val="19"/>
              </w:rPr>
              <w:t>Planogram / RADR, PSA</w:t>
            </w:r>
          </w:p>
        </w:tc>
        <w:tc>
          <w:tcPr>
            <w:tcW w:w="2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C14864C" w14:textId="77777777" w:rsidR="00F87636" w:rsidRDefault="00000000">
            <w:pPr>
              <w:spacing w:after="20"/>
            </w:pPr>
            <w:r>
              <w:rPr>
                <w:sz w:val="19"/>
                <w:szCs w:val="19"/>
              </w:rPr>
              <w:t>TCG → platform</w:t>
            </w:r>
          </w:p>
        </w:tc>
        <w:tc>
          <w:tcPr>
            <w:tcW w:w="4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A70F470" w14:textId="77777777" w:rsidR="00F87636" w:rsidRDefault="00000000">
            <w:pPr>
              <w:spacing w:after="20"/>
            </w:pPr>
            <w:r>
              <w:rPr>
                <w:sz w:val="19"/>
                <w:szCs w:val="19"/>
              </w:rPr>
              <w:t>Range and space files; object-store resident, metadata indexed</w:t>
            </w:r>
          </w:p>
        </w:tc>
      </w:tr>
      <w:tr w:rsidR="00F87636" w14:paraId="56861F77" w14:textId="77777777">
        <w:tblPrEx>
          <w:tblCellMar>
            <w:top w:w="0" w:type="dxa"/>
            <w:bottom w:w="0" w:type="dxa"/>
          </w:tblCellMar>
        </w:tblPrEx>
        <w:trPr>
          <w:cantSplit/>
        </w:trPr>
        <w:tc>
          <w:tcPr>
            <w:tcW w:w="2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11FF432" w14:textId="77777777" w:rsidR="00F87636" w:rsidRDefault="00000000">
            <w:pPr>
              <w:spacing w:after="20"/>
            </w:pPr>
            <w:r>
              <w:rPr>
                <w:sz w:val="19"/>
                <w:szCs w:val="19"/>
              </w:rPr>
              <w:t>Weekly full master data</w:t>
            </w:r>
          </w:p>
        </w:tc>
        <w:tc>
          <w:tcPr>
            <w:tcW w:w="2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1E804EB" w14:textId="77777777" w:rsidR="00F87636" w:rsidRDefault="00000000">
            <w:pPr>
              <w:spacing w:after="20"/>
            </w:pPr>
            <w:r>
              <w:rPr>
                <w:sz w:val="19"/>
                <w:szCs w:val="19"/>
              </w:rPr>
              <w:t>TCG → platform</w:t>
            </w:r>
          </w:p>
        </w:tc>
        <w:tc>
          <w:tcPr>
            <w:tcW w:w="4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D1194CB" w14:textId="77777777" w:rsidR="00F87636" w:rsidRDefault="00000000">
            <w:pPr>
              <w:spacing w:after="20"/>
            </w:pPr>
            <w:r>
              <w:rPr>
                <w:sz w:val="19"/>
                <w:szCs w:val="19"/>
              </w:rPr>
              <w:t>Recovery source when API watermarks exceed the 7-day delta window</w:t>
            </w:r>
          </w:p>
        </w:tc>
      </w:tr>
    </w:tbl>
    <w:p w14:paraId="7271EB79" w14:textId="77777777" w:rsidR="00F87636" w:rsidRDefault="00F87636">
      <w:pPr>
        <w:spacing w:after="60"/>
      </w:pPr>
    </w:p>
    <w:p w14:paraId="17637998" w14:textId="77777777" w:rsidR="00F87636" w:rsidRDefault="00000000">
      <w:pPr>
        <w:pStyle w:val="Heading2"/>
        <w:spacing w:before="280" w:after="160"/>
      </w:pPr>
      <w:bookmarkStart w:id="19" w:name="_Toc239760072"/>
      <w:r>
        <w:rPr>
          <w:b/>
          <w:bCs/>
          <w:color w:val="1D4ED8"/>
        </w:rPr>
        <w:t>7.4  Durable workflows</w:t>
      </w:r>
      <w:bookmarkEnd w:id="19"/>
    </w:p>
    <w:p w14:paraId="5E3C80C7" w14:textId="77777777" w:rsidR="00F87636" w:rsidRDefault="00000000">
      <w:pPr>
        <w:spacing w:before="160" w:after="60"/>
        <w:jc w:val="center"/>
      </w:pPr>
      <w:r>
        <w:rPr>
          <w:noProof/>
        </w:rPr>
        <w:drawing>
          <wp:inline distT="0" distB="0" distL="0" distR="0" wp14:anchorId="390450CF" wp14:editId="759CDDF4">
            <wp:extent cx="5943600" cy="2895600"/>
            <wp:effectExtent l="0" t="0" r="0" b="0"/>
            <wp:docPr id="1807802542" name="Picture 180780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895600"/>
                    </a:xfrm>
                    <a:prstGeom prst="rect">
                      <a:avLst/>
                    </a:prstGeom>
                  </pic:spPr>
                </pic:pic>
              </a:graphicData>
            </a:graphic>
          </wp:inline>
        </w:drawing>
      </w:r>
    </w:p>
    <w:p w14:paraId="522533D9" w14:textId="77777777" w:rsidR="00F87636" w:rsidRDefault="00000000">
      <w:pPr>
        <w:spacing w:after="220"/>
        <w:jc w:val="center"/>
      </w:pPr>
      <w:r>
        <w:rPr>
          <w:i/>
          <w:iCs/>
          <w:color w:val="64748B"/>
          <w:sz w:val="19"/>
          <w:szCs w:val="19"/>
        </w:rPr>
        <w:t>Figure 3 — The durable workflow families; every step an activity with a typed retry policy.</w:t>
      </w:r>
    </w:p>
    <w:p w14:paraId="7842F8B3" w14:textId="77777777" w:rsidR="00F87636" w:rsidRDefault="00000000">
      <w:pPr>
        <w:spacing w:after="160"/>
      </w:pPr>
      <w:r>
        <w:t>Concurrency is why this layer is Go: each entity's poll cycle is a goroutine under an errgroup with bounded parallelism; pages stream through validation into batched upserts; SFTP fetches run the same way per feed. Durability — watermarks advancing only on success, retry across restarts, exactly-once submission — belongs to Temporal behind the durable port (section 13), never to hand-rolled goroutine state. A failed activity retries on its policy; a poisoned input parks the workflow visibly in the Temporal UI for fix-and-replay; there is no separate message bus and no DLQ machinery to operate.</w:t>
      </w:r>
    </w:p>
    <w:p w14:paraId="3C4BE84F" w14:textId="77777777" w:rsidR="00F87636" w:rsidRDefault="00000000">
      <w:pPr>
        <w:pStyle w:val="Heading1"/>
        <w:spacing w:before="360" w:after="200"/>
      </w:pPr>
      <w:bookmarkStart w:id="20" w:name="_Toc239760073"/>
      <w:r>
        <w:rPr>
          <w:b/>
          <w:bCs/>
          <w:color w:val="0F172A"/>
        </w:rPr>
        <w:t>8  Persistence — the PostgreSQL Data Platform</w:t>
      </w:r>
      <w:bookmarkEnd w:id="20"/>
    </w:p>
    <w:p w14:paraId="471BED26" w14:textId="77777777" w:rsidR="00F87636" w:rsidRDefault="00000000">
      <w:pPr>
        <w:spacing w:before="160" w:after="60"/>
        <w:jc w:val="center"/>
      </w:pPr>
      <w:r>
        <w:rPr>
          <w:noProof/>
        </w:rPr>
        <w:lastRenderedPageBreak/>
        <w:drawing>
          <wp:inline distT="0" distB="0" distL="0" distR="0" wp14:anchorId="1DFBC1CB" wp14:editId="5E464ECD">
            <wp:extent cx="5943600" cy="3048000"/>
            <wp:effectExtent l="0" t="0" r="0" b="0"/>
            <wp:docPr id="824136983" name="Picture 82413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048000"/>
                    </a:xfrm>
                    <a:prstGeom prst="rect">
                      <a:avLst/>
                    </a:prstGeom>
                  </pic:spPr>
                </pic:pic>
              </a:graphicData>
            </a:graphic>
          </wp:inline>
        </w:drawing>
      </w:r>
    </w:p>
    <w:p w14:paraId="1565AB77" w14:textId="77777777" w:rsidR="00F87636" w:rsidRDefault="00000000">
      <w:pPr>
        <w:spacing w:after="220"/>
        <w:jc w:val="center"/>
      </w:pPr>
      <w:r>
        <w:rPr>
          <w:i/>
          <w:iCs/>
          <w:color w:val="64748B"/>
          <w:sz w:val="19"/>
          <w:szCs w:val="19"/>
        </w:rPr>
        <w:t>Figure 4 — One database: canonical as-is, overlay under RLS, staging, ops; the object store is the lake.</w:t>
      </w:r>
    </w:p>
    <w:p w14:paraId="786FB3D7" w14:textId="77777777" w:rsidR="00F87636" w:rsidRDefault="00000000">
      <w:pPr>
        <w:pStyle w:val="Heading2"/>
        <w:spacing w:before="280" w:after="160"/>
      </w:pPr>
      <w:bookmarkStart w:id="21" w:name="_Toc239760074"/>
      <w:r>
        <w:rPr>
          <w:b/>
          <w:bCs/>
          <w:color w:val="1D4ED8"/>
        </w:rPr>
        <w:t>8.1  Canonical: as-is in JSONB, keyed by generated columns</w:t>
      </w:r>
      <w:bookmarkEnd w:id="21"/>
    </w:p>
    <w:p w14:paraId="70534779" w14:textId="77777777" w:rsidR="00F87636" w:rsidRDefault="00000000">
      <w:pPr>
        <w:spacing w:after="160"/>
      </w:pPr>
      <w:r>
        <w:t>Each canonical table stores the FOP payload unchanged in a JSONB column, with the business keys extracted as generated, indexed columns. This is the strongest possible form of store-as-is: there is no mapping layer to drift, TCG's own documentation describes our stored rows byte-for-byte, and re-validation after a spec upgrade is a query, not a migration. Table and column derivation is mechanical, from the FOP spec and data dictionary committed to contracts/.</w:t>
      </w:r>
    </w:p>
    <w:p w14:paraId="45E9DD46" w14:textId="77777777" w:rsidR="00F87636" w:rsidRDefault="00000000">
      <w:pPr>
        <w:pStyle w:val="Heading3"/>
        <w:spacing w:before="220" w:after="120"/>
      </w:pPr>
      <w:r>
        <w:rPr>
          <w:b/>
          <w:bCs/>
          <w:color w:val="0F172A"/>
          <w:sz w:val="23"/>
          <w:szCs w:val="23"/>
        </w:rPr>
        <w:t>8.1.1  Canonical entities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1800"/>
        <w:gridCol w:w="3000"/>
      </w:tblGrid>
      <w:tr w:rsidR="00F87636" w14:paraId="0DE60F2B" w14:textId="77777777">
        <w:tblPrEx>
          <w:tblCellMar>
            <w:top w:w="0" w:type="dxa"/>
            <w:bottom w:w="0" w:type="dxa"/>
          </w:tblCellMar>
        </w:tblPrEx>
        <w:trPr>
          <w:cantSplit/>
          <w:tblHeader/>
        </w:trPr>
        <w:tc>
          <w:tcPr>
            <w:tcW w:w="21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37DAAB0F" w14:textId="77777777" w:rsidR="00F87636" w:rsidRDefault="00000000">
            <w:pPr>
              <w:spacing w:after="20"/>
            </w:pPr>
            <w:r>
              <w:rPr>
                <w:b/>
                <w:bCs/>
                <w:color w:val="FFFFFF"/>
                <w:sz w:val="20"/>
                <w:szCs w:val="20"/>
              </w:rPr>
              <w:t>Entity</w:t>
            </w:r>
          </w:p>
        </w:tc>
        <w:tc>
          <w:tcPr>
            <w:tcW w:w="24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5AE1361D" w14:textId="77777777" w:rsidR="00F87636" w:rsidRDefault="00000000">
            <w:pPr>
              <w:spacing w:after="20"/>
            </w:pPr>
            <w:r>
              <w:rPr>
                <w:b/>
                <w:bCs/>
                <w:color w:val="FFFFFF"/>
                <w:sz w:val="20"/>
                <w:szCs w:val="20"/>
              </w:rPr>
              <w:t>Source</w:t>
            </w:r>
          </w:p>
        </w:tc>
        <w:tc>
          <w:tcPr>
            <w:tcW w:w="18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0CE5E44F" w14:textId="77777777" w:rsidR="00F87636" w:rsidRDefault="00000000">
            <w:pPr>
              <w:spacing w:after="20"/>
            </w:pPr>
            <w:r>
              <w:rPr>
                <w:b/>
                <w:bCs/>
                <w:color w:val="FFFFFF"/>
                <w:sz w:val="20"/>
                <w:szCs w:val="20"/>
              </w:rPr>
              <w:t>Key</w:t>
            </w:r>
          </w:p>
        </w:tc>
        <w:tc>
          <w:tcPr>
            <w:tcW w:w="30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6A746225" w14:textId="77777777" w:rsidR="00F87636" w:rsidRDefault="00000000">
            <w:pPr>
              <w:spacing w:after="20"/>
            </w:pPr>
            <w:r>
              <w:rPr>
                <w:b/>
                <w:bCs/>
                <w:color w:val="FFFFFF"/>
                <w:sz w:val="20"/>
                <w:szCs w:val="20"/>
              </w:rPr>
              <w:t>Notes</w:t>
            </w:r>
          </w:p>
        </w:tc>
      </w:tr>
      <w:tr w:rsidR="00F87636" w14:paraId="626192D3"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DE0A369" w14:textId="77777777" w:rsidR="00F87636" w:rsidRDefault="00000000">
            <w:pPr>
              <w:spacing w:after="20"/>
            </w:pPr>
            <w:r>
              <w:rPr>
                <w:sz w:val="19"/>
                <w:szCs w:val="19"/>
              </w:rPr>
              <w:t>Retail Product</w:t>
            </w:r>
          </w:p>
        </w:tc>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DE9D53A" w14:textId="77777777" w:rsidR="00F87636" w:rsidRDefault="00000000">
            <w:pPr>
              <w:spacing w:after="20"/>
            </w:pPr>
            <w:r>
              <w:rPr>
                <w:sz w:val="19"/>
                <w:szCs w:val="19"/>
              </w:rPr>
              <w:t>GET /retail-products</w:t>
            </w:r>
          </w:p>
        </w:tc>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EA5E2FE" w14:textId="77777777" w:rsidR="00F87636" w:rsidRDefault="00000000">
            <w:pPr>
              <w:spacing w:after="20"/>
            </w:pPr>
            <w:r>
              <w:rPr>
                <w:sz w:val="19"/>
                <w:szCs w:val="19"/>
              </w:rPr>
              <w:t>Product ID</w:t>
            </w:r>
          </w:p>
        </w:tc>
        <w:tc>
          <w:tcPr>
            <w:tcW w:w="3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D020AB5" w14:textId="77777777" w:rsidR="00F87636" w:rsidRDefault="00000000">
            <w:pPr>
              <w:spacing w:after="20"/>
            </w:pPr>
            <w:r>
              <w:rPr>
                <w:sz w:val="19"/>
                <w:szCs w:val="19"/>
              </w:rPr>
              <w:t>Consumer-facing product: EANs, packaging, hierarchy reference, selling restrictions, tax category</w:t>
            </w:r>
          </w:p>
        </w:tc>
      </w:tr>
      <w:tr w:rsidR="00F87636" w14:paraId="62900CAB"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44A9705" w14:textId="77777777" w:rsidR="00F87636" w:rsidRDefault="00000000">
            <w:pPr>
              <w:spacing w:after="20"/>
            </w:pPr>
            <w:r>
              <w:rPr>
                <w:sz w:val="19"/>
                <w:szCs w:val="19"/>
              </w:rPr>
              <w:t>Wholesale Product</w:t>
            </w:r>
          </w:p>
        </w:tc>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C908A02" w14:textId="77777777" w:rsidR="00F87636" w:rsidRDefault="00000000">
            <w:pPr>
              <w:spacing w:after="20"/>
            </w:pPr>
            <w:r>
              <w:rPr>
                <w:sz w:val="19"/>
                <w:szCs w:val="19"/>
              </w:rPr>
              <w:t>GET /wholesale-products</w:t>
            </w:r>
          </w:p>
        </w:tc>
        <w:tc>
          <w:tcPr>
            <w:tcW w:w="1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00B5DD8" w14:textId="77777777" w:rsidR="00F87636" w:rsidRDefault="00000000">
            <w:pPr>
              <w:spacing w:after="20"/>
            </w:pPr>
            <w:r>
              <w:rPr>
                <w:sz w:val="19"/>
                <w:szCs w:val="19"/>
              </w:rPr>
              <w:t>Catalogue Item ID</w:t>
            </w:r>
          </w:p>
        </w:tc>
        <w:tc>
          <w:tcPr>
            <w:tcW w:w="3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F1C0F9F" w14:textId="77777777" w:rsidR="00F87636" w:rsidRDefault="00000000">
            <w:pPr>
              <w:spacing w:after="20"/>
            </w:pPr>
            <w:r>
              <w:rPr>
                <w:sz w:val="19"/>
                <w:szCs w:val="19"/>
              </w:rPr>
              <w:t>Orderable unit: cost prices array, supplier discount, unit conversion, pack/pallet spec, related retail product</w:t>
            </w:r>
          </w:p>
        </w:tc>
      </w:tr>
      <w:tr w:rsidR="00F87636" w14:paraId="7D25B675"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B42E804" w14:textId="77777777" w:rsidR="00F87636" w:rsidRDefault="00000000">
            <w:pPr>
              <w:spacing w:after="20"/>
            </w:pPr>
            <w:r>
              <w:rPr>
                <w:sz w:val="19"/>
                <w:szCs w:val="19"/>
              </w:rPr>
              <w:t>Catalogue Item</w:t>
            </w:r>
          </w:p>
        </w:tc>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0CBD0DF" w14:textId="77777777" w:rsidR="00F87636" w:rsidRDefault="00000000">
            <w:pPr>
              <w:spacing w:after="20"/>
            </w:pPr>
            <w:r>
              <w:rPr>
                <w:sz w:val="19"/>
                <w:szCs w:val="19"/>
              </w:rPr>
              <w:t>embedded in Wholesale Product</w:t>
            </w:r>
          </w:p>
        </w:tc>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618D8AD" w14:textId="77777777" w:rsidR="00F87636" w:rsidRDefault="00000000">
            <w:pPr>
              <w:spacing w:after="20"/>
            </w:pPr>
            <w:r>
              <w:rPr>
                <w:sz w:val="19"/>
                <w:szCs w:val="19"/>
              </w:rPr>
              <w:t>Catalogue Item ID</w:t>
            </w:r>
          </w:p>
        </w:tc>
        <w:tc>
          <w:tcPr>
            <w:tcW w:w="3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23D1A47" w14:textId="77777777" w:rsidR="00F87636" w:rsidRDefault="00000000">
            <w:pPr>
              <w:spacing w:after="20"/>
            </w:pPr>
            <w:r>
              <w:rPr>
                <w:sz w:val="19"/>
                <w:szCs w:val="19"/>
              </w:rPr>
              <w:t>The post-NSL identifier and the platform's primary product key (KDD-8)</w:t>
            </w:r>
          </w:p>
        </w:tc>
      </w:tr>
      <w:tr w:rsidR="00F87636" w14:paraId="434C8A9E"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AD5AE34" w14:textId="77777777" w:rsidR="00F87636" w:rsidRDefault="00000000">
            <w:pPr>
              <w:spacing w:after="20"/>
            </w:pPr>
            <w:r>
              <w:rPr>
                <w:sz w:val="19"/>
                <w:szCs w:val="19"/>
              </w:rPr>
              <w:t>Price (wholesale cost)</w:t>
            </w:r>
          </w:p>
        </w:tc>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288C97F" w14:textId="77777777" w:rsidR="00F87636" w:rsidRDefault="00000000">
            <w:pPr>
              <w:spacing w:after="20"/>
            </w:pPr>
            <w:r>
              <w:rPr>
                <w:sz w:val="19"/>
                <w:szCs w:val="19"/>
              </w:rPr>
              <w:t>within product payloads</w:t>
            </w:r>
          </w:p>
        </w:tc>
        <w:tc>
          <w:tcPr>
            <w:tcW w:w="1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4A6E75A" w14:textId="77777777" w:rsidR="00F87636" w:rsidRDefault="00000000">
            <w:pPr>
              <w:spacing w:after="20"/>
            </w:pPr>
            <w:r>
              <w:rPr>
                <w:sz w:val="19"/>
                <w:szCs w:val="19"/>
              </w:rPr>
              <w:t>product + effective-from</w:t>
            </w:r>
          </w:p>
        </w:tc>
        <w:tc>
          <w:tcPr>
            <w:tcW w:w="3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20635DA" w14:textId="77777777" w:rsidR="00F87636" w:rsidRDefault="00000000">
            <w:pPr>
              <w:spacing w:after="20"/>
            </w:pPr>
            <w:r>
              <w:rPr>
                <w:sz w:val="19"/>
                <w:szCs w:val="19"/>
              </w:rPr>
              <w:t>Effective-dated as published; advisory for retail purposes (P5)</w:t>
            </w:r>
          </w:p>
        </w:tc>
      </w:tr>
      <w:tr w:rsidR="00F87636" w14:paraId="1FBAD4C8"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A6E9F7F" w14:textId="77777777" w:rsidR="00F87636" w:rsidRDefault="00000000">
            <w:pPr>
              <w:spacing w:after="20"/>
            </w:pPr>
            <w:r>
              <w:rPr>
                <w:sz w:val="19"/>
                <w:szCs w:val="19"/>
              </w:rPr>
              <w:t>Promotion</w:t>
            </w:r>
          </w:p>
        </w:tc>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0E9C2A6" w14:textId="77777777" w:rsidR="00F87636" w:rsidRDefault="00000000">
            <w:pPr>
              <w:spacing w:after="20"/>
            </w:pPr>
            <w:r>
              <w:rPr>
                <w:sz w:val="19"/>
                <w:szCs w:val="19"/>
              </w:rPr>
              <w:t>GET /promotions</w:t>
            </w:r>
          </w:p>
        </w:tc>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2DD2948" w14:textId="77777777" w:rsidR="00F87636" w:rsidRDefault="00000000">
            <w:pPr>
              <w:spacing w:after="20"/>
            </w:pPr>
            <w:r>
              <w:rPr>
                <w:sz w:val="19"/>
                <w:szCs w:val="19"/>
              </w:rPr>
              <w:t>Promotion ID</w:t>
            </w:r>
          </w:p>
        </w:tc>
        <w:tc>
          <w:tcPr>
            <w:tcW w:w="3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98573DE" w14:textId="77777777" w:rsidR="00F87636" w:rsidRDefault="00000000">
            <w:pPr>
              <w:spacing w:after="20"/>
            </w:pPr>
            <w:r>
              <w:rPr>
                <w:sz w:val="19"/>
                <w:szCs w:val="19"/>
              </w:rPr>
              <w:t>Type, period, prices, qualifying products, funding attributes</w:t>
            </w:r>
          </w:p>
        </w:tc>
      </w:tr>
      <w:tr w:rsidR="00F87636" w14:paraId="24CBED98"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D81BAEC" w14:textId="77777777" w:rsidR="00F87636" w:rsidRDefault="00000000">
            <w:pPr>
              <w:spacing w:after="20"/>
            </w:pPr>
            <w:r>
              <w:rPr>
                <w:sz w:val="19"/>
                <w:szCs w:val="19"/>
              </w:rPr>
              <w:t>Product Hierarchy</w:t>
            </w:r>
          </w:p>
        </w:tc>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4ECC766" w14:textId="77777777" w:rsidR="00F87636" w:rsidRDefault="00000000">
            <w:pPr>
              <w:spacing w:after="20"/>
            </w:pPr>
            <w:r>
              <w:rPr>
                <w:sz w:val="19"/>
                <w:szCs w:val="19"/>
              </w:rPr>
              <w:t>GET /product-hierarchies</w:t>
            </w:r>
          </w:p>
        </w:tc>
        <w:tc>
          <w:tcPr>
            <w:tcW w:w="1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AAA81D4" w14:textId="77777777" w:rsidR="00F87636" w:rsidRDefault="00000000">
            <w:pPr>
              <w:spacing w:after="20"/>
            </w:pPr>
            <w:r>
              <w:rPr>
                <w:sz w:val="19"/>
                <w:szCs w:val="19"/>
              </w:rPr>
              <w:t>Hierarchy node ID</w:t>
            </w:r>
          </w:p>
        </w:tc>
        <w:tc>
          <w:tcPr>
            <w:tcW w:w="3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A435977" w14:textId="77777777" w:rsidR="00F87636" w:rsidRDefault="00000000">
            <w:pPr>
              <w:spacing w:after="20"/>
            </w:pPr>
            <w:r>
              <w:rPr>
                <w:sz w:val="19"/>
                <w:szCs w:val="19"/>
              </w:rPr>
              <w:t>Parent-child mirror of TCG hierarchy</w:t>
            </w:r>
          </w:p>
        </w:tc>
      </w:tr>
      <w:tr w:rsidR="00F87636" w14:paraId="3F9EA0BD"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E669F02" w14:textId="77777777" w:rsidR="00F87636" w:rsidRDefault="00000000">
            <w:pPr>
              <w:spacing w:after="20"/>
            </w:pPr>
            <w:r>
              <w:rPr>
                <w:sz w:val="19"/>
                <w:szCs w:val="19"/>
              </w:rPr>
              <w:t>Supplier</w:t>
            </w:r>
          </w:p>
        </w:tc>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1EEF1D0" w14:textId="77777777" w:rsidR="00F87636" w:rsidRDefault="00000000">
            <w:pPr>
              <w:spacing w:after="20"/>
            </w:pPr>
            <w:r>
              <w:rPr>
                <w:sz w:val="19"/>
                <w:szCs w:val="19"/>
              </w:rPr>
              <w:t>GET /suppliers</w:t>
            </w:r>
          </w:p>
        </w:tc>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6BF631F" w14:textId="77777777" w:rsidR="00F87636" w:rsidRDefault="00000000">
            <w:pPr>
              <w:spacing w:after="20"/>
            </w:pPr>
            <w:r>
              <w:rPr>
                <w:sz w:val="19"/>
                <w:szCs w:val="19"/>
              </w:rPr>
              <w:t>Supplier code</w:t>
            </w:r>
          </w:p>
        </w:tc>
        <w:tc>
          <w:tcPr>
            <w:tcW w:w="3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74A7CB3" w14:textId="77777777" w:rsidR="00F87636" w:rsidRDefault="00000000">
            <w:pPr>
              <w:spacing w:after="20"/>
            </w:pPr>
            <w:r>
              <w:rPr>
                <w:sz w:val="19"/>
                <w:szCs w:val="19"/>
              </w:rPr>
              <w:t>Name, ANA code, address</w:t>
            </w:r>
          </w:p>
        </w:tc>
      </w:tr>
      <w:tr w:rsidR="00F87636" w14:paraId="4753FAA7"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38957F7" w14:textId="77777777" w:rsidR="00F87636" w:rsidRDefault="00000000">
            <w:pPr>
              <w:spacing w:after="20"/>
            </w:pPr>
            <w:r>
              <w:rPr>
                <w:sz w:val="19"/>
                <w:szCs w:val="19"/>
              </w:rPr>
              <w:t>EDN</w:t>
            </w:r>
          </w:p>
        </w:tc>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7006864" w14:textId="77777777" w:rsidR="00F87636" w:rsidRDefault="00000000">
            <w:pPr>
              <w:spacing w:after="20"/>
            </w:pPr>
            <w:r>
              <w:rPr>
                <w:sz w:val="19"/>
                <w:szCs w:val="19"/>
              </w:rPr>
              <w:t>SFTP (API alternative)</w:t>
            </w:r>
          </w:p>
        </w:tc>
        <w:tc>
          <w:tcPr>
            <w:tcW w:w="1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5B166A5" w14:textId="77777777" w:rsidR="00F87636" w:rsidRDefault="00000000">
            <w:pPr>
              <w:spacing w:after="20"/>
            </w:pPr>
            <w:r>
              <w:rPr>
                <w:sz w:val="19"/>
                <w:szCs w:val="19"/>
              </w:rPr>
              <w:t>Delivery reference</w:t>
            </w:r>
          </w:p>
        </w:tc>
        <w:tc>
          <w:tcPr>
            <w:tcW w:w="3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1BBA91F" w14:textId="77777777" w:rsidR="00F87636" w:rsidRDefault="00000000">
            <w:pPr>
              <w:spacing w:after="20"/>
            </w:pPr>
            <w:r>
              <w:rPr>
                <w:sz w:val="19"/>
                <w:szCs w:val="19"/>
              </w:rPr>
              <w:t>Header + detail lines incl. substitutions, expiry dates</w:t>
            </w:r>
          </w:p>
        </w:tc>
      </w:tr>
      <w:tr w:rsidR="00F87636" w14:paraId="21FEB7B2"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BC3C430" w14:textId="77777777" w:rsidR="00F87636" w:rsidRDefault="00000000">
            <w:pPr>
              <w:spacing w:after="20"/>
            </w:pPr>
            <w:r>
              <w:rPr>
                <w:sz w:val="19"/>
                <w:szCs w:val="19"/>
              </w:rPr>
              <w:lastRenderedPageBreak/>
              <w:t>Order Acknowledgement</w:t>
            </w:r>
          </w:p>
        </w:tc>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04A5861" w14:textId="77777777" w:rsidR="00F87636" w:rsidRDefault="00000000">
            <w:pPr>
              <w:spacing w:after="20"/>
            </w:pPr>
            <w:r>
              <w:rPr>
                <w:sz w:val="19"/>
                <w:szCs w:val="19"/>
              </w:rPr>
              <w:t>POST /sales-order response</w:t>
            </w:r>
          </w:p>
        </w:tc>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F2D4D4A" w14:textId="77777777" w:rsidR="00F87636" w:rsidRDefault="00000000">
            <w:pPr>
              <w:spacing w:after="20"/>
            </w:pPr>
            <w:r>
              <w:rPr>
                <w:sz w:val="19"/>
                <w:szCs w:val="19"/>
              </w:rPr>
              <w:t>Store order reference</w:t>
            </w:r>
          </w:p>
        </w:tc>
        <w:tc>
          <w:tcPr>
            <w:tcW w:w="3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7FAF7BB" w14:textId="77777777" w:rsidR="00F87636" w:rsidRDefault="00000000">
            <w:pPr>
              <w:spacing w:after="20"/>
            </w:pPr>
            <w:r>
              <w:rPr>
                <w:sz w:val="19"/>
                <w:szCs w:val="19"/>
              </w:rPr>
              <w:t>Accepted/rejected line detail with rejection codes; persisted with the originating staged order</w:t>
            </w:r>
          </w:p>
        </w:tc>
      </w:tr>
      <w:tr w:rsidR="00F87636" w14:paraId="727F8831"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3D9FDAF" w14:textId="77777777" w:rsidR="00F87636" w:rsidRDefault="00000000">
            <w:pPr>
              <w:spacing w:after="20"/>
            </w:pPr>
            <w:r>
              <w:rPr>
                <w:sz w:val="19"/>
                <w:szCs w:val="19"/>
              </w:rPr>
              <w:t>Invoice (Depot/Direct)</w:t>
            </w:r>
          </w:p>
        </w:tc>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CE5EA22" w14:textId="77777777" w:rsidR="00F87636" w:rsidRDefault="00000000">
            <w:pPr>
              <w:spacing w:after="20"/>
            </w:pPr>
            <w:r>
              <w:rPr>
                <w:sz w:val="19"/>
                <w:szCs w:val="19"/>
              </w:rPr>
              <w:t>SFTP</w:t>
            </w:r>
          </w:p>
        </w:tc>
        <w:tc>
          <w:tcPr>
            <w:tcW w:w="1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B53DFBC" w14:textId="77777777" w:rsidR="00F87636" w:rsidRDefault="00000000">
            <w:pPr>
              <w:spacing w:after="20"/>
            </w:pPr>
            <w:r>
              <w:rPr>
                <w:sz w:val="19"/>
                <w:szCs w:val="19"/>
              </w:rPr>
              <w:t>Invoice reference</w:t>
            </w:r>
          </w:p>
        </w:tc>
        <w:tc>
          <w:tcPr>
            <w:tcW w:w="3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BBB10C8" w14:textId="77777777" w:rsidR="00F87636" w:rsidRDefault="00000000">
            <w:pPr>
              <w:spacing w:after="20"/>
            </w:pPr>
            <w:r>
              <w:rPr>
                <w:sz w:val="19"/>
                <w:szCs w:val="19"/>
              </w:rPr>
              <w:t>Line-level; PDF artefact in the object store where supplied</w:t>
            </w:r>
          </w:p>
        </w:tc>
      </w:tr>
      <w:tr w:rsidR="00F87636" w14:paraId="0948FC5E"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198C134" w14:textId="77777777" w:rsidR="00F87636" w:rsidRDefault="00000000">
            <w:pPr>
              <w:spacing w:after="20"/>
            </w:pPr>
            <w:r>
              <w:rPr>
                <w:sz w:val="19"/>
                <w:szCs w:val="19"/>
              </w:rPr>
              <w:t>Claim (Depot/Direct)</w:t>
            </w:r>
          </w:p>
        </w:tc>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C38B60A" w14:textId="77777777" w:rsidR="00F87636" w:rsidRDefault="00000000">
            <w:pPr>
              <w:spacing w:after="20"/>
            </w:pPr>
            <w:r>
              <w:rPr>
                <w:sz w:val="19"/>
                <w:szCs w:val="19"/>
              </w:rPr>
              <w:t>platform → TCG SFTP</w:t>
            </w:r>
          </w:p>
        </w:tc>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6AC88C8" w14:textId="77777777" w:rsidR="00F87636" w:rsidRDefault="00000000">
            <w:pPr>
              <w:spacing w:after="20"/>
            </w:pPr>
            <w:r>
              <w:rPr>
                <w:sz w:val="19"/>
                <w:szCs w:val="19"/>
              </w:rPr>
              <w:t>Claim reference</w:t>
            </w:r>
          </w:p>
        </w:tc>
        <w:tc>
          <w:tcPr>
            <w:tcW w:w="3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40830E8" w14:textId="77777777" w:rsidR="00F87636" w:rsidRDefault="00000000">
            <w:pPr>
              <w:spacing w:after="20"/>
            </w:pPr>
            <w:r>
              <w:rPr>
                <w:sz w:val="19"/>
                <w:szCs w:val="19"/>
              </w:rPr>
              <w:t>Outbound; staged and receipted like any egress</w:t>
            </w:r>
          </w:p>
        </w:tc>
      </w:tr>
      <w:tr w:rsidR="00F87636" w14:paraId="0DC2DAE1"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0064B95" w14:textId="77777777" w:rsidR="00F87636" w:rsidRDefault="00000000">
            <w:pPr>
              <w:spacing w:after="20"/>
            </w:pPr>
            <w:r>
              <w:rPr>
                <w:sz w:val="19"/>
                <w:szCs w:val="19"/>
              </w:rPr>
              <w:t>Condition Contract</w:t>
            </w:r>
          </w:p>
        </w:tc>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C8E7E21" w14:textId="77777777" w:rsidR="00F87636" w:rsidRDefault="00000000">
            <w:pPr>
              <w:spacing w:after="20"/>
            </w:pPr>
            <w:r>
              <w:rPr>
                <w:sz w:val="19"/>
                <w:szCs w:val="19"/>
              </w:rPr>
              <w:t>SFTP</w:t>
            </w:r>
          </w:p>
        </w:tc>
        <w:tc>
          <w:tcPr>
            <w:tcW w:w="1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1897A27" w14:textId="77777777" w:rsidR="00F87636" w:rsidRDefault="00000000">
            <w:pPr>
              <w:spacing w:after="20"/>
            </w:pPr>
            <w:r>
              <w:rPr>
                <w:sz w:val="19"/>
                <w:szCs w:val="19"/>
              </w:rPr>
              <w:t>Contract reference</w:t>
            </w:r>
          </w:p>
        </w:tc>
        <w:tc>
          <w:tcPr>
            <w:tcW w:w="3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21FEC8E" w14:textId="77777777" w:rsidR="00F87636" w:rsidRDefault="00000000">
            <w:pPr>
              <w:spacing w:after="20"/>
            </w:pPr>
            <w:r>
              <w:rPr>
                <w:sz w:val="19"/>
                <w:szCs w:val="19"/>
              </w:rPr>
              <w:t>Settlement data for promotions and supplier funds</w:t>
            </w:r>
          </w:p>
        </w:tc>
      </w:tr>
      <w:tr w:rsidR="00F87636" w14:paraId="44E01C19" w14:textId="77777777">
        <w:tblPrEx>
          <w:tblCellMar>
            <w:top w:w="0" w:type="dxa"/>
            <w:bottom w:w="0" w:type="dxa"/>
          </w:tblCellMar>
        </w:tblPrEx>
        <w:trPr>
          <w:cantSplit/>
        </w:trPr>
        <w:tc>
          <w:tcPr>
            <w:tcW w:w="2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753B4AC" w14:textId="77777777" w:rsidR="00F87636" w:rsidRDefault="00000000">
            <w:pPr>
              <w:spacing w:after="20"/>
            </w:pPr>
            <w:r>
              <w:rPr>
                <w:sz w:val="19"/>
                <w:szCs w:val="19"/>
              </w:rPr>
              <w:t>Range/Planogram file</w:t>
            </w:r>
          </w:p>
        </w:tc>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146D02D" w14:textId="77777777" w:rsidR="00F87636" w:rsidRDefault="00000000">
            <w:pPr>
              <w:spacing w:after="20"/>
            </w:pPr>
            <w:r>
              <w:rPr>
                <w:sz w:val="19"/>
                <w:szCs w:val="19"/>
              </w:rPr>
              <w:t>SFTP</w:t>
            </w:r>
          </w:p>
        </w:tc>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4AD0FD7" w14:textId="77777777" w:rsidR="00F87636" w:rsidRDefault="00000000">
            <w:pPr>
              <w:spacing w:after="20"/>
            </w:pPr>
            <w:r>
              <w:rPr>
                <w:sz w:val="19"/>
                <w:szCs w:val="19"/>
              </w:rPr>
              <w:t>File reference</w:t>
            </w:r>
          </w:p>
        </w:tc>
        <w:tc>
          <w:tcPr>
            <w:tcW w:w="3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E455523" w14:textId="77777777" w:rsidR="00F87636" w:rsidRDefault="00000000">
            <w:pPr>
              <w:spacing w:after="20"/>
            </w:pPr>
            <w:r>
              <w:rPr>
                <w:sz w:val="19"/>
                <w:szCs w:val="19"/>
              </w:rPr>
              <w:t>Object-store resident; metadata row in Postgres</w:t>
            </w:r>
          </w:p>
        </w:tc>
      </w:tr>
    </w:tbl>
    <w:p w14:paraId="64A2B2A3" w14:textId="77777777" w:rsidR="00F87636" w:rsidRDefault="00F87636">
      <w:pPr>
        <w:spacing w:after="60"/>
      </w:pPr>
    </w:p>
    <w:p w14:paraId="50AC02F6" w14:textId="77777777" w:rsidR="00F87636" w:rsidRDefault="00000000">
      <w:pPr>
        <w:pStyle w:val="Heading3"/>
        <w:spacing w:before="220" w:after="120"/>
      </w:pPr>
      <w:r>
        <w:rPr>
          <w:b/>
          <w:bCs/>
          <w:color w:val="0F172A"/>
          <w:sz w:val="23"/>
          <w:szCs w:val="23"/>
        </w:rPr>
        <w:t>8.1.2  Product identity: Catalogue Item first, NSL as alias</w:t>
      </w:r>
    </w:p>
    <w:p w14:paraId="71FA78D9" w14:textId="77777777" w:rsidR="00F87636" w:rsidRDefault="00000000">
      <w:pPr>
        <w:spacing w:after="160"/>
      </w:pPr>
      <w:r>
        <w:t>Catalogue Item is the canonical product key everywhere inside the platform. NSL is carried as an indexed transitional alias on the wholesale product row for lookup and for transitional documents (invoices retain the article/NSL/GTIN trio during cutover). Curation screens accept either identifier and resolve to Catalogue Item. Nothing new is ever keyed on NSL.</w:t>
      </w:r>
    </w:p>
    <w:p w14:paraId="30FB02BC" w14:textId="77777777" w:rsidR="00F87636" w:rsidRDefault="00000000">
      <w:pPr>
        <w:pStyle w:val="Heading2"/>
        <w:spacing w:before="280" w:after="160"/>
      </w:pPr>
      <w:bookmarkStart w:id="22" w:name="_Toc239760075"/>
      <w:r>
        <w:rPr>
          <w:b/>
          <w:bCs/>
          <w:color w:val="1D4ED8"/>
        </w:rPr>
        <w:t>8.2  The subscription overlay</w:t>
      </w:r>
      <w:bookmarkEnd w:id="22"/>
    </w:p>
    <w:p w14:paraId="28A4C156" w14:textId="77777777" w:rsidR="00F87636" w:rsidRDefault="00000000">
      <w:pPr>
        <w:spacing w:after="160"/>
      </w:pPr>
      <w:r>
        <w:t>Everything subscriber-specific lives in overlay tables that reference canonical rows by key and carry subscriber_id, under native row-level security. RLS is the data half of the competition-law boundary (the cell is the process half, section 9), and it is proven mechanically: a CI isolation suite demonstrates on every merge that no query path returns another subscriber's rows.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800"/>
      </w:tblGrid>
      <w:tr w:rsidR="00F87636" w14:paraId="6010B62D" w14:textId="77777777">
        <w:tblPrEx>
          <w:tblCellMar>
            <w:top w:w="0" w:type="dxa"/>
            <w:bottom w:w="0" w:type="dxa"/>
          </w:tblCellMar>
        </w:tblPrEx>
        <w:trPr>
          <w:cantSplit/>
          <w:tblHeader/>
        </w:trPr>
        <w:tc>
          <w:tcPr>
            <w:tcW w:w="22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5399CE51" w14:textId="77777777" w:rsidR="00F87636" w:rsidRDefault="00000000">
            <w:pPr>
              <w:spacing w:after="20"/>
            </w:pPr>
            <w:r>
              <w:rPr>
                <w:b/>
                <w:bCs/>
                <w:color w:val="FFFFFF"/>
                <w:sz w:val="20"/>
                <w:szCs w:val="20"/>
              </w:rPr>
              <w:t>Overlay table</w:t>
            </w:r>
          </w:p>
        </w:tc>
        <w:tc>
          <w:tcPr>
            <w:tcW w:w="23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E8CDD9B" w14:textId="77777777" w:rsidR="00F87636" w:rsidRDefault="00000000">
            <w:pPr>
              <w:spacing w:after="20"/>
            </w:pPr>
            <w:r>
              <w:rPr>
                <w:b/>
                <w:bCs/>
                <w:color w:val="FFFFFF"/>
                <w:sz w:val="20"/>
                <w:szCs w:val="20"/>
              </w:rPr>
              <w:t>Grain</w:t>
            </w:r>
          </w:p>
        </w:tc>
        <w:tc>
          <w:tcPr>
            <w:tcW w:w="48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0D1E5788" w14:textId="77777777" w:rsidR="00F87636" w:rsidRDefault="00000000">
            <w:pPr>
              <w:spacing w:after="20"/>
            </w:pPr>
            <w:r>
              <w:rPr>
                <w:b/>
                <w:bCs/>
                <w:color w:val="FFFFFF"/>
                <w:sz w:val="20"/>
                <w:szCs w:val="20"/>
              </w:rPr>
              <w:t>Content</w:t>
            </w:r>
          </w:p>
        </w:tc>
      </w:tr>
      <w:tr w:rsidR="00F87636" w14:paraId="0EC15F13"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C29B7E8" w14:textId="77777777" w:rsidR="00F87636" w:rsidRDefault="00000000">
            <w:pPr>
              <w:spacing w:after="20"/>
            </w:pPr>
            <w:r>
              <w:rPr>
                <w:sz w:val="19"/>
                <w:szCs w:val="19"/>
              </w:rPr>
              <w:t>Subscription</w:t>
            </w:r>
          </w:p>
        </w:tc>
        <w:tc>
          <w:tcPr>
            <w:tcW w:w="2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7813E22" w14:textId="77777777" w:rsidR="00F87636" w:rsidRDefault="00000000">
            <w:pPr>
              <w:spacing w:after="20"/>
            </w:pPr>
            <w:r>
              <w:rPr>
                <w:sz w:val="19"/>
                <w:szCs w:val="19"/>
              </w:rPr>
              <w:t>subscriber × canonical row</w:t>
            </w:r>
          </w:p>
        </w:tc>
        <w:tc>
          <w:tcPr>
            <w:tcW w:w="4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4398C1F" w14:textId="77777777" w:rsidR="00F87636" w:rsidRDefault="00000000">
            <w:pPr>
              <w:spacing w:after="20"/>
            </w:pPr>
            <w:r>
              <w:rPr>
                <w:sz w:val="19"/>
                <w:szCs w:val="19"/>
              </w:rPr>
              <w:t>The subscriber has selected this catalogue item / promotion / supplier; status (candidate, subscribed, suppressed, superseded)</w:t>
            </w:r>
          </w:p>
        </w:tc>
      </w:tr>
      <w:tr w:rsidR="00F87636" w14:paraId="3763BB8F"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B691F44" w14:textId="77777777" w:rsidR="00F87636" w:rsidRDefault="00000000">
            <w:pPr>
              <w:spacing w:after="20"/>
            </w:pPr>
            <w:r>
              <w:rPr>
                <w:sz w:val="19"/>
                <w:szCs w:val="19"/>
              </w:rPr>
              <w:t>Enrichment</w:t>
            </w:r>
          </w:p>
        </w:tc>
        <w:tc>
          <w:tcPr>
            <w:tcW w:w="2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AE1327D" w14:textId="77777777" w:rsidR="00F87636" w:rsidRDefault="00000000">
            <w:pPr>
              <w:spacing w:after="20"/>
            </w:pPr>
            <w:r>
              <w:rPr>
                <w:sz w:val="19"/>
                <w:szCs w:val="19"/>
              </w:rPr>
              <w:t>subscriber × canonical row × element</w:t>
            </w:r>
          </w:p>
        </w:tc>
        <w:tc>
          <w:tcPr>
            <w:tcW w:w="4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C5AEDDB" w14:textId="77777777" w:rsidR="00F87636" w:rsidRDefault="00000000">
            <w:pPr>
              <w:spacing w:after="20"/>
            </w:pPr>
            <w:r>
              <w:rPr>
                <w:sz w:val="19"/>
                <w:szCs w:val="19"/>
              </w:rPr>
              <w:t>Subscriber-supplied data elements: downstream system key, local category, description override, flags. Element definitions are schema-controlled configuration per subscriber</w:t>
            </w:r>
          </w:p>
        </w:tc>
      </w:tr>
      <w:tr w:rsidR="00F87636" w14:paraId="3E696A6E"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81F1DFE" w14:textId="77777777" w:rsidR="00F87636" w:rsidRDefault="00000000">
            <w:pPr>
              <w:spacing w:after="20"/>
            </w:pPr>
            <w:r>
              <w:rPr>
                <w:sz w:val="19"/>
                <w:szCs w:val="19"/>
              </w:rPr>
              <w:t>Decision audit</w:t>
            </w:r>
          </w:p>
        </w:tc>
        <w:tc>
          <w:tcPr>
            <w:tcW w:w="2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CCE3FDD" w14:textId="77777777" w:rsidR="00F87636" w:rsidRDefault="00000000">
            <w:pPr>
              <w:spacing w:after="20"/>
            </w:pPr>
            <w:r>
              <w:rPr>
                <w:sz w:val="19"/>
                <w:szCs w:val="19"/>
              </w:rPr>
              <w:t>per change</w:t>
            </w:r>
          </w:p>
        </w:tc>
        <w:tc>
          <w:tcPr>
            <w:tcW w:w="4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F74C9AA" w14:textId="77777777" w:rsidR="00F87636" w:rsidRDefault="00000000">
            <w:pPr>
              <w:spacing w:after="20"/>
            </w:pPr>
            <w:r>
              <w:rPr>
                <w:sz w:val="19"/>
                <w:szCs w:val="19"/>
              </w:rPr>
              <w:t>Who selected/enriched/approved, when, against which rule (P4); append-only</w:t>
            </w:r>
          </w:p>
        </w:tc>
      </w:tr>
      <w:tr w:rsidR="00F87636" w14:paraId="5B6FBCA1"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D24D88C" w14:textId="77777777" w:rsidR="00F87636" w:rsidRDefault="00000000">
            <w:pPr>
              <w:spacing w:after="20"/>
            </w:pPr>
            <w:r>
              <w:rPr>
                <w:sz w:val="19"/>
                <w:szCs w:val="19"/>
              </w:rPr>
              <w:t>Egress state</w:t>
            </w:r>
          </w:p>
        </w:tc>
        <w:tc>
          <w:tcPr>
            <w:tcW w:w="2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99463DA" w14:textId="77777777" w:rsidR="00F87636" w:rsidRDefault="00000000">
            <w:pPr>
              <w:spacing w:after="20"/>
            </w:pPr>
            <w:r>
              <w:rPr>
                <w:sz w:val="19"/>
                <w:szCs w:val="19"/>
              </w:rPr>
              <w:t>subscriber × interface × row</w:t>
            </w:r>
          </w:p>
        </w:tc>
        <w:tc>
          <w:tcPr>
            <w:tcW w:w="4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CC778BE" w14:textId="77777777" w:rsidR="00F87636" w:rsidRDefault="00000000">
            <w:pPr>
              <w:spacing w:after="20"/>
            </w:pPr>
            <w:r>
              <w:rPr>
                <w:sz w:val="19"/>
                <w:szCs w:val="19"/>
              </w:rPr>
              <w:t>Last delivered version, delivery receipt reference, pending changes</w:t>
            </w:r>
          </w:p>
        </w:tc>
      </w:tr>
    </w:tbl>
    <w:p w14:paraId="68A461C0" w14:textId="77777777" w:rsidR="00F87636" w:rsidRDefault="00F87636">
      <w:pPr>
        <w:spacing w:after="60"/>
      </w:pPr>
    </w:p>
    <w:p w14:paraId="0546E6DC" w14:textId="77777777" w:rsidR="00F87636" w:rsidRDefault="00000000">
      <w:pPr>
        <w:spacing w:after="160"/>
      </w:pPr>
      <w:r>
        <w:t>The egress-ready view per subscriber is the join: canonical ⨯ that subscriber's subscriptions ⨯ their enrichment. It is the only surface cells may read, so an unselected item can never leak to a subscriber and an approved selection always carries its enrichment.</w:t>
      </w:r>
    </w:p>
    <w:p w14:paraId="0C132CD0" w14:textId="77777777" w:rsidR="00F87636" w:rsidRDefault="00000000">
      <w:pPr>
        <w:pStyle w:val="Heading2"/>
        <w:spacing w:before="280" w:after="160"/>
      </w:pPr>
      <w:bookmarkStart w:id="23" w:name="_Toc239760076"/>
      <w:r>
        <w:rPr>
          <w:b/>
          <w:bCs/>
          <w:color w:val="1D4ED8"/>
        </w:rPr>
        <w:t>8.3  Staging, ops, roles and files</w:t>
      </w:r>
      <w:bookmarkEnd w:id="23"/>
    </w:p>
    <w:p w14:paraId="56AAE574" w14:textId="77777777" w:rsidR="00F87636" w:rsidRDefault="00000000">
      <w:pPr>
        <w:pStyle w:val="ListParagraph"/>
        <w:numPr>
          <w:ilvl w:val="0"/>
          <w:numId w:val="2"/>
        </w:numPr>
        <w:spacing w:after="100"/>
      </w:pPr>
      <w:r>
        <w:t>staging.* holds TCG-format sales orders and their acknowledgements, idempotency-keyed by store order reference, RLS-partitioned by originating subscriber.</w:t>
      </w:r>
    </w:p>
    <w:p w14:paraId="75316E53" w14:textId="77777777" w:rsidR="00F87636" w:rsidRDefault="00000000">
      <w:pPr>
        <w:pStyle w:val="ListParagraph"/>
        <w:numPr>
          <w:ilvl w:val="0"/>
          <w:numId w:val="2"/>
        </w:numPr>
        <w:spacing w:after="100"/>
      </w:pPr>
      <w:r>
        <w:t>ops.* holds per-entity watermarks, per-record lineage (API page or file+line — 'where is my record?' is a query), append-only audit via triggers, and delivery receipts.</w:t>
      </w:r>
    </w:p>
    <w:p w14:paraId="04626888" w14:textId="77777777" w:rsidR="00F87636" w:rsidRDefault="00000000">
      <w:pPr>
        <w:pStyle w:val="ListParagraph"/>
        <w:numPr>
          <w:ilvl w:val="0"/>
          <w:numId w:val="2"/>
        </w:numPr>
        <w:spacing w:after="100"/>
      </w:pPr>
      <w:r>
        <w:lastRenderedPageBreak/>
        <w:t>Database roles: tcg_writer (canonical + ops only), bff_api (overlay via RLS with OIDC-derived context), cell_&lt;subscriber&gt; (that cell's egress-ready view and staging rows only), ops_admin (audited). Migrations are SQL files in git, applied by pipeline before rollout.</w:t>
      </w:r>
    </w:p>
    <w:p w14:paraId="4E50DEFB" w14:textId="77777777" w:rsidR="00F87636" w:rsidRDefault="00000000">
      <w:pPr>
        <w:pStyle w:val="ListParagraph"/>
        <w:numPr>
          <w:ilvl w:val="0"/>
          <w:numId w:val="2"/>
        </w:numPr>
        <w:spacing w:after="100"/>
      </w:pPr>
      <w:r>
        <w:t>The object store — MinIO in compose, Blob/S3 in cloud behind one storage port — carries the immutable landing zone, the archive of originals, PDF and planogram artefacts. Finance-adjacent retention defaults to 7 years, configurable per subscriber policy.</w:t>
      </w:r>
    </w:p>
    <w:p w14:paraId="0F871828" w14:textId="77777777" w:rsidR="00F87636" w:rsidRDefault="00000000">
      <w:pPr>
        <w:pStyle w:val="Heading1"/>
        <w:spacing w:before="360" w:after="200"/>
      </w:pPr>
      <w:bookmarkStart w:id="24" w:name="_Toc239760077"/>
      <w:r>
        <w:rPr>
          <w:b/>
          <w:bCs/>
          <w:color w:val="0F172A"/>
        </w:rPr>
        <w:t>9  Cellular Tenancy — the ISM Subscriber Layer as Cells</w:t>
      </w:r>
      <w:bookmarkEnd w:id="24"/>
    </w:p>
    <w:p w14:paraId="4CB66942" w14:textId="77777777" w:rsidR="00F87636" w:rsidRDefault="00000000">
      <w:pPr>
        <w:spacing w:before="160" w:after="60"/>
        <w:jc w:val="center"/>
      </w:pPr>
      <w:r>
        <w:rPr>
          <w:noProof/>
        </w:rPr>
        <w:drawing>
          <wp:inline distT="0" distB="0" distL="0" distR="0" wp14:anchorId="4A4A084E" wp14:editId="152D7F84">
            <wp:extent cx="5943600" cy="2895600"/>
            <wp:effectExtent l="0" t="0" r="0" b="0"/>
            <wp:docPr id="2092861597" name="Picture 209286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895600"/>
                    </a:xfrm>
                    <a:prstGeom prst="rect">
                      <a:avLst/>
                    </a:prstGeom>
                  </pic:spPr>
                </pic:pic>
              </a:graphicData>
            </a:graphic>
          </wp:inline>
        </w:drawing>
      </w:r>
    </w:p>
    <w:p w14:paraId="0CF0E1B2" w14:textId="77777777" w:rsidR="00F87636" w:rsidRDefault="00000000">
      <w:pPr>
        <w:spacing w:after="220"/>
        <w:jc w:val="center"/>
      </w:pPr>
      <w:r>
        <w:rPr>
          <w:i/>
          <w:iCs/>
          <w:color w:val="64748B"/>
          <w:sz w:val="19"/>
          <w:szCs w:val="19"/>
        </w:rPr>
        <w:t>Figure 5 — One image, one cell per subscriber, two isolation walls.</w:t>
      </w:r>
    </w:p>
    <w:p w14:paraId="100F1F8A" w14:textId="77777777" w:rsidR="00F87636" w:rsidRDefault="00000000">
      <w:pPr>
        <w:spacing w:after="160"/>
      </w:pPr>
      <w:r>
        <w:t>ism-service is built once from the monorepo with every pack compiled in; each deployment — a cell — receives a per-subscriber manifest at start: subscriber identity, pack reference, schedules, credential scope, resource sizing. Manifests live in git (one schema-validated file per subscriber in cells/) and Terraform loops over the directory, so onboarding a society is a pull request plus an apply — never a build, never a branch (P1).</w:t>
      </w:r>
    </w:p>
    <w:p w14:paraId="2F39BB9D" w14:textId="77777777" w:rsidR="00F87636" w:rsidRDefault="00000000">
      <w:pPr>
        <w:pStyle w:val="ListParagraph"/>
        <w:numPr>
          <w:ilvl w:val="0"/>
          <w:numId w:val="2"/>
        </w:numPr>
        <w:spacing w:after="100"/>
      </w:pPr>
      <w:r>
        <w:rPr>
          <w:b/>
          <w:bCs/>
        </w:rPr>
        <w:t xml:space="preserve">Wall one — process. </w:t>
      </w:r>
      <w:r>
        <w:t>A cell's container holds only its subscriber's destination credentials (its Key Vault scope) and its auth-edge identity. A defect, compromise or noisy workload ends at the cell boundary; restarting or scaling one society touches no other.</w:t>
      </w:r>
    </w:p>
    <w:p w14:paraId="54DF3EA4" w14:textId="77777777" w:rsidR="00F87636" w:rsidRDefault="00000000">
      <w:pPr>
        <w:pStyle w:val="ListParagraph"/>
        <w:numPr>
          <w:ilvl w:val="0"/>
          <w:numId w:val="2"/>
        </w:numPr>
        <w:spacing w:after="100"/>
      </w:pPr>
      <w:r>
        <w:rPr>
          <w:b/>
          <w:bCs/>
        </w:rPr>
        <w:t xml:space="preserve">Wall two — data. </w:t>
      </w:r>
      <w:r>
        <w:t>Each cell connects with its own database role, mapped to RLS policies scoped to its subscriber. Even a badly written query inside a cell cannot read another society's rows.</w:t>
      </w:r>
    </w:p>
    <w:p w14:paraId="1372F3CB" w14:textId="77777777" w:rsidR="00F87636" w:rsidRDefault="00000000">
      <w:pPr>
        <w:spacing w:after="160"/>
      </w:pPr>
      <w:r>
        <w:t>The competition-law boundary is thus enforced twice, independently, and the story to a society's auditor is concrete: your data path runs in a process that physically cannot hold anyone else's keys, over a database that filters every row to you. No cross-subscriber aggregation or analytics surface exists anywhere in the platform.</w:t>
      </w:r>
    </w:p>
    <w:p w14:paraId="3BFF80E6" w14:textId="77777777" w:rsidR="00F87636" w:rsidRDefault="00000000">
      <w:pPr>
        <w:pStyle w:val="Heading1"/>
        <w:spacing w:before="360" w:after="200"/>
      </w:pPr>
      <w:bookmarkStart w:id="25" w:name="_Toc239760078"/>
      <w:r>
        <w:rPr>
          <w:b/>
          <w:bCs/>
          <w:color w:val="0F172A"/>
        </w:rPr>
        <w:t>10  Curation — the Web Application</w:t>
      </w:r>
      <w:bookmarkEnd w:id="25"/>
    </w:p>
    <w:p w14:paraId="5400BC57" w14:textId="77777777" w:rsidR="00F87636" w:rsidRDefault="00000000">
      <w:pPr>
        <w:pStyle w:val="Heading2"/>
        <w:spacing w:before="280" w:after="160"/>
      </w:pPr>
      <w:bookmarkStart w:id="26" w:name="_Toc239760079"/>
      <w:r>
        <w:rPr>
          <w:b/>
          <w:bCs/>
          <w:color w:val="1D4ED8"/>
        </w:rPr>
        <w:t>10.1  Subscribe and enrich</w:t>
      </w:r>
      <w:bookmarkEnd w:id="26"/>
    </w:p>
    <w:p w14:paraId="3B4625B4" w14:textId="77777777" w:rsidR="00F87636" w:rsidRDefault="00000000">
      <w:pPr>
        <w:spacing w:after="160"/>
      </w:pPr>
      <w:r>
        <w:t xml:space="preserve">Each data element — product, </w:t>
      </w:r>
      <w:r w:rsidRPr="00147B2F">
        <w:rPr>
          <w:highlight w:val="yellow"/>
        </w:rPr>
        <w:t>price</w:t>
      </w:r>
      <w:r>
        <w:t>, promotion, supplier, hierarchy — has a screen over the canonical tables. A commercial user from a subscribing society works in two gestures:</w:t>
      </w:r>
    </w:p>
    <w:p w14:paraId="0D214AE7" w14:textId="77777777" w:rsidR="00F87636" w:rsidRDefault="00000000">
      <w:pPr>
        <w:pStyle w:val="ListParagraph"/>
        <w:numPr>
          <w:ilvl w:val="0"/>
          <w:numId w:val="2"/>
        </w:numPr>
        <w:spacing w:after="100"/>
      </w:pPr>
      <w:r>
        <w:rPr>
          <w:b/>
          <w:bCs/>
        </w:rPr>
        <w:lastRenderedPageBreak/>
        <w:t xml:space="preserve">Filter and subscribe. </w:t>
      </w:r>
      <w:r>
        <w:t xml:space="preserve">Browse the full TCG set (identical for every subscriber), filter by hierarchy, attribute or search, and mark the rows their society wants — the items they range, the promotions they care about, the suppliers they trade with. </w:t>
      </w:r>
      <w:r w:rsidRPr="00147B2F">
        <w:rPr>
          <w:highlight w:val="yellow"/>
        </w:rPr>
        <w:t>Bulk selection by hierarchy node or supplier is first-class: a society subscribes a category, not a thousand clicks.</w:t>
      </w:r>
    </w:p>
    <w:p w14:paraId="51433198" w14:textId="77777777" w:rsidR="00F87636" w:rsidRDefault="00000000">
      <w:pPr>
        <w:pStyle w:val="ListParagraph"/>
        <w:numPr>
          <w:ilvl w:val="0"/>
          <w:numId w:val="2"/>
        </w:numPr>
        <w:spacing w:after="100"/>
      </w:pPr>
      <w:r>
        <w:rPr>
          <w:b/>
          <w:bCs/>
        </w:rPr>
        <w:t xml:space="preserve">Enrich. </w:t>
      </w:r>
      <w:r>
        <w:t>Against any subscribed row, supply the data elements their downstream systems require — above all the subscriber's own key for the record in their MDM/P2P/ERP (the downstream key), plus local category, description overrides or flags. Enrichment element definitions are schema-controlled configuration per subscriber, so a new required element is an administrative change, not a build.</w:t>
      </w:r>
    </w:p>
    <w:p w14:paraId="19D27E78" w14:textId="77777777" w:rsidR="00F87636" w:rsidRDefault="00000000">
      <w:pPr>
        <w:spacing w:after="160"/>
      </w:pPr>
      <w:r>
        <w:t>Canonical rows are read-only in every screen; all writes go to the overlay. When TCG changes a subscribed row upstream, the change lands on the next poll and the subscription is flagged for review where the change is material (configurable rules — pack size or EAN changes always flag; description-only changes may auto-pass).</w:t>
      </w:r>
    </w:p>
    <w:p w14:paraId="3B4A8ACD" w14:textId="77777777" w:rsidR="00F87636" w:rsidRDefault="00000000">
      <w:pPr>
        <w:pStyle w:val="Heading2"/>
        <w:spacing w:before="280" w:after="160"/>
      </w:pPr>
      <w:bookmarkStart w:id="27" w:name="_Toc239760080"/>
      <w:r>
        <w:rPr>
          <w:b/>
          <w:bCs/>
          <w:color w:val="1D4ED8"/>
        </w:rPr>
        <w:t>10.2  The approval gate</w:t>
      </w:r>
      <w:bookmarkEnd w:id="27"/>
    </w:p>
    <w:p w14:paraId="35BB9FB5" w14:textId="77777777" w:rsidR="00F87636" w:rsidRDefault="00000000">
      <w:pPr>
        <w:spacing w:after="160"/>
      </w:pPr>
      <w:r>
        <w:t>Nothing reaches a subscriber system without a decision recorded in the platform (P4): subscribe/enrich → validate (enrichment complete, downstream key present and unique) → approve → eligible for egress. Approval is a human action or a rule a named human has signed off (e.g. auto-approve description-only changes). The delivery console shows, per subscriber and interface, what is pending, delivered (with receipts) and failed; replay is a console action with audit.</w:t>
      </w:r>
    </w:p>
    <w:p w14:paraId="79EAB64C" w14:textId="77777777" w:rsidR="00F87636" w:rsidRDefault="00000000">
      <w:pPr>
        <w:pStyle w:val="Heading2"/>
        <w:spacing w:before="280" w:after="160"/>
      </w:pPr>
      <w:bookmarkStart w:id="28" w:name="_Toc239760081"/>
      <w:r>
        <w:rPr>
          <w:b/>
          <w:bCs/>
          <w:color w:val="1D4ED8"/>
        </w:rPr>
        <w:t>10.3  Price and promotion: advisory surveillance</w:t>
      </w:r>
      <w:bookmarkEnd w:id="28"/>
    </w:p>
    <w:p w14:paraId="3C606FC1" w14:textId="77777777" w:rsidR="00F87636" w:rsidRDefault="00000000">
      <w:pPr>
        <w:spacing w:after="160"/>
      </w:pPr>
      <w:r w:rsidRPr="00850973">
        <w:rPr>
          <w:highlight w:val="yellow"/>
        </w:rPr>
        <w:t>Wholesale cost moves are compared against subscriber-defined thresholds and surfaced for acknowledgement — the platform records that a move was seen, not approved, because it is not the platform's price.</w:t>
      </w:r>
      <w:r>
        <w:t xml:space="preserve"> TCG-funded promotion offers are surfaced for visibility and may be subscribed and forwarded to the society's systems as input. </w:t>
      </w:r>
      <w:r w:rsidRPr="00850973">
        <w:rPr>
          <w:highlight w:val="yellow"/>
        </w:rPr>
        <w:t>Where a society runs a pricing engine, a pack feeds it; where it does not, threshold alerts are the safety net.</w:t>
      </w:r>
      <w:r>
        <w:t xml:space="preserve"> No platform component ever writes a consumer-facing retail price (P5).</w:t>
      </w:r>
    </w:p>
    <w:p w14:paraId="5AAC198D" w14:textId="77777777" w:rsidR="00F87636" w:rsidRDefault="00000000">
      <w:pPr>
        <w:pStyle w:val="Heading2"/>
        <w:spacing w:before="280" w:after="160"/>
      </w:pPr>
      <w:bookmarkStart w:id="29" w:name="_Toc239760082"/>
      <w:r>
        <w:rPr>
          <w:b/>
          <w:bCs/>
          <w:color w:val="1D4ED8"/>
        </w:rPr>
        <w:t>10.4  Realisation and personas</w:t>
      </w:r>
      <w:bookmarkEnd w:id="29"/>
    </w:p>
    <w:p w14:paraId="175D1948" w14:textId="77777777" w:rsidR="00F87636" w:rsidRDefault="00000000">
      <w:pPr>
        <w:spacing w:after="160"/>
      </w:pPr>
      <w:r>
        <w:t>The workbench is a React SPA (Vite) over curation-bff, a Go OpenAPI-first REST API with the SPA's TypeScript client generated from the contract (D6). The OIDC-validated JWT establishes the subscriber context per request; approvals, thresholds and the console are BFF modules with ordinary Go tests; every decision writes the append-only audit.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00"/>
        <w:gridCol w:w="3400"/>
      </w:tblGrid>
      <w:tr w:rsidR="00F87636" w14:paraId="5E0C5625" w14:textId="77777777">
        <w:tblPrEx>
          <w:tblCellMar>
            <w:top w:w="0" w:type="dxa"/>
            <w:bottom w:w="0" w:type="dxa"/>
          </w:tblCellMar>
        </w:tblPrEx>
        <w:trPr>
          <w:cantSplit/>
          <w:tblHeader/>
        </w:trPr>
        <w:tc>
          <w:tcPr>
            <w:tcW w:w="17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699F9793" w14:textId="77777777" w:rsidR="00F87636" w:rsidRDefault="00000000">
            <w:pPr>
              <w:spacing w:after="20"/>
            </w:pPr>
            <w:r>
              <w:rPr>
                <w:b/>
                <w:bCs/>
                <w:color w:val="FFFFFF"/>
                <w:sz w:val="20"/>
                <w:szCs w:val="20"/>
              </w:rPr>
              <w:t>Role</w:t>
            </w:r>
          </w:p>
        </w:tc>
        <w:tc>
          <w:tcPr>
            <w:tcW w:w="42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2A86D9FD" w14:textId="77777777" w:rsidR="00F87636" w:rsidRDefault="00000000">
            <w:pPr>
              <w:spacing w:after="20"/>
            </w:pPr>
            <w:r>
              <w:rPr>
                <w:b/>
                <w:bCs/>
                <w:color w:val="FFFFFF"/>
                <w:sz w:val="20"/>
                <w:szCs w:val="20"/>
              </w:rPr>
              <w:t>Can</w:t>
            </w:r>
          </w:p>
        </w:tc>
        <w:tc>
          <w:tcPr>
            <w:tcW w:w="34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126594DB" w14:textId="77777777" w:rsidR="00F87636" w:rsidRDefault="00000000">
            <w:pPr>
              <w:spacing w:after="20"/>
            </w:pPr>
            <w:r>
              <w:rPr>
                <w:b/>
                <w:bCs/>
                <w:color w:val="FFFFFF"/>
                <w:sz w:val="20"/>
                <w:szCs w:val="20"/>
              </w:rPr>
              <w:t>Cannot</w:t>
            </w:r>
          </w:p>
        </w:tc>
      </w:tr>
      <w:tr w:rsidR="00F87636" w14:paraId="5F51C79E" w14:textId="77777777">
        <w:tblPrEx>
          <w:tblCellMar>
            <w:top w:w="0" w:type="dxa"/>
            <w:bottom w:w="0" w:type="dxa"/>
          </w:tblCellMar>
        </w:tblPrEx>
        <w:trPr>
          <w:cantSplit/>
        </w:trPr>
        <w:tc>
          <w:tcPr>
            <w:tcW w:w="1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A51B950" w14:textId="77777777" w:rsidR="00F87636" w:rsidRDefault="00000000">
            <w:pPr>
              <w:spacing w:after="20"/>
            </w:pPr>
            <w:r>
              <w:rPr>
                <w:sz w:val="19"/>
                <w:szCs w:val="19"/>
              </w:rPr>
              <w:t>Reviewer</w:t>
            </w:r>
          </w:p>
        </w:tc>
        <w:tc>
          <w:tcPr>
            <w:tcW w:w="4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C3EECCE" w14:textId="77777777" w:rsidR="00F87636" w:rsidRDefault="00000000">
            <w:pPr>
              <w:spacing w:after="20"/>
            </w:pPr>
            <w:r>
              <w:rPr>
                <w:sz w:val="19"/>
                <w:szCs w:val="19"/>
              </w:rPr>
              <w:t>Browse canonical + own society's overlay; propose subscriptions and enrichment</w:t>
            </w:r>
          </w:p>
        </w:tc>
        <w:tc>
          <w:tcPr>
            <w:tcW w:w="3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50F8443" w14:textId="77777777" w:rsidR="00F87636" w:rsidRDefault="00000000">
            <w:pPr>
              <w:spacing w:after="20"/>
            </w:pPr>
            <w:r>
              <w:rPr>
                <w:sz w:val="19"/>
                <w:szCs w:val="19"/>
              </w:rPr>
              <w:t>Approve; see any other society's data</w:t>
            </w:r>
          </w:p>
        </w:tc>
      </w:tr>
      <w:tr w:rsidR="00F87636" w14:paraId="140661B5" w14:textId="77777777">
        <w:tblPrEx>
          <w:tblCellMar>
            <w:top w:w="0" w:type="dxa"/>
            <w:bottom w:w="0" w:type="dxa"/>
          </w:tblCellMar>
        </w:tblPrEx>
        <w:trPr>
          <w:cantSplit/>
        </w:trPr>
        <w:tc>
          <w:tcPr>
            <w:tcW w:w="1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F63EAF6" w14:textId="77777777" w:rsidR="00F87636" w:rsidRDefault="00000000">
            <w:pPr>
              <w:spacing w:after="20"/>
            </w:pPr>
            <w:r>
              <w:rPr>
                <w:sz w:val="19"/>
                <w:szCs w:val="19"/>
              </w:rPr>
              <w:t>Approver</w:t>
            </w:r>
          </w:p>
        </w:tc>
        <w:tc>
          <w:tcPr>
            <w:tcW w:w="4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739D528" w14:textId="77777777" w:rsidR="00F87636" w:rsidRDefault="00000000">
            <w:pPr>
              <w:spacing w:after="20"/>
            </w:pPr>
            <w:r>
              <w:rPr>
                <w:sz w:val="19"/>
                <w:szCs w:val="19"/>
              </w:rPr>
              <w:t xml:space="preserve">Everything Reviewer can, plus approve/reject and </w:t>
            </w:r>
            <w:commentRangeStart w:id="30"/>
            <w:r w:rsidRPr="00850973">
              <w:rPr>
                <w:sz w:val="19"/>
                <w:szCs w:val="19"/>
                <w:highlight w:val="yellow"/>
              </w:rPr>
              <w:t>sign off auto-approve rules</w:t>
            </w:r>
            <w:commentRangeEnd w:id="30"/>
            <w:r w:rsidR="00850973">
              <w:rPr>
                <w:rStyle w:val="CommentReference"/>
                <w:sz w:val="22"/>
                <w:szCs w:val="22"/>
              </w:rPr>
              <w:commentReference w:id="30"/>
            </w:r>
          </w:p>
        </w:tc>
        <w:tc>
          <w:tcPr>
            <w:tcW w:w="3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0B327B0" w14:textId="77777777" w:rsidR="00F87636" w:rsidRDefault="00000000">
            <w:pPr>
              <w:spacing w:after="20"/>
            </w:pPr>
            <w:r>
              <w:rPr>
                <w:sz w:val="19"/>
                <w:szCs w:val="19"/>
              </w:rPr>
              <w:t>Modify canonical rows; approve own proposals where four-eyes is configured</w:t>
            </w:r>
          </w:p>
        </w:tc>
      </w:tr>
      <w:tr w:rsidR="00F87636" w14:paraId="20B62809" w14:textId="77777777">
        <w:tblPrEx>
          <w:tblCellMar>
            <w:top w:w="0" w:type="dxa"/>
            <w:bottom w:w="0" w:type="dxa"/>
          </w:tblCellMar>
        </w:tblPrEx>
        <w:trPr>
          <w:cantSplit/>
        </w:trPr>
        <w:tc>
          <w:tcPr>
            <w:tcW w:w="1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3DF1D44" w14:textId="77777777" w:rsidR="00F87636" w:rsidRDefault="00000000">
            <w:pPr>
              <w:spacing w:after="20"/>
            </w:pPr>
            <w:r>
              <w:rPr>
                <w:sz w:val="19"/>
                <w:szCs w:val="19"/>
              </w:rPr>
              <w:t>Subscriber admin</w:t>
            </w:r>
          </w:p>
        </w:tc>
        <w:tc>
          <w:tcPr>
            <w:tcW w:w="4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172A29B" w14:textId="77777777" w:rsidR="00F87636" w:rsidRDefault="00000000">
            <w:pPr>
              <w:spacing w:after="20"/>
            </w:pPr>
            <w:r w:rsidRPr="00DB1F24">
              <w:rPr>
                <w:sz w:val="19"/>
                <w:szCs w:val="19"/>
                <w:highlight w:val="yellow"/>
              </w:rPr>
              <w:t>Manage own society's users</w:t>
            </w:r>
            <w:r>
              <w:rPr>
                <w:sz w:val="19"/>
                <w:szCs w:val="19"/>
              </w:rPr>
              <w:t xml:space="preserve">, enrichment element definitions, thresholds, </w:t>
            </w:r>
            <w:r w:rsidRPr="00DB1F24">
              <w:rPr>
                <w:sz w:val="19"/>
                <w:szCs w:val="19"/>
                <w:highlight w:val="yellow"/>
              </w:rPr>
              <w:t>notification targets</w:t>
            </w:r>
          </w:p>
        </w:tc>
        <w:tc>
          <w:tcPr>
            <w:tcW w:w="3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5D4D32D" w14:textId="77777777" w:rsidR="00F87636" w:rsidRDefault="00000000">
            <w:pPr>
              <w:spacing w:after="20"/>
            </w:pPr>
            <w:r>
              <w:rPr>
                <w:sz w:val="19"/>
                <w:szCs w:val="19"/>
              </w:rPr>
              <w:t>Touch packs or cell manifests (UST-operated)</w:t>
            </w:r>
          </w:p>
        </w:tc>
      </w:tr>
      <w:tr w:rsidR="00F87636" w14:paraId="26663FDE" w14:textId="77777777">
        <w:tblPrEx>
          <w:tblCellMar>
            <w:top w:w="0" w:type="dxa"/>
            <w:bottom w:w="0" w:type="dxa"/>
          </w:tblCellMar>
        </w:tblPrEx>
        <w:trPr>
          <w:cantSplit/>
        </w:trPr>
        <w:tc>
          <w:tcPr>
            <w:tcW w:w="1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72AAE13" w14:textId="77777777" w:rsidR="00F87636" w:rsidRDefault="00000000">
            <w:pPr>
              <w:spacing w:after="20"/>
            </w:pPr>
            <w:r>
              <w:rPr>
                <w:sz w:val="19"/>
                <w:szCs w:val="19"/>
              </w:rPr>
              <w:t>UST operations</w:t>
            </w:r>
          </w:p>
        </w:tc>
        <w:tc>
          <w:tcPr>
            <w:tcW w:w="4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B64C95A" w14:textId="77777777" w:rsidR="00F87636" w:rsidRDefault="00000000">
            <w:pPr>
              <w:spacing w:after="20"/>
            </w:pPr>
            <w:r>
              <w:rPr>
                <w:sz w:val="19"/>
                <w:szCs w:val="19"/>
              </w:rPr>
              <w:t>Operate the platform; PIM-elevated, time-bound production access</w:t>
            </w:r>
          </w:p>
        </w:tc>
        <w:tc>
          <w:tcPr>
            <w:tcW w:w="3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48D28E2" w14:textId="77777777" w:rsidR="00F87636" w:rsidRDefault="00000000">
            <w:pPr>
              <w:spacing w:after="20"/>
            </w:pPr>
            <w:r>
              <w:rPr>
                <w:sz w:val="19"/>
                <w:szCs w:val="19"/>
              </w:rPr>
              <w:t>Act as a commercial approver for any society</w:t>
            </w:r>
          </w:p>
        </w:tc>
      </w:tr>
    </w:tbl>
    <w:p w14:paraId="3BACF25A" w14:textId="77777777" w:rsidR="00F87636" w:rsidRDefault="00000000">
      <w:pPr>
        <w:pStyle w:val="Heading1"/>
        <w:spacing w:before="360" w:after="200"/>
      </w:pPr>
      <w:bookmarkStart w:id="31" w:name="_Toc239760083"/>
      <w:r>
        <w:rPr>
          <w:b/>
          <w:bCs/>
          <w:color w:val="0F172A"/>
        </w:rPr>
        <w:t>11  ISM Subscriber Layer — Interface Packs</w:t>
      </w:r>
      <w:bookmarkEnd w:id="31"/>
    </w:p>
    <w:p w14:paraId="74DA4434" w14:textId="77777777" w:rsidR="00F87636" w:rsidRDefault="00000000">
      <w:pPr>
        <w:spacing w:before="160" w:after="60"/>
        <w:jc w:val="center"/>
      </w:pPr>
      <w:r>
        <w:rPr>
          <w:noProof/>
        </w:rPr>
        <w:lastRenderedPageBreak/>
        <w:drawing>
          <wp:inline distT="0" distB="0" distL="0" distR="0" wp14:anchorId="0D81A301" wp14:editId="41570BBF">
            <wp:extent cx="5943600" cy="3276600"/>
            <wp:effectExtent l="0" t="0" r="0" b="0"/>
            <wp:docPr id="1095702771" name="Picture 109570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276600"/>
                    </a:xfrm>
                    <a:prstGeom prst="rect">
                      <a:avLst/>
                    </a:prstGeom>
                  </pic:spPr>
                </pic:pic>
              </a:graphicData>
            </a:graphic>
          </wp:inline>
        </w:drawing>
      </w:r>
    </w:p>
    <w:p w14:paraId="7477731A" w14:textId="77777777" w:rsidR="00F87636" w:rsidRDefault="00000000">
      <w:pPr>
        <w:spacing w:after="220"/>
        <w:jc w:val="center"/>
      </w:pPr>
      <w:r>
        <w:rPr>
          <w:i/>
          <w:iCs/>
          <w:color w:val="64748B"/>
          <w:sz w:val="19"/>
          <w:szCs w:val="19"/>
        </w:rPr>
        <w:t>Figure 6 — Packs as Go code with golden tests; cells run dispatch and intake; the order return path.</w:t>
      </w:r>
    </w:p>
    <w:p w14:paraId="2587A229" w14:textId="77777777" w:rsidR="00F87636" w:rsidRDefault="00000000">
      <w:pPr>
        <w:pStyle w:val="Heading2"/>
        <w:spacing w:before="280" w:after="160"/>
      </w:pPr>
      <w:bookmarkStart w:id="32" w:name="_Toc239760084"/>
      <w:r>
        <w:rPr>
          <w:b/>
          <w:bCs/>
          <w:color w:val="1D4ED8"/>
        </w:rPr>
        <w:t>11.1  A pack is the unit of subscriber variability</w:t>
      </w:r>
      <w:bookmarkEnd w:id="32"/>
    </w:p>
    <w:p w14:paraId="5F64C028" w14:textId="77777777" w:rsidR="00F87636" w:rsidRDefault="00000000">
      <w:pPr>
        <w:spacing w:after="160"/>
      </w:pPr>
      <w:r>
        <w:t>A pack is a versioned folder per subscriber destination: definition.yaml (source view, transport binding, schedule or trigger, credential reference, SLA), mapping.go (a typed transform from the egress-ready view to the destination format, applying the subscriber's downstream key), and golden/ fixtures with expected outputs diffed byte-exactly by CI on every merge. Mappings compile into the ism-service image; a cell activates its own pack from its manifest. Onboarding a destination is a pack PR; the platform core never changes (P1, P3). Transports at launch: REST push, SFTP drop, file/object delivery, signed webhook.</w:t>
      </w:r>
    </w:p>
    <w:p w14:paraId="372CA063" w14:textId="77777777" w:rsidR="00F87636" w:rsidRDefault="00000000">
      <w:pPr>
        <w:pStyle w:val="Heading2"/>
        <w:spacing w:before="280" w:after="160"/>
      </w:pPr>
      <w:bookmarkStart w:id="33" w:name="_Toc239760085"/>
      <w:r>
        <w:rPr>
          <w:b/>
          <w:bCs/>
          <w:color w:val="1D4ED8"/>
        </w:rPr>
        <w:t>11.2  Dispatch, receipts and the auth edge</w:t>
      </w:r>
      <w:bookmarkEnd w:id="33"/>
    </w:p>
    <w:p w14:paraId="4611D858" w14:textId="77777777" w:rsidR="00F87636" w:rsidRDefault="00000000">
      <w:pPr>
        <w:spacing w:after="160"/>
      </w:pPr>
      <w:r>
        <w:t>Dispatch runs as Temporal workflows per interface — event-driven with debounce, or windowed — reading only the cell's egress-ready view, executing the pack mapping, sending via the transport with credentials resolved from the cell's Key Vault scope, and writing a delivery receipt per send (destination, entity, payload hash, latency, downstream response, final status). Retries back off; exhausted failures surface in the delivery console with audited replay. Inbound, subscriber systems authenticate to their society's cell — per-subscriber client credentials for API calls, or file drop on the cell's inbound channel — so the auth edge is per-cell and credential compromise maps to exactly one society.</w:t>
      </w:r>
    </w:p>
    <w:p w14:paraId="35A594C4" w14:textId="77777777" w:rsidR="00F87636" w:rsidRDefault="00000000">
      <w:pPr>
        <w:pStyle w:val="Heading2"/>
        <w:spacing w:before="280" w:after="160"/>
      </w:pPr>
      <w:bookmarkStart w:id="34" w:name="_Toc239760086"/>
      <w:r>
        <w:rPr>
          <w:b/>
          <w:bCs/>
          <w:color w:val="1D4ED8"/>
        </w:rPr>
        <w:t>11.3  Outbound content</w:t>
      </w:r>
      <w:bookmarkEnd w:id="34"/>
    </w:p>
    <w:p w14:paraId="2C48F327" w14:textId="77777777" w:rsidR="00F87636" w:rsidRDefault="00000000">
      <w:pPr>
        <w:pStyle w:val="ListParagraph"/>
        <w:numPr>
          <w:ilvl w:val="0"/>
          <w:numId w:val="2"/>
        </w:numPr>
        <w:spacing w:after="100"/>
      </w:pPr>
      <w:r>
        <w:rPr>
          <w:b/>
          <w:bCs/>
        </w:rPr>
        <w:t xml:space="preserve">Master data </w:t>
      </w:r>
      <w:r>
        <w:t>— subscribed product/cost/promotion/supplier/hierarchy rows with enrichment applied, in the destination's format: REST to a SymphonyAI Gold ingest API, CSV to SFTP, files to a share.</w:t>
      </w:r>
    </w:p>
    <w:p w14:paraId="05A4F1BE" w14:textId="77777777" w:rsidR="00F87636" w:rsidRDefault="00000000">
      <w:pPr>
        <w:pStyle w:val="ListParagraph"/>
        <w:numPr>
          <w:ilvl w:val="0"/>
          <w:numId w:val="2"/>
        </w:numPr>
        <w:spacing w:after="100"/>
      </w:pPr>
      <w:r>
        <w:rPr>
          <w:b/>
          <w:bCs/>
        </w:rPr>
        <w:t xml:space="preserve">Transactional documents </w:t>
      </w:r>
      <w:r>
        <w:t>— EDNs and order acknowledgements to store and ordering systems; invoices, claims and condition contract data to finance systems (e.g. Unit4), filtered to the subscriber's own trading data.</w:t>
      </w:r>
    </w:p>
    <w:p w14:paraId="23DABFF2" w14:textId="77777777" w:rsidR="00F87636" w:rsidRDefault="00000000">
      <w:pPr>
        <w:pStyle w:val="ListParagraph"/>
        <w:numPr>
          <w:ilvl w:val="0"/>
          <w:numId w:val="2"/>
        </w:numPr>
        <w:spacing w:after="100"/>
      </w:pPr>
      <w:r>
        <w:rPr>
          <w:b/>
          <w:bCs/>
        </w:rPr>
        <w:t xml:space="preserve">Advisory feeds </w:t>
      </w:r>
      <w:r>
        <w:t>— cost and promotion data as input to a subscriber's pricing engine where one exists (P5).</w:t>
      </w:r>
    </w:p>
    <w:p w14:paraId="1A026A0D" w14:textId="77777777" w:rsidR="00F87636" w:rsidRDefault="00000000">
      <w:pPr>
        <w:pStyle w:val="Heading1"/>
        <w:spacing w:before="360" w:after="200"/>
      </w:pPr>
      <w:bookmarkStart w:id="35" w:name="_Toc239760087"/>
      <w:r>
        <w:rPr>
          <w:b/>
          <w:bCs/>
          <w:color w:val="0F172A"/>
        </w:rPr>
        <w:t>12  Sales Order Return Path</w:t>
      </w:r>
      <w:bookmarkEnd w:id="35"/>
    </w:p>
    <w:p w14:paraId="69AB44F8" w14:textId="77777777" w:rsidR="00F87636" w:rsidRDefault="00000000">
      <w:pPr>
        <w:pStyle w:val="Heading2"/>
        <w:spacing w:before="280" w:after="160"/>
      </w:pPr>
      <w:bookmarkStart w:id="36" w:name="_Toc239760088"/>
      <w:r>
        <w:rPr>
          <w:b/>
          <w:bCs/>
          <w:color w:val="1D4ED8"/>
        </w:rPr>
        <w:lastRenderedPageBreak/>
        <w:t>12.1  Flow</w:t>
      </w:r>
      <w:bookmarkEnd w:id="36"/>
    </w:p>
    <w:p w14:paraId="6A81CC89" w14:textId="77777777" w:rsidR="00F87636" w:rsidRDefault="00000000">
      <w:pPr>
        <w:pStyle w:val="ListParagraph"/>
        <w:numPr>
          <w:ilvl w:val="0"/>
          <w:numId w:val="2"/>
        </w:numPr>
        <w:spacing w:after="100"/>
      </w:pPr>
      <w:r>
        <w:rPr>
          <w:b/>
          <w:bCs/>
        </w:rPr>
        <w:t xml:space="preserve">1 · Intake at the auth edge. </w:t>
      </w:r>
      <w:r>
        <w:t>The ISM ordering system drops an order file on its cell's inbound channel or calls the cell's API endpoint, authenticated with that subscriber's client credentials, in the ISM's own format.</w:t>
      </w:r>
    </w:p>
    <w:p w14:paraId="109099EF" w14:textId="77777777" w:rsidR="00F87636" w:rsidRDefault="00000000">
      <w:pPr>
        <w:pStyle w:val="ListParagraph"/>
        <w:numPr>
          <w:ilvl w:val="0"/>
          <w:numId w:val="2"/>
        </w:numPr>
        <w:spacing w:after="100"/>
      </w:pPr>
      <w:r>
        <w:rPr>
          <w:b/>
          <w:bCs/>
        </w:rPr>
        <w:t xml:space="preserve">2 · Map and validate. </w:t>
      </w:r>
      <w:r>
        <w:t>The subscriber's pack maps to the TCG sales order format, resolving products to Catalogue Item IDs via the downstream keys captured at enrichment; lines validate against current canonical data; the idempotency key derives from the store order reference, so a resubmitted order is a no-op returning the original acknowledgement.</w:t>
      </w:r>
    </w:p>
    <w:p w14:paraId="166E2A76" w14:textId="77777777" w:rsidR="00F87636" w:rsidRDefault="00000000">
      <w:pPr>
        <w:pStyle w:val="ListParagraph"/>
        <w:numPr>
          <w:ilvl w:val="0"/>
          <w:numId w:val="2"/>
        </w:numPr>
        <w:spacing w:after="100"/>
      </w:pPr>
      <w:r>
        <w:rPr>
          <w:b/>
          <w:bCs/>
        </w:rPr>
        <w:t xml:space="preserve">3 · Stage and submit. </w:t>
      </w:r>
      <w:r>
        <w:t>The TCG-format order is staged in Postgres, then submitted by tcg-service: POST /api/v1/sales-order with the platform JWT and partnerId, retry policy and circuit-breaking on the activity — all inside OrderRelayWorkflow.</w:t>
      </w:r>
    </w:p>
    <w:p w14:paraId="1B5FB308" w14:textId="77777777" w:rsidR="00F87636" w:rsidRDefault="00000000">
      <w:pPr>
        <w:pStyle w:val="ListParagraph"/>
        <w:numPr>
          <w:ilvl w:val="0"/>
          <w:numId w:val="2"/>
        </w:numPr>
        <w:spacing w:after="100"/>
      </w:pPr>
      <w:r>
        <w:rPr>
          <w:b/>
          <w:bCs/>
        </w:rPr>
        <w:t xml:space="preserve">4 · Acknowledge back. </w:t>
      </w:r>
      <w:r>
        <w:t>FOP responds 200 with an acknowledgement carrying accepted and rejected arrays — per store, per line, with item rejection codes (e.g. Z6) and store rejection codes (e.g. Z201) — or 400 for a malformed request. The acknowledgement is persisted against the staged order and returned to the originating ISM through the same cell, in their format, with line-level rejection detail.</w:t>
      </w:r>
    </w:p>
    <w:p w14:paraId="4163FC4B" w14:textId="77777777" w:rsidR="00F87636" w:rsidRDefault="00000000">
      <w:pPr>
        <w:pStyle w:val="Heading2"/>
        <w:spacing w:before="280" w:after="160"/>
      </w:pPr>
      <w:bookmarkStart w:id="37" w:name="_Toc239760089"/>
      <w:r>
        <w:rPr>
          <w:b/>
          <w:bCs/>
          <w:color w:val="1D4ED8"/>
        </w:rPr>
        <w:t>12.2  Contract shape (FOP spec v0.4.0 / beans worked example)</w:t>
      </w:r>
      <w:bookmarkEnd w:id="37"/>
    </w:p>
    <w:p w14:paraId="33D2A08A" w14:textId="77777777" w:rsidR="00F87636" w:rsidRDefault="00000000">
      <w:pPr>
        <w:shd w:val="clear" w:color="auto" w:fill="F8FAFC"/>
        <w:spacing w:after="60"/>
      </w:pPr>
      <w:r>
        <w:rPr>
          <w:rFonts w:ascii="Consolas" w:eastAsia="Consolas" w:hAnsi="Consolas" w:cs="Consolas"/>
          <w:color w:val="334155"/>
          <w:sz w:val="18"/>
          <w:szCs w:val="18"/>
        </w:rPr>
        <w:t>{ "societyId": "OX", "submissionDate": "2026-05-26", "headOfficeId": "1000000018",</w:t>
      </w:r>
    </w:p>
    <w:p w14:paraId="32659910" w14:textId="77777777" w:rsidR="00F87636" w:rsidRDefault="00000000">
      <w:pPr>
        <w:shd w:val="clear" w:color="auto" w:fill="F8FAFC"/>
        <w:spacing w:after="60"/>
      </w:pPr>
      <w:r>
        <w:rPr>
          <w:rFonts w:ascii="Consolas" w:eastAsia="Consolas" w:hAnsi="Consolas" w:cs="Consolas"/>
          <w:color w:val="334155"/>
          <w:sz w:val="18"/>
          <w:szCs w:val="18"/>
        </w:rPr>
        <w:t xml:space="preserve">  "orderProcessingType": "PTW",</w:t>
      </w:r>
    </w:p>
    <w:p w14:paraId="7EADC6DC" w14:textId="77777777" w:rsidR="00F87636" w:rsidRDefault="00000000">
      <w:pPr>
        <w:shd w:val="clear" w:color="auto" w:fill="F8FAFC"/>
        <w:spacing w:after="60"/>
      </w:pPr>
      <w:r>
        <w:rPr>
          <w:rFonts w:ascii="Consolas" w:eastAsia="Consolas" w:hAnsi="Consolas" w:cs="Consolas"/>
          <w:color w:val="334155"/>
          <w:sz w:val="18"/>
          <w:szCs w:val="18"/>
        </w:rPr>
        <w:t xml:space="preserve">  "ordersDetail": [ { "storeId": "2000000018", "storeOrderReference": "OX18914...",</w:t>
      </w:r>
    </w:p>
    <w:p w14:paraId="6BB2F422" w14:textId="77777777" w:rsidR="00F87636" w:rsidRDefault="00000000">
      <w:pPr>
        <w:shd w:val="clear" w:color="auto" w:fill="F8FAFC"/>
        <w:spacing w:after="60"/>
      </w:pPr>
      <w:r>
        <w:rPr>
          <w:rFonts w:ascii="Consolas" w:eastAsia="Consolas" w:hAnsi="Consolas" w:cs="Consolas"/>
          <w:color w:val="334155"/>
          <w:sz w:val="18"/>
          <w:szCs w:val="18"/>
        </w:rPr>
        <w:t xml:space="preserve">      "items": [ { "catalogueItemId": "000000000070005494-C00", "quantity": 3 } ] } ] }</w:t>
      </w:r>
    </w:p>
    <w:p w14:paraId="4B4CB343" w14:textId="77777777" w:rsidR="00F87636" w:rsidRDefault="00000000">
      <w:pPr>
        <w:spacing w:after="160"/>
      </w:pPr>
      <w:r>
        <w:t>The 200 acknowledgement carries totals plus accepted[] and rejected[] per store order reference with item/store rejection codes mapped from the FOP code tables. The beans worked example's 200-rejection and 400-error payloads are the required fidelity bar for mocks and conformance tests — a build that has never seen a rejection is not done.</w:t>
      </w:r>
    </w:p>
    <w:p w14:paraId="5885F55E" w14:textId="77777777" w:rsidR="00F87636" w:rsidRDefault="00000000">
      <w:pPr>
        <w:pStyle w:val="Heading2"/>
        <w:spacing w:before="280" w:after="160"/>
      </w:pPr>
      <w:bookmarkStart w:id="38" w:name="_Toc239760090"/>
      <w:r>
        <w:rPr>
          <w:b/>
          <w:bCs/>
          <w:color w:val="1D4ED8"/>
        </w:rPr>
        <w:t>12.3  Timing and the reviewed relay</w:t>
      </w:r>
      <w:bookmarkEnd w:id="38"/>
    </w:p>
    <w:p w14:paraId="262303CC" w14:textId="77777777" w:rsidR="00F87636" w:rsidRDefault="00000000">
      <w:pPr>
        <w:spacing w:after="160"/>
      </w:pPr>
      <w:r>
        <w:t>FOP's order cutoff is early morning (TCG has proposed moving 03:30 to 02:00 — under ISM consultation); relay schedules configure per subscriber against the confirmed business clocks, tracked as an upstream dependency. An optional reviewed-relay screen in the curation app lets a society require a human submit/reject click during cutover or for high-value orders — read-only by design: no composition, no amendment (P6).</w:t>
      </w:r>
    </w:p>
    <w:p w14:paraId="28556B1F" w14:textId="77777777" w:rsidR="00F87636" w:rsidRDefault="00000000">
      <w:pPr>
        <w:pStyle w:val="Heading1"/>
        <w:spacing w:before="360" w:after="200"/>
      </w:pPr>
      <w:bookmarkStart w:id="39" w:name="_Toc239760091"/>
      <w:r>
        <w:rPr>
          <w:b/>
          <w:bCs/>
          <w:color w:val="0F172A"/>
        </w:rPr>
        <w:t>13  Durable Execution — Temporal</w:t>
      </w:r>
      <w:bookmarkEnd w:id="39"/>
    </w:p>
    <w:p w14:paraId="6FFB5F12" w14:textId="77777777" w:rsidR="00F87636" w:rsidRDefault="00000000">
      <w:pPr>
        <w:spacing w:before="160" w:after="60"/>
        <w:jc w:val="center"/>
      </w:pPr>
      <w:r>
        <w:rPr>
          <w:noProof/>
        </w:rPr>
        <w:lastRenderedPageBreak/>
        <w:drawing>
          <wp:inline distT="0" distB="0" distL="0" distR="0" wp14:anchorId="436A6292" wp14:editId="6354601E">
            <wp:extent cx="5943600" cy="2971800"/>
            <wp:effectExtent l="0" t="0" r="0" b="0"/>
            <wp:docPr id="1463356641" name="Picture 146335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971800"/>
                    </a:xfrm>
                    <a:prstGeom prst="rect">
                      <a:avLst/>
                    </a:prstGeom>
                  </pic:spPr>
                </pic:pic>
              </a:graphicData>
            </a:graphic>
          </wp:inline>
        </w:drawing>
      </w:r>
    </w:p>
    <w:p w14:paraId="197B3B70" w14:textId="77777777" w:rsidR="00F87636" w:rsidRDefault="00000000">
      <w:pPr>
        <w:spacing w:after="220"/>
        <w:jc w:val="center"/>
      </w:pPr>
      <w:r>
        <w:rPr>
          <w:i/>
          <w:iCs/>
          <w:color w:val="64748B"/>
          <w:sz w:val="19"/>
          <w:szCs w:val="19"/>
        </w:rPr>
        <w:t>Figure 7 — Temporal behind the durable port; River recorded as the considered alternative (ADR-0006).</w:t>
      </w:r>
    </w:p>
    <w:p w14:paraId="27A401F1" w14:textId="77777777" w:rsidR="00F87636" w:rsidRDefault="00000000">
      <w:pPr>
        <w:spacing w:after="160"/>
      </w:pPr>
      <w:r>
        <w:t>Everything asynchronous — entity polls, file feeds, cell dispatch, the order relay — runs behind a thin Go port (schedule, enqueue, workflow state). Temporal (Go SDK) is the engine behind it.</w:t>
      </w:r>
    </w:p>
    <w:p w14:paraId="59EB549D" w14:textId="77777777" w:rsidR="00F87636" w:rsidRDefault="00000000">
      <w:pPr>
        <w:pStyle w:val="ListParagraph"/>
        <w:numPr>
          <w:ilvl w:val="0"/>
          <w:numId w:val="2"/>
        </w:numPr>
        <w:spacing w:after="100"/>
      </w:pPr>
      <w:r>
        <w:rPr>
          <w:b/>
          <w:bCs/>
        </w:rPr>
        <w:t xml:space="preserve">How it is used. </w:t>
      </w:r>
      <w:r>
        <w:t>The workflow families of Figure 3 are plain Go functions with typed retry policies, timers, full execution history and replay. Parked workflows replace DLQs; the Temporal UI gives operations a per-run view of any record's journey. Hosting default is Temporal Cloud (removing server operations); self-hosting is documented in iac/ as the exit option; the dev server runs in compose so the loop stays local (D2).</w:t>
      </w:r>
    </w:p>
    <w:p w14:paraId="3419F19D" w14:textId="77777777" w:rsidR="00F87636" w:rsidRDefault="00000000">
      <w:pPr>
        <w:pStyle w:val="ListParagraph"/>
        <w:numPr>
          <w:ilvl w:val="0"/>
          <w:numId w:val="2"/>
        </w:numPr>
        <w:spacing w:after="100"/>
      </w:pPr>
      <w:r>
        <w:rPr>
          <w:b/>
          <w:bCs/>
        </w:rPr>
        <w:t xml:space="preserve">Why. </w:t>
      </w:r>
      <w:r>
        <w:t>It deletes the retry/idempotency/watermark bug class as a product guarantee — the code class agents are most likely to get subtly wrong and reviewers least likely to catch. The accepted costs: one more engine (mitigated by Temporal Cloud), and workflow-determinism rules the team must learn (carried in the tcg-service and ism-service DPDs; replay tests in CI catch violations; the walking skeleton exercises them in anger).</w:t>
      </w:r>
    </w:p>
    <w:p w14:paraId="6256E10F" w14:textId="77777777" w:rsidR="00F87636" w:rsidRDefault="00000000">
      <w:pPr>
        <w:pStyle w:val="ListParagraph"/>
        <w:numPr>
          <w:ilvl w:val="0"/>
          <w:numId w:val="2"/>
        </w:numPr>
        <w:spacing w:after="100"/>
      </w:pPr>
      <w:r>
        <w:rPr>
          <w:b/>
          <w:bCs/>
        </w:rPr>
        <w:t xml:space="preserve">The considered alternative. </w:t>
      </w:r>
      <w:r>
        <w:t>River (a Postgres-native job queue with transactional enqueue — job and business write committing atomically) was evaluated seriously. It was not selected: retry, backoff, timeout and idempotency logic would be ours to write and prove, reintroducing the deleted bug class, and operations would lose the execution-history view. ADR-0006 records the comparison; the durable port keeps any future revisit one package wide.</w:t>
      </w:r>
    </w:p>
    <w:p w14:paraId="3A04F22A" w14:textId="77777777" w:rsidR="00F87636" w:rsidRDefault="00000000">
      <w:pPr>
        <w:pStyle w:val="Heading1"/>
        <w:spacing w:before="360" w:after="200"/>
      </w:pPr>
      <w:bookmarkStart w:id="40" w:name="_Toc239760092"/>
      <w:r>
        <w:rPr>
          <w:b/>
          <w:bCs/>
          <w:color w:val="0F172A"/>
        </w:rPr>
        <w:t>14  The Knowledge-Graph Context Plane</w:t>
      </w:r>
      <w:bookmarkEnd w:id="40"/>
    </w:p>
    <w:p w14:paraId="6ACAF671" w14:textId="77777777" w:rsidR="00F87636" w:rsidRDefault="00000000">
      <w:pPr>
        <w:spacing w:before="160" w:after="60"/>
        <w:jc w:val="center"/>
      </w:pPr>
      <w:r>
        <w:rPr>
          <w:noProof/>
        </w:rPr>
        <w:lastRenderedPageBreak/>
        <w:drawing>
          <wp:inline distT="0" distB="0" distL="0" distR="0" wp14:anchorId="36F83A03" wp14:editId="6BD65A22">
            <wp:extent cx="5943600" cy="3124200"/>
            <wp:effectExtent l="0" t="0" r="0" b="0"/>
            <wp:docPr id="1445809050" name="Picture 144580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124200"/>
                    </a:xfrm>
                    <a:prstGeom prst="rect">
                      <a:avLst/>
                    </a:prstGeom>
                  </pic:spPr>
                </pic:pic>
              </a:graphicData>
            </a:graphic>
          </wp:inline>
        </w:drawing>
      </w:r>
    </w:p>
    <w:p w14:paraId="075D4E4E" w14:textId="77777777" w:rsidR="00F87636" w:rsidRDefault="00000000">
      <w:pPr>
        <w:spacing w:after="220"/>
        <w:jc w:val="center"/>
      </w:pPr>
      <w:r>
        <w:rPr>
          <w:i/>
          <w:iCs/>
          <w:color w:val="64748B"/>
          <w:sz w:val="19"/>
          <w:szCs w:val="19"/>
        </w:rPr>
        <w:t>Figure 8 — Derived from the monorepo on every merge; queried by agents over MCP.</w:t>
      </w:r>
    </w:p>
    <w:p w14:paraId="2191C68D" w14:textId="77777777" w:rsidR="00F87636" w:rsidRDefault="00000000">
      <w:pPr>
        <w:pStyle w:val="Heading2"/>
        <w:spacing w:before="280" w:after="160"/>
      </w:pPr>
      <w:bookmarkStart w:id="41" w:name="_Toc239760093"/>
      <w:r>
        <w:rPr>
          <w:b/>
          <w:bCs/>
          <w:color w:val="1D4ED8"/>
        </w:rPr>
        <w:t>14.1  What it is</w:t>
      </w:r>
      <w:bookmarkEnd w:id="41"/>
    </w:p>
    <w:p w14:paraId="707ADC3F" w14:textId="77777777" w:rsidR="00F87636" w:rsidRDefault="00000000">
      <w:pPr>
        <w:spacing w:after="160"/>
      </w:pPr>
      <w:r>
        <w:t>A Neo4j graph of the platform's relationships and symbolics: services, packages, exported symbols, HTTP endpoints, tables, columns, views, RLS policies, flows, packs, cells, ADRs, DPDs and board spec IDs — and the edges between them (calls, reads, writes, exposes, governs, implements). It is the platform's index of itself, built for the questions agents actually ask: what writes overlay.subscription? what breaks if FOP drops costPrices[].effectiveFrom? which ADR governs retry behaviour in services/tcg? which packs consume the egress-ready view? which cells dispatch over SFTP?</w:t>
      </w:r>
    </w:p>
    <w:p w14:paraId="3460529A" w14:textId="77777777" w:rsidR="00F87636" w:rsidRDefault="00000000">
      <w:pPr>
        <w:pStyle w:val="Heading2"/>
        <w:spacing w:before="280" w:after="160"/>
      </w:pPr>
      <w:bookmarkStart w:id="42" w:name="_Toc239760094"/>
      <w:r>
        <w:rPr>
          <w:b/>
          <w:bCs/>
          <w:color w:val="1D4ED8"/>
        </w:rPr>
        <w:t>14.2  The one hard rule: derived, never curated (D9)</w:t>
      </w:r>
      <w:bookmarkEnd w:id="42"/>
    </w:p>
    <w:p w14:paraId="6E4D9F35" w14:textId="77777777" w:rsidR="00F87636" w:rsidRDefault="00000000">
      <w:pPr>
        <w:spacing w:after="160"/>
      </w:pPr>
      <w:r>
        <w:t>Every node and edge is extracted mechanically by CI on every merge to main: the Go AST via go/analysis (packages, symbols, call edges, table references), the OpenAPI specs (BFF and FOP alike), the SQL migrations (tables, views, policies), pack definitions, cell manifests, and ADR/DPD frontmatter. The output is stamped with the commit SHA; a graph older than main is a failed build, not a warning. Nothing is ever hand-edited — a curated graph rots into confident lies within weeks, and a lying index is worse for agents than no index. Git remains the sole source of truth; the graph is a view of it.</w:t>
      </w:r>
    </w:p>
    <w:p w14:paraId="32E1961D" w14:textId="77777777" w:rsidR="00F87636" w:rsidRDefault="00000000">
      <w:pPr>
        <w:pStyle w:val="Heading2"/>
        <w:spacing w:before="280" w:after="160"/>
      </w:pPr>
      <w:bookmarkStart w:id="43" w:name="_Toc239760095"/>
      <w:r>
        <w:rPr>
          <w:b/>
          <w:bCs/>
          <w:color w:val="1D4ED8"/>
        </w:rPr>
        <w:t>14.3  How agents use it</w:t>
      </w:r>
      <w:bookmarkEnd w:id="43"/>
    </w:p>
    <w:p w14:paraId="134892B5" w14:textId="77777777" w:rsidR="00F87636" w:rsidRDefault="00000000">
      <w:pPr>
        <w:pStyle w:val="ListParagraph"/>
        <w:numPr>
          <w:ilvl w:val="0"/>
          <w:numId w:val="2"/>
        </w:numPr>
        <w:spacing w:after="100"/>
      </w:pPr>
      <w:r>
        <w:t>A read-only MCP server exposes graph queries as tools to every Claude Code session and to the automated PR reviewer: impact-of-change, writers-of-table, decisions-governing-path, flow-trace, pack-consumers.</w:t>
      </w:r>
    </w:p>
    <w:p w14:paraId="6230D7C2" w14:textId="77777777" w:rsidR="00F87636" w:rsidRDefault="00000000">
      <w:pPr>
        <w:pStyle w:val="ListParagraph"/>
        <w:numPr>
          <w:ilvl w:val="0"/>
          <w:numId w:val="2"/>
        </w:numPr>
        <w:spacing w:after="100"/>
      </w:pPr>
      <w:r>
        <w:t>The PR review gate uses it structurally: a change to a symbol whose downstream edges cross a layer boundary flags the affected specs and DPDs for the human approver.</w:t>
      </w:r>
    </w:p>
    <w:p w14:paraId="06D21B8D" w14:textId="77777777" w:rsidR="00F87636" w:rsidRDefault="00000000">
      <w:pPr>
        <w:pStyle w:val="ListParagraph"/>
        <w:numPr>
          <w:ilvl w:val="0"/>
          <w:numId w:val="2"/>
        </w:numPr>
        <w:spacing w:after="100"/>
      </w:pPr>
      <w:r>
        <w:t>Operations agents trace 'where is my record?' across service boundaries by joining graph structure to OTel traces and lineage rows.</w:t>
      </w:r>
    </w:p>
    <w:p w14:paraId="45779D2E" w14:textId="77777777" w:rsidR="00F87636" w:rsidRDefault="00000000">
      <w:pPr>
        <w:pStyle w:val="Heading2"/>
        <w:spacing w:before="280" w:after="160"/>
      </w:pPr>
      <w:bookmarkStart w:id="44" w:name="_Toc239760096"/>
      <w:r>
        <w:rPr>
          <w:b/>
          <w:bCs/>
          <w:color w:val="1D4ED8"/>
        </w:rPr>
        <w:t>14.4  Boundaries</w:t>
      </w:r>
      <w:bookmarkEnd w:id="44"/>
    </w:p>
    <w:p w14:paraId="18D5C6F4" w14:textId="77777777" w:rsidR="00F87636" w:rsidRDefault="00000000">
      <w:pPr>
        <w:pStyle w:val="ListParagraph"/>
        <w:numPr>
          <w:ilvl w:val="0"/>
          <w:numId w:val="2"/>
        </w:numPr>
        <w:spacing w:after="100"/>
      </w:pPr>
      <w:r>
        <w:t>Symbols and relationships only — never payload data, never subscriber commercial data, never credentials. The graph is structural, so the commercial-data guardrail is untouched.</w:t>
      </w:r>
    </w:p>
    <w:p w14:paraId="5C3E3EED" w14:textId="77777777" w:rsidR="00F87636" w:rsidRDefault="00000000">
      <w:pPr>
        <w:pStyle w:val="ListParagraph"/>
        <w:numPr>
          <w:ilvl w:val="0"/>
          <w:numId w:val="2"/>
        </w:numPr>
        <w:spacing w:after="100"/>
      </w:pPr>
      <w:r>
        <w:lastRenderedPageBreak/>
        <w:t>Read-only to agents; there is no agent write path. Extractor changes are ordinary PRs through the ordinary gates.</w:t>
      </w:r>
    </w:p>
    <w:p w14:paraId="5B010474" w14:textId="77777777" w:rsidR="00F87636" w:rsidRDefault="00000000">
      <w:pPr>
        <w:pStyle w:val="ListParagraph"/>
        <w:numPr>
          <w:ilvl w:val="0"/>
          <w:numId w:val="2"/>
        </w:numPr>
        <w:spacing w:after="100"/>
      </w:pPr>
      <w:r>
        <w:t>Neo4j (Aura or a container) plus a small Go MCP server; in compose it runs locally like everything else (D2).</w:t>
      </w:r>
    </w:p>
    <w:p w14:paraId="5114C7BB" w14:textId="77777777" w:rsidR="00F87636" w:rsidRDefault="00000000">
      <w:pPr>
        <w:pStyle w:val="Heading1"/>
        <w:spacing w:before="360" w:after="200"/>
      </w:pPr>
      <w:bookmarkStart w:id="45" w:name="_Toc239760097"/>
      <w:r>
        <w:rPr>
          <w:b/>
          <w:bCs/>
          <w:color w:val="0F172A"/>
        </w:rPr>
        <w:t>15  Data Flow Catalogue</w:t>
      </w:r>
      <w:bookmarkEnd w:id="45"/>
    </w:p>
    <w:p w14:paraId="253F38DC" w14:textId="77777777" w:rsidR="00F87636" w:rsidRDefault="00000000">
      <w:pPr>
        <w:spacing w:after="160"/>
      </w:pPr>
      <w:r>
        <w:t>The complete reference list of platform flows and their mechanisms.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1700"/>
        <w:gridCol w:w="2500"/>
        <w:gridCol w:w="2800"/>
      </w:tblGrid>
      <w:tr w:rsidR="00F87636" w14:paraId="05DA32A0" w14:textId="77777777">
        <w:tblPrEx>
          <w:tblCellMar>
            <w:top w:w="0" w:type="dxa"/>
            <w:bottom w:w="0" w:type="dxa"/>
          </w:tblCellMar>
        </w:tblPrEx>
        <w:trPr>
          <w:cantSplit/>
          <w:tblHeader/>
        </w:trPr>
        <w:tc>
          <w:tcPr>
            <w:tcW w:w="5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0575274B" w14:textId="77777777" w:rsidR="00F87636" w:rsidRDefault="00000000">
            <w:pPr>
              <w:spacing w:after="20"/>
            </w:pPr>
            <w:r>
              <w:rPr>
                <w:b/>
                <w:bCs/>
                <w:color w:val="FFFFFF"/>
                <w:sz w:val="20"/>
                <w:szCs w:val="20"/>
              </w:rPr>
              <w:t>#</w:t>
            </w:r>
          </w:p>
        </w:tc>
        <w:tc>
          <w:tcPr>
            <w:tcW w:w="23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A7113C7" w14:textId="77777777" w:rsidR="00F87636" w:rsidRDefault="00000000">
            <w:pPr>
              <w:spacing w:after="20"/>
            </w:pPr>
            <w:r>
              <w:rPr>
                <w:b/>
                <w:bCs/>
                <w:color w:val="FFFFFF"/>
                <w:sz w:val="20"/>
                <w:szCs w:val="20"/>
              </w:rPr>
              <w:t>Flow</w:t>
            </w:r>
          </w:p>
        </w:tc>
        <w:tc>
          <w:tcPr>
            <w:tcW w:w="17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5F10A796" w14:textId="77777777" w:rsidR="00F87636" w:rsidRDefault="00000000">
            <w:pPr>
              <w:spacing w:after="20"/>
            </w:pPr>
            <w:r>
              <w:rPr>
                <w:b/>
                <w:bCs/>
                <w:color w:val="FFFFFF"/>
                <w:sz w:val="20"/>
                <w:szCs w:val="20"/>
              </w:rPr>
              <w:t>Direction</w:t>
            </w:r>
          </w:p>
        </w:tc>
        <w:tc>
          <w:tcPr>
            <w:tcW w:w="25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1CFA0DB8" w14:textId="77777777" w:rsidR="00F87636" w:rsidRDefault="00000000">
            <w:pPr>
              <w:spacing w:after="20"/>
            </w:pPr>
            <w:r>
              <w:rPr>
                <w:b/>
                <w:bCs/>
                <w:color w:val="FFFFFF"/>
                <w:sz w:val="20"/>
                <w:szCs w:val="20"/>
              </w:rPr>
              <w:t>Mechanism</w:t>
            </w:r>
          </w:p>
        </w:tc>
        <w:tc>
          <w:tcPr>
            <w:tcW w:w="28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3FED18B8" w14:textId="77777777" w:rsidR="00F87636" w:rsidRDefault="00000000">
            <w:pPr>
              <w:spacing w:after="20"/>
            </w:pPr>
            <w:r>
              <w:rPr>
                <w:b/>
                <w:bCs/>
                <w:color w:val="FFFFFF"/>
                <w:sz w:val="20"/>
                <w:szCs w:val="20"/>
              </w:rPr>
              <w:t>To subscriber</w:t>
            </w:r>
          </w:p>
        </w:tc>
      </w:tr>
      <w:tr w:rsidR="00F87636" w14:paraId="6BED6A10"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ED4C732" w14:textId="77777777" w:rsidR="00F87636" w:rsidRDefault="00000000">
            <w:pPr>
              <w:spacing w:after="20"/>
            </w:pPr>
            <w:r>
              <w:rPr>
                <w:sz w:val="19"/>
                <w:szCs w:val="19"/>
              </w:rPr>
              <w:t>1</w:t>
            </w:r>
          </w:p>
        </w:tc>
        <w:tc>
          <w:tcPr>
            <w:tcW w:w="2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3EA7CF0" w14:textId="77777777" w:rsidR="00F87636" w:rsidRDefault="00000000">
            <w:pPr>
              <w:spacing w:after="20"/>
            </w:pPr>
            <w:r>
              <w:rPr>
                <w:sz w:val="19"/>
                <w:szCs w:val="19"/>
              </w:rPr>
              <w:t>Retail Product</w:t>
            </w:r>
          </w:p>
        </w:tc>
        <w:tc>
          <w:tcPr>
            <w:tcW w:w="1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5C7F0BC"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26B2534" w14:textId="77777777" w:rsidR="00F87636" w:rsidRDefault="00000000">
            <w:pPr>
              <w:spacing w:after="20"/>
            </w:pPr>
            <w:r>
              <w:rPr>
                <w:sz w:val="19"/>
                <w:szCs w:val="19"/>
              </w:rPr>
              <w:t>EntityPollWorkflow (delta, paginated)</w:t>
            </w:r>
          </w:p>
        </w:tc>
        <w:tc>
          <w:tcPr>
            <w:tcW w:w="2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37F0B9D" w14:textId="77777777" w:rsidR="00F87636" w:rsidRDefault="00000000">
            <w:pPr>
              <w:spacing w:after="20"/>
            </w:pPr>
            <w:r>
              <w:rPr>
                <w:sz w:val="19"/>
                <w:szCs w:val="19"/>
              </w:rPr>
              <w:t>Pack, filtered by subscription + enrichment</w:t>
            </w:r>
          </w:p>
        </w:tc>
      </w:tr>
      <w:tr w:rsidR="00F87636" w14:paraId="15549468"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E0AD489" w14:textId="77777777" w:rsidR="00F87636" w:rsidRDefault="00000000">
            <w:pPr>
              <w:spacing w:after="20"/>
            </w:pPr>
            <w:r>
              <w:rPr>
                <w:sz w:val="19"/>
                <w:szCs w:val="19"/>
              </w:rPr>
              <w:t>2</w:t>
            </w:r>
          </w:p>
        </w:tc>
        <w:tc>
          <w:tcPr>
            <w:tcW w:w="2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08854D3" w14:textId="77777777" w:rsidR="00F87636" w:rsidRDefault="00000000">
            <w:pPr>
              <w:spacing w:after="20"/>
            </w:pPr>
            <w:r>
              <w:rPr>
                <w:sz w:val="19"/>
                <w:szCs w:val="19"/>
              </w:rPr>
              <w:t>Wholesale Product / Catalogue Item</w:t>
            </w:r>
          </w:p>
        </w:tc>
        <w:tc>
          <w:tcPr>
            <w:tcW w:w="1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92B0051"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1B7D8DA" w14:textId="77777777" w:rsidR="00F87636" w:rsidRDefault="00000000">
            <w:pPr>
              <w:spacing w:after="20"/>
            </w:pPr>
            <w:r>
              <w:rPr>
                <w:sz w:val="19"/>
                <w:szCs w:val="19"/>
              </w:rPr>
              <w:t>EntityPollWorkflow</w:t>
            </w:r>
          </w:p>
        </w:tc>
        <w:tc>
          <w:tcPr>
            <w:tcW w:w="2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506EA3B" w14:textId="77777777" w:rsidR="00F87636" w:rsidRDefault="00000000">
            <w:pPr>
              <w:spacing w:after="20"/>
            </w:pPr>
            <w:r>
              <w:rPr>
                <w:sz w:val="19"/>
                <w:szCs w:val="19"/>
              </w:rPr>
              <w:t>Pack, filtered + mapped (downstream key)</w:t>
            </w:r>
          </w:p>
        </w:tc>
      </w:tr>
      <w:tr w:rsidR="00F87636" w14:paraId="68BA2A71"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8CE0B62" w14:textId="77777777" w:rsidR="00F87636" w:rsidRDefault="00000000">
            <w:pPr>
              <w:spacing w:after="20"/>
            </w:pPr>
            <w:r>
              <w:rPr>
                <w:sz w:val="19"/>
                <w:szCs w:val="19"/>
              </w:rPr>
              <w:t>3</w:t>
            </w:r>
          </w:p>
        </w:tc>
        <w:tc>
          <w:tcPr>
            <w:tcW w:w="2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39791E2" w14:textId="77777777" w:rsidR="00F87636" w:rsidRDefault="00000000">
            <w:pPr>
              <w:spacing w:after="20"/>
            </w:pPr>
            <w:r>
              <w:rPr>
                <w:sz w:val="19"/>
                <w:szCs w:val="19"/>
              </w:rPr>
              <w:t>Wholesale cost (price)</w:t>
            </w:r>
          </w:p>
        </w:tc>
        <w:tc>
          <w:tcPr>
            <w:tcW w:w="1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8C4586E"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F8138D3" w14:textId="77777777" w:rsidR="00F87636" w:rsidRDefault="00000000">
            <w:pPr>
              <w:spacing w:after="20"/>
            </w:pPr>
            <w:r>
              <w:rPr>
                <w:sz w:val="19"/>
                <w:szCs w:val="19"/>
              </w:rPr>
              <w:t>EntityPollWorkflow (in product payloads)</w:t>
            </w:r>
          </w:p>
        </w:tc>
        <w:tc>
          <w:tcPr>
            <w:tcW w:w="2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B6DA75A" w14:textId="77777777" w:rsidR="00F87636" w:rsidRDefault="00000000">
            <w:pPr>
              <w:spacing w:after="20"/>
            </w:pPr>
            <w:r>
              <w:rPr>
                <w:sz w:val="19"/>
                <w:szCs w:val="19"/>
              </w:rPr>
              <w:t>Advisory feed; threshold surveillance in workbench (P5)</w:t>
            </w:r>
          </w:p>
        </w:tc>
      </w:tr>
      <w:tr w:rsidR="00F87636" w14:paraId="4A1195F0"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8FB2FE7" w14:textId="77777777" w:rsidR="00F87636" w:rsidRDefault="00000000">
            <w:pPr>
              <w:spacing w:after="20"/>
            </w:pPr>
            <w:r>
              <w:rPr>
                <w:sz w:val="19"/>
                <w:szCs w:val="19"/>
              </w:rPr>
              <w:t>4</w:t>
            </w:r>
          </w:p>
        </w:tc>
        <w:tc>
          <w:tcPr>
            <w:tcW w:w="2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7699E9C" w14:textId="77777777" w:rsidR="00F87636" w:rsidRDefault="00000000">
            <w:pPr>
              <w:spacing w:after="20"/>
            </w:pPr>
            <w:r>
              <w:rPr>
                <w:sz w:val="19"/>
                <w:szCs w:val="19"/>
              </w:rPr>
              <w:t>Promotion</w:t>
            </w:r>
          </w:p>
        </w:tc>
        <w:tc>
          <w:tcPr>
            <w:tcW w:w="1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9F6C3E0"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AC55638" w14:textId="77777777" w:rsidR="00F87636" w:rsidRDefault="00000000">
            <w:pPr>
              <w:spacing w:after="20"/>
            </w:pPr>
            <w:r>
              <w:rPr>
                <w:sz w:val="19"/>
                <w:szCs w:val="19"/>
              </w:rPr>
              <w:t>EntityPollWorkflow</w:t>
            </w:r>
          </w:p>
        </w:tc>
        <w:tc>
          <w:tcPr>
            <w:tcW w:w="2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F898720" w14:textId="77777777" w:rsidR="00F87636" w:rsidRDefault="00000000">
            <w:pPr>
              <w:spacing w:after="20"/>
            </w:pPr>
            <w:r>
              <w:rPr>
                <w:sz w:val="19"/>
                <w:szCs w:val="19"/>
              </w:rPr>
              <w:t>Advisory; surfaced + optionally fed to pricing engine</w:t>
            </w:r>
          </w:p>
        </w:tc>
      </w:tr>
      <w:tr w:rsidR="00F87636" w14:paraId="160F3D31"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FB204B0" w14:textId="77777777" w:rsidR="00F87636" w:rsidRDefault="00000000">
            <w:pPr>
              <w:spacing w:after="20"/>
            </w:pPr>
            <w:r>
              <w:rPr>
                <w:sz w:val="19"/>
                <w:szCs w:val="19"/>
              </w:rPr>
              <w:t>5</w:t>
            </w:r>
          </w:p>
        </w:tc>
        <w:tc>
          <w:tcPr>
            <w:tcW w:w="2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B6A8804" w14:textId="77777777" w:rsidR="00F87636" w:rsidRDefault="00000000">
            <w:pPr>
              <w:spacing w:after="20"/>
            </w:pPr>
            <w:r>
              <w:rPr>
                <w:sz w:val="19"/>
                <w:szCs w:val="19"/>
              </w:rPr>
              <w:t>Product Hierarchy</w:t>
            </w:r>
          </w:p>
        </w:tc>
        <w:tc>
          <w:tcPr>
            <w:tcW w:w="1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0F0BE26"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EBB7039" w14:textId="77777777" w:rsidR="00F87636" w:rsidRDefault="00000000">
            <w:pPr>
              <w:spacing w:after="20"/>
            </w:pPr>
            <w:r>
              <w:rPr>
                <w:sz w:val="19"/>
                <w:szCs w:val="19"/>
              </w:rPr>
              <w:t>EntityPollWorkflow</w:t>
            </w:r>
          </w:p>
        </w:tc>
        <w:tc>
          <w:tcPr>
            <w:tcW w:w="2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7CD324A" w14:textId="77777777" w:rsidR="00F87636" w:rsidRDefault="00000000">
            <w:pPr>
              <w:spacing w:after="20"/>
            </w:pPr>
            <w:r>
              <w:rPr>
                <w:sz w:val="19"/>
                <w:szCs w:val="19"/>
              </w:rPr>
              <w:t>Pack, usually weekly full</w:t>
            </w:r>
          </w:p>
        </w:tc>
      </w:tr>
      <w:tr w:rsidR="00F87636" w14:paraId="5C41F690"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1AB4176" w14:textId="77777777" w:rsidR="00F87636" w:rsidRDefault="00000000">
            <w:pPr>
              <w:spacing w:after="20"/>
            </w:pPr>
            <w:r>
              <w:rPr>
                <w:sz w:val="19"/>
                <w:szCs w:val="19"/>
              </w:rPr>
              <w:t>6</w:t>
            </w:r>
          </w:p>
        </w:tc>
        <w:tc>
          <w:tcPr>
            <w:tcW w:w="2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1FB42B5" w14:textId="77777777" w:rsidR="00F87636" w:rsidRDefault="00000000">
            <w:pPr>
              <w:spacing w:after="20"/>
            </w:pPr>
            <w:r>
              <w:rPr>
                <w:sz w:val="19"/>
                <w:szCs w:val="19"/>
              </w:rPr>
              <w:t>Supplier</w:t>
            </w:r>
          </w:p>
        </w:tc>
        <w:tc>
          <w:tcPr>
            <w:tcW w:w="1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F3AD061"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E58DCAD" w14:textId="77777777" w:rsidR="00F87636" w:rsidRDefault="00000000">
            <w:pPr>
              <w:spacing w:after="20"/>
            </w:pPr>
            <w:r>
              <w:rPr>
                <w:sz w:val="19"/>
                <w:szCs w:val="19"/>
              </w:rPr>
              <w:t>EntityPollWorkflow</w:t>
            </w:r>
          </w:p>
        </w:tc>
        <w:tc>
          <w:tcPr>
            <w:tcW w:w="2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216B59C" w14:textId="77777777" w:rsidR="00F87636" w:rsidRDefault="00000000">
            <w:pPr>
              <w:spacing w:after="20"/>
            </w:pPr>
            <w:r>
              <w:rPr>
                <w:sz w:val="19"/>
                <w:szCs w:val="19"/>
              </w:rPr>
              <w:t>Pack</w:t>
            </w:r>
          </w:p>
        </w:tc>
      </w:tr>
      <w:tr w:rsidR="00F87636" w14:paraId="1E547DD9"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99CEACC" w14:textId="77777777" w:rsidR="00F87636" w:rsidRDefault="00000000">
            <w:pPr>
              <w:spacing w:after="20"/>
            </w:pPr>
            <w:r>
              <w:rPr>
                <w:sz w:val="19"/>
                <w:szCs w:val="19"/>
              </w:rPr>
              <w:t>7</w:t>
            </w:r>
          </w:p>
        </w:tc>
        <w:tc>
          <w:tcPr>
            <w:tcW w:w="2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3E870F2" w14:textId="77777777" w:rsidR="00F87636" w:rsidRDefault="00000000">
            <w:pPr>
              <w:spacing w:after="20"/>
            </w:pPr>
            <w:r>
              <w:rPr>
                <w:sz w:val="19"/>
                <w:szCs w:val="19"/>
              </w:rPr>
              <w:t>Range / Planogram / RADR / PSA</w:t>
            </w:r>
          </w:p>
        </w:tc>
        <w:tc>
          <w:tcPr>
            <w:tcW w:w="1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741CFC7"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2CCD34B" w14:textId="77777777" w:rsidR="00F87636" w:rsidRDefault="00000000">
            <w:pPr>
              <w:spacing w:after="20"/>
            </w:pPr>
            <w:r>
              <w:rPr>
                <w:sz w:val="19"/>
                <w:szCs w:val="19"/>
              </w:rPr>
              <w:t>FileFeedWorkflow (SFTP)</w:t>
            </w:r>
          </w:p>
        </w:tc>
        <w:tc>
          <w:tcPr>
            <w:tcW w:w="2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6D2C175" w14:textId="77777777" w:rsidR="00F87636" w:rsidRDefault="00000000">
            <w:pPr>
              <w:spacing w:after="20"/>
            </w:pPr>
            <w:r>
              <w:rPr>
                <w:sz w:val="19"/>
                <w:szCs w:val="19"/>
              </w:rPr>
              <w:t>Workbench display + object-store link</w:t>
            </w:r>
          </w:p>
        </w:tc>
      </w:tr>
      <w:tr w:rsidR="00F87636" w14:paraId="74A3F4BF"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A6CA73B" w14:textId="77777777" w:rsidR="00F87636" w:rsidRDefault="00000000">
            <w:pPr>
              <w:spacing w:after="20"/>
            </w:pPr>
            <w:r>
              <w:rPr>
                <w:sz w:val="19"/>
                <w:szCs w:val="19"/>
              </w:rPr>
              <w:t>8</w:t>
            </w:r>
          </w:p>
        </w:tc>
        <w:tc>
          <w:tcPr>
            <w:tcW w:w="2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5583B28" w14:textId="77777777" w:rsidR="00F87636" w:rsidRDefault="00000000">
            <w:pPr>
              <w:spacing w:after="20"/>
            </w:pPr>
            <w:r>
              <w:rPr>
                <w:sz w:val="19"/>
                <w:szCs w:val="19"/>
              </w:rPr>
              <w:t>Sales Order</w:t>
            </w:r>
          </w:p>
        </w:tc>
        <w:tc>
          <w:tcPr>
            <w:tcW w:w="1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4E23443" w14:textId="77777777" w:rsidR="00F87636" w:rsidRDefault="00000000">
            <w:pPr>
              <w:spacing w:after="20"/>
            </w:pPr>
            <w:r>
              <w:rPr>
                <w:sz w:val="19"/>
                <w:szCs w:val="19"/>
              </w:rPr>
              <w:t>ISM → platform → TCG</w:t>
            </w:r>
          </w:p>
        </w:tc>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4FBDA2A" w14:textId="77777777" w:rsidR="00F87636" w:rsidRDefault="00000000">
            <w:pPr>
              <w:spacing w:after="20"/>
            </w:pPr>
            <w:r>
              <w:rPr>
                <w:sz w:val="19"/>
                <w:szCs w:val="19"/>
              </w:rPr>
              <w:t>Cell intake → OrderRelayWorkflow → POST /sales-order</w:t>
            </w:r>
          </w:p>
        </w:tc>
        <w:tc>
          <w:tcPr>
            <w:tcW w:w="2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CED3F58" w14:textId="77777777" w:rsidR="00F87636" w:rsidRDefault="00000000">
            <w:pPr>
              <w:spacing w:after="20"/>
            </w:pPr>
            <w:r>
              <w:rPr>
                <w:sz w:val="19"/>
                <w:szCs w:val="19"/>
              </w:rPr>
              <w:t>Acknowledgement returned via the same cell</w:t>
            </w:r>
          </w:p>
        </w:tc>
      </w:tr>
      <w:tr w:rsidR="00F87636" w14:paraId="3262C8C8"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0F14529" w14:textId="77777777" w:rsidR="00F87636" w:rsidRDefault="00000000">
            <w:pPr>
              <w:spacing w:after="20"/>
            </w:pPr>
            <w:r>
              <w:rPr>
                <w:sz w:val="19"/>
                <w:szCs w:val="19"/>
              </w:rPr>
              <w:t>9</w:t>
            </w:r>
          </w:p>
        </w:tc>
        <w:tc>
          <w:tcPr>
            <w:tcW w:w="2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2F726D0" w14:textId="77777777" w:rsidR="00F87636" w:rsidRDefault="00000000">
            <w:pPr>
              <w:spacing w:after="20"/>
            </w:pPr>
            <w:r>
              <w:rPr>
                <w:sz w:val="19"/>
                <w:szCs w:val="19"/>
              </w:rPr>
              <w:t>Order Acknowledgement</w:t>
            </w:r>
          </w:p>
        </w:tc>
        <w:tc>
          <w:tcPr>
            <w:tcW w:w="1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E98C922"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66919CE" w14:textId="77777777" w:rsidR="00F87636" w:rsidRDefault="00000000">
            <w:pPr>
              <w:spacing w:after="20"/>
            </w:pPr>
            <w:r>
              <w:rPr>
                <w:sz w:val="19"/>
                <w:szCs w:val="19"/>
              </w:rPr>
              <w:t>sales-order 200 response</w:t>
            </w:r>
          </w:p>
        </w:tc>
        <w:tc>
          <w:tcPr>
            <w:tcW w:w="2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90FE8CD" w14:textId="77777777" w:rsidR="00F87636" w:rsidRDefault="00000000">
            <w:pPr>
              <w:spacing w:after="20"/>
            </w:pPr>
            <w:r>
              <w:rPr>
                <w:sz w:val="19"/>
                <w:szCs w:val="19"/>
              </w:rPr>
              <w:t>Pack, to the ISM ordering system</w:t>
            </w:r>
          </w:p>
        </w:tc>
      </w:tr>
      <w:tr w:rsidR="00F87636" w14:paraId="1373B5EB"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2BD5F00" w14:textId="77777777" w:rsidR="00F87636" w:rsidRDefault="00000000">
            <w:pPr>
              <w:spacing w:after="20"/>
            </w:pPr>
            <w:r>
              <w:rPr>
                <w:sz w:val="19"/>
                <w:szCs w:val="19"/>
              </w:rPr>
              <w:t>10</w:t>
            </w:r>
          </w:p>
        </w:tc>
        <w:tc>
          <w:tcPr>
            <w:tcW w:w="2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5F23B46" w14:textId="77777777" w:rsidR="00F87636" w:rsidRDefault="00000000">
            <w:pPr>
              <w:spacing w:after="20"/>
            </w:pPr>
            <w:r>
              <w:rPr>
                <w:sz w:val="19"/>
                <w:szCs w:val="19"/>
              </w:rPr>
              <w:t>EDN</w:t>
            </w:r>
          </w:p>
        </w:tc>
        <w:tc>
          <w:tcPr>
            <w:tcW w:w="1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8D8AFB7"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BD9DDAA" w14:textId="77777777" w:rsidR="00F87636" w:rsidRDefault="00000000">
            <w:pPr>
              <w:spacing w:after="20"/>
            </w:pPr>
            <w:r>
              <w:rPr>
                <w:sz w:val="19"/>
                <w:szCs w:val="19"/>
              </w:rPr>
              <w:t>FileFeedWorkflow (API endpoint available as per-feed config alternative)</w:t>
            </w:r>
          </w:p>
        </w:tc>
        <w:tc>
          <w:tcPr>
            <w:tcW w:w="2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019A8F6" w14:textId="77777777" w:rsidR="00F87636" w:rsidRDefault="00000000">
            <w:pPr>
              <w:spacing w:after="20"/>
            </w:pPr>
            <w:r>
              <w:rPr>
                <w:sz w:val="19"/>
                <w:szCs w:val="19"/>
              </w:rPr>
              <w:t>Pack, to store/ordering systems</w:t>
            </w:r>
          </w:p>
        </w:tc>
      </w:tr>
      <w:tr w:rsidR="00F87636" w14:paraId="11F7B146"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916B5F6" w14:textId="77777777" w:rsidR="00F87636" w:rsidRDefault="00000000">
            <w:pPr>
              <w:spacing w:after="20"/>
            </w:pPr>
            <w:r>
              <w:rPr>
                <w:sz w:val="19"/>
                <w:szCs w:val="19"/>
              </w:rPr>
              <w:t>11</w:t>
            </w:r>
          </w:p>
        </w:tc>
        <w:tc>
          <w:tcPr>
            <w:tcW w:w="2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74F840B" w14:textId="77777777" w:rsidR="00F87636" w:rsidRDefault="00000000">
            <w:pPr>
              <w:spacing w:after="20"/>
            </w:pPr>
            <w:r>
              <w:rPr>
                <w:sz w:val="19"/>
                <w:szCs w:val="19"/>
              </w:rPr>
              <w:t>Depot Invoice</w:t>
            </w:r>
          </w:p>
        </w:tc>
        <w:tc>
          <w:tcPr>
            <w:tcW w:w="1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089867F"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6F96A36" w14:textId="77777777" w:rsidR="00F87636" w:rsidRDefault="00000000">
            <w:pPr>
              <w:spacing w:after="20"/>
            </w:pPr>
            <w:r>
              <w:rPr>
                <w:sz w:val="19"/>
                <w:szCs w:val="19"/>
              </w:rPr>
              <w:t>FileFeedWorkflow</w:t>
            </w:r>
          </w:p>
        </w:tc>
        <w:tc>
          <w:tcPr>
            <w:tcW w:w="2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96C7CAC" w14:textId="77777777" w:rsidR="00F87636" w:rsidRDefault="00000000">
            <w:pPr>
              <w:spacing w:after="20"/>
            </w:pPr>
            <w:r>
              <w:rPr>
                <w:sz w:val="19"/>
                <w:szCs w:val="19"/>
              </w:rPr>
              <w:t>Pack, to finance system</w:t>
            </w:r>
          </w:p>
        </w:tc>
      </w:tr>
      <w:tr w:rsidR="00F87636" w14:paraId="0F81B66B"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6587549" w14:textId="77777777" w:rsidR="00F87636" w:rsidRDefault="00000000">
            <w:pPr>
              <w:spacing w:after="20"/>
            </w:pPr>
            <w:r>
              <w:rPr>
                <w:sz w:val="19"/>
                <w:szCs w:val="19"/>
              </w:rPr>
              <w:t>12</w:t>
            </w:r>
          </w:p>
        </w:tc>
        <w:tc>
          <w:tcPr>
            <w:tcW w:w="2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A986DD3" w14:textId="77777777" w:rsidR="00F87636" w:rsidRDefault="00000000">
            <w:pPr>
              <w:spacing w:after="20"/>
            </w:pPr>
            <w:r>
              <w:rPr>
                <w:sz w:val="19"/>
                <w:szCs w:val="19"/>
              </w:rPr>
              <w:t>Direct Invoice</w:t>
            </w:r>
          </w:p>
        </w:tc>
        <w:tc>
          <w:tcPr>
            <w:tcW w:w="1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4BA1E9A"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334E9D1" w14:textId="77777777" w:rsidR="00F87636" w:rsidRDefault="00000000">
            <w:pPr>
              <w:spacing w:after="20"/>
            </w:pPr>
            <w:r>
              <w:rPr>
                <w:sz w:val="19"/>
                <w:szCs w:val="19"/>
              </w:rPr>
              <w:t>FileFeedWorkflow</w:t>
            </w:r>
          </w:p>
        </w:tc>
        <w:tc>
          <w:tcPr>
            <w:tcW w:w="2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FFAB1BF" w14:textId="77777777" w:rsidR="00F87636" w:rsidRDefault="00000000">
            <w:pPr>
              <w:spacing w:after="20"/>
            </w:pPr>
            <w:r>
              <w:rPr>
                <w:sz w:val="19"/>
                <w:szCs w:val="19"/>
              </w:rPr>
              <w:t>Pack, to finance system</w:t>
            </w:r>
          </w:p>
        </w:tc>
      </w:tr>
      <w:tr w:rsidR="00F87636" w14:paraId="57752D9D"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E3FEC07" w14:textId="77777777" w:rsidR="00F87636" w:rsidRDefault="00000000">
            <w:pPr>
              <w:spacing w:after="20"/>
            </w:pPr>
            <w:r>
              <w:rPr>
                <w:sz w:val="19"/>
                <w:szCs w:val="19"/>
              </w:rPr>
              <w:t>13</w:t>
            </w:r>
          </w:p>
        </w:tc>
        <w:tc>
          <w:tcPr>
            <w:tcW w:w="2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54EBB7B" w14:textId="77777777" w:rsidR="00F87636" w:rsidRDefault="00000000">
            <w:pPr>
              <w:spacing w:after="20"/>
            </w:pPr>
            <w:r>
              <w:rPr>
                <w:sz w:val="19"/>
                <w:szCs w:val="19"/>
              </w:rPr>
              <w:t>Depot Claim</w:t>
            </w:r>
          </w:p>
        </w:tc>
        <w:tc>
          <w:tcPr>
            <w:tcW w:w="1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87B5019" w14:textId="77777777" w:rsidR="00F87636" w:rsidRDefault="00000000">
            <w:pPr>
              <w:spacing w:after="20"/>
            </w:pPr>
            <w:r>
              <w:rPr>
                <w:sz w:val="19"/>
                <w:szCs w:val="19"/>
              </w:rPr>
              <w:t>platform → TCG</w:t>
            </w:r>
          </w:p>
        </w:tc>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DBCB702" w14:textId="77777777" w:rsidR="00F87636" w:rsidRDefault="00000000">
            <w:pPr>
              <w:spacing w:after="20"/>
            </w:pPr>
            <w:r>
              <w:rPr>
                <w:sz w:val="19"/>
                <w:szCs w:val="19"/>
              </w:rPr>
              <w:t>Outbound FileFeedWorkflow</w:t>
            </w:r>
          </w:p>
        </w:tc>
        <w:tc>
          <w:tcPr>
            <w:tcW w:w="2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BC59F18" w14:textId="77777777" w:rsidR="00F87636" w:rsidRDefault="00000000">
            <w:pPr>
              <w:spacing w:after="20"/>
            </w:pPr>
            <w:r>
              <w:rPr>
                <w:sz w:val="19"/>
                <w:szCs w:val="19"/>
              </w:rPr>
              <w:t>n/a (originates from subscriber finance via cell intake)</w:t>
            </w:r>
          </w:p>
        </w:tc>
      </w:tr>
      <w:tr w:rsidR="00F87636" w14:paraId="427CE2D7"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563CE54" w14:textId="77777777" w:rsidR="00F87636" w:rsidRDefault="00000000">
            <w:pPr>
              <w:spacing w:after="20"/>
            </w:pPr>
            <w:r>
              <w:rPr>
                <w:sz w:val="19"/>
                <w:szCs w:val="19"/>
              </w:rPr>
              <w:t>14</w:t>
            </w:r>
          </w:p>
        </w:tc>
        <w:tc>
          <w:tcPr>
            <w:tcW w:w="2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0EF54BE" w14:textId="77777777" w:rsidR="00F87636" w:rsidRDefault="00000000">
            <w:pPr>
              <w:spacing w:after="20"/>
            </w:pPr>
            <w:r>
              <w:rPr>
                <w:sz w:val="19"/>
                <w:szCs w:val="19"/>
              </w:rPr>
              <w:t>Direct Claim</w:t>
            </w:r>
          </w:p>
        </w:tc>
        <w:tc>
          <w:tcPr>
            <w:tcW w:w="1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892C9E7" w14:textId="77777777" w:rsidR="00F87636" w:rsidRDefault="00000000">
            <w:pPr>
              <w:spacing w:after="20"/>
            </w:pPr>
            <w:r>
              <w:rPr>
                <w:sz w:val="19"/>
                <w:szCs w:val="19"/>
              </w:rPr>
              <w:t>platform → TCG</w:t>
            </w:r>
          </w:p>
        </w:tc>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2586454" w14:textId="77777777" w:rsidR="00F87636" w:rsidRDefault="00000000">
            <w:pPr>
              <w:spacing w:after="20"/>
            </w:pPr>
            <w:r>
              <w:rPr>
                <w:sz w:val="19"/>
                <w:szCs w:val="19"/>
              </w:rPr>
              <w:t>Outbound FileFeedWorkflow</w:t>
            </w:r>
          </w:p>
        </w:tc>
        <w:tc>
          <w:tcPr>
            <w:tcW w:w="2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40DDA50" w14:textId="77777777" w:rsidR="00F87636" w:rsidRDefault="00000000">
            <w:pPr>
              <w:spacing w:after="20"/>
            </w:pPr>
            <w:r>
              <w:rPr>
                <w:sz w:val="19"/>
                <w:szCs w:val="19"/>
              </w:rPr>
              <w:t>n/a</w:t>
            </w:r>
          </w:p>
        </w:tc>
      </w:tr>
      <w:tr w:rsidR="00F87636" w14:paraId="381D2836"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C171949" w14:textId="77777777" w:rsidR="00F87636" w:rsidRDefault="00000000">
            <w:pPr>
              <w:spacing w:after="20"/>
            </w:pPr>
            <w:r>
              <w:rPr>
                <w:sz w:val="19"/>
                <w:szCs w:val="19"/>
              </w:rPr>
              <w:t>15</w:t>
            </w:r>
          </w:p>
        </w:tc>
        <w:tc>
          <w:tcPr>
            <w:tcW w:w="2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D31F4CA" w14:textId="77777777" w:rsidR="00F87636" w:rsidRDefault="00000000">
            <w:pPr>
              <w:spacing w:after="20"/>
            </w:pPr>
            <w:r>
              <w:rPr>
                <w:sz w:val="19"/>
                <w:szCs w:val="19"/>
              </w:rPr>
              <w:t>Promotional Sales Volumes</w:t>
            </w:r>
          </w:p>
        </w:tc>
        <w:tc>
          <w:tcPr>
            <w:tcW w:w="17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088B91B" w14:textId="77777777" w:rsidR="00F87636" w:rsidRDefault="00000000">
            <w:pPr>
              <w:spacing w:after="20"/>
            </w:pPr>
            <w:r>
              <w:rPr>
                <w:sz w:val="19"/>
                <w:szCs w:val="19"/>
              </w:rPr>
              <w:t>platform → TCG</w:t>
            </w:r>
          </w:p>
        </w:tc>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83224D6" w14:textId="77777777" w:rsidR="00F87636" w:rsidRDefault="00000000">
            <w:pPr>
              <w:spacing w:after="20"/>
            </w:pPr>
            <w:r>
              <w:rPr>
                <w:sz w:val="19"/>
                <w:szCs w:val="19"/>
              </w:rPr>
              <w:t>Outbound FileFeedWorkflow (weekly)</w:t>
            </w:r>
          </w:p>
        </w:tc>
        <w:tc>
          <w:tcPr>
            <w:tcW w:w="2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6BC1277" w14:textId="77777777" w:rsidR="00F87636" w:rsidRDefault="00000000">
            <w:pPr>
              <w:spacing w:after="20"/>
            </w:pPr>
            <w:r>
              <w:rPr>
                <w:sz w:val="19"/>
                <w:szCs w:val="19"/>
              </w:rPr>
              <w:t>n/a</w:t>
            </w:r>
          </w:p>
        </w:tc>
      </w:tr>
      <w:tr w:rsidR="00F87636" w14:paraId="246FC225" w14:textId="77777777">
        <w:tblPrEx>
          <w:tblCellMar>
            <w:top w:w="0" w:type="dxa"/>
            <w:bottom w:w="0" w:type="dxa"/>
          </w:tblCellMar>
        </w:tblPrEx>
        <w:trPr>
          <w:cantSplit/>
        </w:trPr>
        <w:tc>
          <w:tcPr>
            <w:tcW w:w="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19C764F" w14:textId="77777777" w:rsidR="00F87636" w:rsidRDefault="00000000">
            <w:pPr>
              <w:spacing w:after="20"/>
            </w:pPr>
            <w:r>
              <w:rPr>
                <w:sz w:val="19"/>
                <w:szCs w:val="19"/>
              </w:rPr>
              <w:t>16</w:t>
            </w:r>
          </w:p>
        </w:tc>
        <w:tc>
          <w:tcPr>
            <w:tcW w:w="2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A73949B" w14:textId="77777777" w:rsidR="00F87636" w:rsidRDefault="00000000">
            <w:pPr>
              <w:spacing w:after="20"/>
            </w:pPr>
            <w:r>
              <w:rPr>
                <w:sz w:val="19"/>
                <w:szCs w:val="19"/>
              </w:rPr>
              <w:t>Condition Contracts</w:t>
            </w:r>
          </w:p>
        </w:tc>
        <w:tc>
          <w:tcPr>
            <w:tcW w:w="17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F18EB54" w14:textId="77777777" w:rsidR="00F87636" w:rsidRDefault="00000000">
            <w:pPr>
              <w:spacing w:after="20"/>
            </w:pPr>
            <w:r>
              <w:rPr>
                <w:sz w:val="19"/>
                <w:szCs w:val="19"/>
              </w:rPr>
              <w:t>TCG → platform</w:t>
            </w:r>
          </w:p>
        </w:tc>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A08DA72" w14:textId="77777777" w:rsidR="00F87636" w:rsidRDefault="00000000">
            <w:pPr>
              <w:spacing w:after="20"/>
            </w:pPr>
            <w:r>
              <w:rPr>
                <w:sz w:val="19"/>
                <w:szCs w:val="19"/>
              </w:rPr>
              <w:t>FileFeedWorkflow</w:t>
            </w:r>
          </w:p>
        </w:tc>
        <w:tc>
          <w:tcPr>
            <w:tcW w:w="2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0B11498" w14:textId="77777777" w:rsidR="00F87636" w:rsidRDefault="00000000">
            <w:pPr>
              <w:spacing w:after="20"/>
            </w:pPr>
            <w:r>
              <w:rPr>
                <w:sz w:val="19"/>
                <w:szCs w:val="19"/>
              </w:rPr>
              <w:t>Pack, to finance system</w:t>
            </w:r>
          </w:p>
        </w:tc>
      </w:tr>
    </w:tbl>
    <w:p w14:paraId="6E77BE63" w14:textId="77777777" w:rsidR="00F87636" w:rsidRDefault="00000000">
      <w:pPr>
        <w:pStyle w:val="Heading1"/>
        <w:spacing w:before="360" w:after="200"/>
      </w:pPr>
      <w:bookmarkStart w:id="46" w:name="_Toc239760098"/>
      <w:r>
        <w:rPr>
          <w:b/>
          <w:bCs/>
          <w:color w:val="0F172A"/>
        </w:rPr>
        <w:t>16  Security Architecture</w:t>
      </w:r>
      <w:bookmarkEnd w:id="46"/>
    </w:p>
    <w:p w14:paraId="02CFC31C" w14:textId="77777777" w:rsidR="00F87636" w:rsidRDefault="00000000">
      <w:pPr>
        <w:pStyle w:val="Heading2"/>
        <w:spacing w:before="280" w:after="160"/>
      </w:pPr>
      <w:bookmarkStart w:id="47" w:name="_Toc239760099"/>
      <w:r>
        <w:rPr>
          <w:b/>
          <w:bCs/>
          <w:color w:val="1D4ED8"/>
        </w:rPr>
        <w:t>16.1  Identity</w:t>
      </w:r>
      <w:bookmarkEnd w:id="47"/>
    </w:p>
    <w:p w14:paraId="777CAAA9" w14:textId="77777777" w:rsidR="00F87636" w:rsidRDefault="00000000">
      <w:pPr>
        <w:pStyle w:val="ListParagraph"/>
        <w:numPr>
          <w:ilvl w:val="0"/>
          <w:numId w:val="2"/>
        </w:numPr>
        <w:spacing w:after="100"/>
      </w:pPr>
      <w:r>
        <w:rPr>
          <w:b/>
          <w:bCs/>
        </w:rPr>
        <w:t xml:space="preserve">To TCG: </w:t>
      </w:r>
      <w:r>
        <w:t>OAuth2 client credentials on a per-environment registered client (JWT via the client wrapper) for APIs; a per-environment SSH key pair for SFTP. TCG applies IP restrictions, so all TCG-bound traffic originates from a declared egress IP (NAT on the integration subnet). Production credentials are issued only at cutover and never enter the agent loop or non-production configuration.</w:t>
      </w:r>
    </w:p>
    <w:p w14:paraId="04AC1D05" w14:textId="77777777" w:rsidR="00F87636" w:rsidRDefault="00000000">
      <w:pPr>
        <w:pStyle w:val="ListParagraph"/>
        <w:numPr>
          <w:ilvl w:val="0"/>
          <w:numId w:val="2"/>
        </w:numPr>
        <w:spacing w:after="100"/>
      </w:pPr>
      <w:r>
        <w:rPr>
          <w:b/>
          <w:bCs/>
        </w:rPr>
        <w:lastRenderedPageBreak/>
        <w:t xml:space="preserve">Platform-internal: </w:t>
      </w:r>
      <w:r>
        <w:t>workload identities for services and cells; workload identity federation for CI service connections; no secrets in pipelines; Key Vault references only, everywhere.</w:t>
      </w:r>
    </w:p>
    <w:p w14:paraId="59E20A87" w14:textId="77777777" w:rsidR="00F87636" w:rsidRDefault="00000000">
      <w:pPr>
        <w:pStyle w:val="ListParagraph"/>
        <w:numPr>
          <w:ilvl w:val="0"/>
          <w:numId w:val="2"/>
        </w:numPr>
        <w:spacing w:after="100"/>
      </w:pPr>
      <w:r>
        <w:rPr>
          <w:b/>
          <w:bCs/>
        </w:rPr>
        <w:t xml:space="preserve">Subscriber users: </w:t>
      </w:r>
      <w:r>
        <w:t>OIDC — Entra External ID default, Keycloak drop-in — with MFA and conditional access, mapped to the personas of section 10.4. The human half of the auth edge.</w:t>
      </w:r>
    </w:p>
    <w:p w14:paraId="4FBAC258" w14:textId="77777777" w:rsidR="00F87636" w:rsidRDefault="00000000">
      <w:pPr>
        <w:pStyle w:val="ListParagraph"/>
        <w:numPr>
          <w:ilvl w:val="0"/>
          <w:numId w:val="2"/>
        </w:numPr>
        <w:spacing w:after="100"/>
      </w:pPr>
      <w:r>
        <w:rPr>
          <w:b/>
          <w:bCs/>
        </w:rPr>
        <w:t xml:space="preserve">Subscriber systems: </w:t>
      </w:r>
      <w:r>
        <w:t>per-subscriber client credentials validated by that society's cell; per-destination credentials (OAuth2, mTLS, SSH) for dispatch, held in the cell's Key Vault scope so compromise of one society's credential cannot touch another's. The system half of the auth edge — per-cell by construction.</w:t>
      </w:r>
    </w:p>
    <w:p w14:paraId="4ABE99FC" w14:textId="77777777" w:rsidR="00F87636" w:rsidRDefault="00000000">
      <w:pPr>
        <w:pStyle w:val="Heading2"/>
        <w:spacing w:before="280" w:after="160"/>
      </w:pPr>
      <w:bookmarkStart w:id="48" w:name="_Toc239760100"/>
      <w:r>
        <w:rPr>
          <w:b/>
          <w:bCs/>
          <w:color w:val="1D4ED8"/>
        </w:rPr>
        <w:t>16.2  Data protection and partitioning</w:t>
      </w:r>
      <w:bookmarkEnd w:id="48"/>
    </w:p>
    <w:p w14:paraId="0D264798" w14:textId="77777777" w:rsidR="00F87636" w:rsidRDefault="00000000">
      <w:pPr>
        <w:pStyle w:val="ListParagraph"/>
        <w:numPr>
          <w:ilvl w:val="0"/>
          <w:numId w:val="2"/>
        </w:numPr>
        <w:spacing w:after="100"/>
      </w:pPr>
      <w:r>
        <w:t>TLS in transit everywhere; encryption at rest in Postgres, the object store and Key Vault; customer-managed keys supportable if a subscriber requires it.</w:t>
      </w:r>
    </w:p>
    <w:p w14:paraId="10954D0A" w14:textId="77777777" w:rsidR="00F87636" w:rsidRDefault="00000000">
      <w:pPr>
        <w:pStyle w:val="ListParagraph"/>
        <w:numPr>
          <w:ilvl w:val="0"/>
          <w:numId w:val="2"/>
        </w:numPr>
        <w:spacing w:after="100"/>
      </w:pPr>
      <w:r>
        <w:t>Subscriber isolation is the two walls of section 9 — cell (process, credentials, DB role) and RLS — proven by the CI isolation suite. No cross-subscriber aggregation or analytics surface exists; this is the competition-law boundary.</w:t>
      </w:r>
    </w:p>
    <w:p w14:paraId="4AB942A9" w14:textId="77777777" w:rsidR="00F87636" w:rsidRDefault="00000000">
      <w:pPr>
        <w:pStyle w:val="ListParagraph"/>
        <w:numPr>
          <w:ilvl w:val="0"/>
          <w:numId w:val="2"/>
        </w:numPr>
        <w:spacing w:after="100"/>
      </w:pPr>
      <w:r>
        <w:t>Attack surface: one public HTTPS surface (web + BFF + cell auth-edge endpoints) behind the cloud front door/WAF; Postgres, Temporal and Neo4j are private-network only; no inbound path from TCG exists.</w:t>
      </w:r>
    </w:p>
    <w:p w14:paraId="403F38EB" w14:textId="77777777" w:rsidR="00F87636" w:rsidRDefault="00000000">
      <w:pPr>
        <w:pStyle w:val="ListParagraph"/>
        <w:numPr>
          <w:ilvl w:val="0"/>
          <w:numId w:val="2"/>
        </w:numPr>
        <w:spacing w:after="100"/>
      </w:pPr>
      <w:r>
        <w:t>Supply chain: Go modules with checksum verification, distroless images, SBOM per image, signed provenance in the pipeline.</w:t>
      </w:r>
    </w:p>
    <w:p w14:paraId="54775BF2" w14:textId="77777777" w:rsidR="00F87636" w:rsidRDefault="00000000">
      <w:pPr>
        <w:pStyle w:val="Heading2"/>
        <w:spacing w:before="280" w:after="160"/>
      </w:pPr>
      <w:bookmarkStart w:id="49" w:name="_Toc239760101"/>
      <w:r>
        <w:rPr>
          <w:b/>
          <w:bCs/>
          <w:color w:val="1D4ED8"/>
        </w:rPr>
        <w:t>16.3  Delivery-time guardrails (binding, from the driving brief)</w:t>
      </w:r>
      <w:bookmarkEnd w:id="49"/>
    </w:p>
    <w:p w14:paraId="020F452F" w14:textId="77777777" w:rsidR="00F87636" w:rsidRDefault="00000000">
      <w:pPr>
        <w:pStyle w:val="ListParagraph"/>
        <w:numPr>
          <w:ilvl w:val="0"/>
          <w:numId w:val="2"/>
        </w:numPr>
        <w:spacing w:after="100"/>
      </w:pPr>
      <w:r>
        <w:t>Human approval gates: no merge to main, no environment promotion, no pack or auto-approve rule live without a named human approval.</w:t>
      </w:r>
    </w:p>
    <w:p w14:paraId="1EDDCFA1" w14:textId="77777777" w:rsidR="00F87636" w:rsidRDefault="00000000">
      <w:pPr>
        <w:pStyle w:val="ListParagraph"/>
        <w:numPr>
          <w:ilvl w:val="0"/>
          <w:numId w:val="2"/>
        </w:numPr>
        <w:spacing w:after="100"/>
      </w:pPr>
      <w:r>
        <w:t>Secrets never in context: Key Vault references only, in code, prompts, repos and work items; secret scanning on every push; a leak is a stop-the-line event.</w:t>
      </w:r>
    </w:p>
    <w:p w14:paraId="3E7305C5" w14:textId="77777777" w:rsidR="00F87636" w:rsidRDefault="00000000">
      <w:pPr>
        <w:pStyle w:val="ListParagraph"/>
        <w:numPr>
          <w:ilvl w:val="0"/>
          <w:numId w:val="2"/>
        </w:numPr>
        <w:spacing w:after="100"/>
      </w:pPr>
      <w:r>
        <w:t>Commercial data boundary: synthetic and TCG-published sample data only (the beans worked example) until formal test data agreements exist.</w:t>
      </w:r>
    </w:p>
    <w:p w14:paraId="5DB11C79" w14:textId="77777777" w:rsidR="00F87636" w:rsidRDefault="00000000">
      <w:pPr>
        <w:pStyle w:val="ListParagraph"/>
        <w:numPr>
          <w:ilvl w:val="0"/>
          <w:numId w:val="2"/>
        </w:numPr>
        <w:spacing w:after="100"/>
      </w:pPr>
      <w:r>
        <w:t>Decisions recorded: architecturally significant choices become ADRs in docs/adr within 48 hours.</w:t>
      </w:r>
    </w:p>
    <w:p w14:paraId="6E9E39DA" w14:textId="77777777" w:rsidR="00F87636" w:rsidRDefault="00000000">
      <w:pPr>
        <w:pStyle w:val="Heading1"/>
        <w:spacing w:before="360" w:after="200"/>
      </w:pPr>
      <w:bookmarkStart w:id="50" w:name="_Toc239760102"/>
      <w:r>
        <w:rPr>
          <w:b/>
          <w:bCs/>
          <w:color w:val="0F172A"/>
        </w:rPr>
        <w:t>17  Built for Agents: the Local Loop and the Oracles</w:t>
      </w:r>
      <w:bookmarkEnd w:id="50"/>
    </w:p>
    <w:p w14:paraId="471E4F9D" w14:textId="77777777" w:rsidR="00F87636" w:rsidRDefault="00000000">
      <w:pPr>
        <w:pStyle w:val="Heading2"/>
        <w:spacing w:before="280" w:after="160"/>
      </w:pPr>
      <w:bookmarkStart w:id="51" w:name="_Toc239760103"/>
      <w:r>
        <w:rPr>
          <w:b/>
          <w:bCs/>
          <w:color w:val="1D4ED8"/>
        </w:rPr>
        <w:t>17.1  The compose stack</w:t>
      </w:r>
      <w:bookmarkEnd w:id="51"/>
    </w:p>
    <w:p w14:paraId="70E117C5" w14:textId="77777777" w:rsidR="00F87636" w:rsidRDefault="00000000">
      <w:pPr>
        <w:spacing w:after="160"/>
      </w:pPr>
      <w:r>
        <w:t>docker compose boots the entire platform: Postgres (migrations and seeds), the Temporal dev server, MinIO, mock-FOP (generated from the spec, data dictionary and beans — serving every consumed endpoint including the 200-rejection and 400-error shapes), a mock SFTP server publishing sample feeds on a fast clock, Neo4j with the extractor output, and two synthetic subscriber cells — so tenancy, packs and the context plane are all exercised on a laptop. This is principle D2 and it is binding: a feature that cannot run and be tested here is redesigned. Swapping mocks for TCG dev endpoints, when they arrive (~week 6), is configuration only.</w:t>
      </w:r>
    </w:p>
    <w:p w14:paraId="0659C353" w14:textId="77777777" w:rsidR="00F87636" w:rsidRDefault="00000000">
      <w:pPr>
        <w:pStyle w:val="Heading2"/>
        <w:spacing w:before="280" w:after="160"/>
      </w:pPr>
      <w:bookmarkStart w:id="52" w:name="_Toc239760104"/>
      <w:r>
        <w:rPr>
          <w:b/>
          <w:bCs/>
          <w:color w:val="1D4ED8"/>
        </w:rPr>
        <w:t>17.2  The oracle suite</w:t>
      </w:r>
      <w:bookmarkEnd w:id="5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00"/>
        <w:gridCol w:w="2000"/>
      </w:tblGrid>
      <w:tr w:rsidR="00F87636" w14:paraId="45F212FF" w14:textId="77777777">
        <w:tblPrEx>
          <w:tblCellMar>
            <w:top w:w="0" w:type="dxa"/>
            <w:bottom w:w="0" w:type="dxa"/>
          </w:tblCellMar>
        </w:tblPrEx>
        <w:trPr>
          <w:cantSplit/>
          <w:tblHeader/>
        </w:trPr>
        <w:tc>
          <w:tcPr>
            <w:tcW w:w="25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3CA70A37" w14:textId="77777777" w:rsidR="00F87636" w:rsidRDefault="00000000">
            <w:pPr>
              <w:spacing w:after="20"/>
            </w:pPr>
            <w:r>
              <w:rPr>
                <w:b/>
                <w:bCs/>
                <w:color w:val="FFFFFF"/>
                <w:sz w:val="20"/>
                <w:szCs w:val="20"/>
              </w:rPr>
              <w:t>Oracle</w:t>
            </w:r>
          </w:p>
        </w:tc>
        <w:tc>
          <w:tcPr>
            <w:tcW w:w="48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6F3FA942" w14:textId="77777777" w:rsidR="00F87636" w:rsidRDefault="00000000">
            <w:pPr>
              <w:spacing w:after="20"/>
            </w:pPr>
            <w:r>
              <w:rPr>
                <w:b/>
                <w:bCs/>
                <w:color w:val="FFFFFF"/>
                <w:sz w:val="20"/>
                <w:szCs w:val="20"/>
              </w:rPr>
              <w:t>Proves</w:t>
            </w:r>
          </w:p>
        </w:tc>
        <w:tc>
          <w:tcPr>
            <w:tcW w:w="20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84D3B8A" w14:textId="77777777" w:rsidR="00F87636" w:rsidRDefault="00000000">
            <w:pPr>
              <w:spacing w:after="20"/>
            </w:pPr>
            <w:r>
              <w:rPr>
                <w:b/>
                <w:bCs/>
                <w:color w:val="FFFFFF"/>
                <w:sz w:val="20"/>
                <w:szCs w:val="20"/>
              </w:rPr>
              <w:t>Runs</w:t>
            </w:r>
          </w:p>
        </w:tc>
      </w:tr>
      <w:tr w:rsidR="00F87636" w14:paraId="7B241330" w14:textId="77777777">
        <w:tblPrEx>
          <w:tblCellMar>
            <w:top w:w="0" w:type="dxa"/>
            <w:bottom w:w="0" w:type="dxa"/>
          </w:tblCellMar>
        </w:tblPrEx>
        <w:trPr>
          <w:cantSplit/>
        </w:trPr>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2CF8FD5" w14:textId="77777777" w:rsidR="00F87636" w:rsidRDefault="00000000">
            <w:pPr>
              <w:spacing w:after="20"/>
            </w:pPr>
            <w:r>
              <w:rPr>
                <w:sz w:val="19"/>
                <w:szCs w:val="19"/>
              </w:rPr>
              <w:t>go test (unit + workflow)</w:t>
            </w:r>
          </w:p>
        </w:tc>
        <w:tc>
          <w:tcPr>
            <w:tcW w:w="4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FCDDE5C" w14:textId="77777777" w:rsidR="00F87636" w:rsidRDefault="00000000">
            <w:pPr>
              <w:spacing w:after="20"/>
            </w:pPr>
            <w:r>
              <w:rPr>
                <w:sz w:val="19"/>
                <w:szCs w:val="19"/>
              </w:rPr>
              <w:t>Service and pack logic; Temporal workflows replayed deterministically in-process</w:t>
            </w:r>
          </w:p>
        </w:tc>
        <w:tc>
          <w:tcPr>
            <w:tcW w:w="2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7D82C31" w14:textId="77777777" w:rsidR="00F87636" w:rsidRDefault="00000000">
            <w:pPr>
              <w:spacing w:after="20"/>
            </w:pPr>
            <w:r>
              <w:rPr>
                <w:sz w:val="19"/>
                <w:szCs w:val="19"/>
              </w:rPr>
              <w:t>seconds, every save</w:t>
            </w:r>
          </w:p>
        </w:tc>
      </w:tr>
      <w:tr w:rsidR="00F87636" w14:paraId="6837FE39" w14:textId="77777777">
        <w:tblPrEx>
          <w:tblCellMar>
            <w:top w:w="0" w:type="dxa"/>
            <w:bottom w:w="0" w:type="dxa"/>
          </w:tblCellMar>
        </w:tblPrEx>
        <w:trPr>
          <w:cantSplit/>
        </w:trPr>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2010BE7" w14:textId="77777777" w:rsidR="00F87636" w:rsidRDefault="00000000">
            <w:pPr>
              <w:spacing w:after="20"/>
            </w:pPr>
            <w:r>
              <w:rPr>
                <w:sz w:val="19"/>
                <w:szCs w:val="19"/>
              </w:rPr>
              <w:lastRenderedPageBreak/>
              <w:t>Golden-file tests (per pack)</w:t>
            </w:r>
          </w:p>
        </w:tc>
        <w:tc>
          <w:tcPr>
            <w:tcW w:w="4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D32734F" w14:textId="77777777" w:rsidR="00F87636" w:rsidRDefault="00000000">
            <w:pPr>
              <w:spacing w:after="20"/>
            </w:pPr>
            <w:r>
              <w:rPr>
                <w:sz w:val="19"/>
                <w:szCs w:val="19"/>
              </w:rPr>
              <w:t>Byte-exact destination outputs; unapproved diffs fail CI</w:t>
            </w:r>
          </w:p>
        </w:tc>
        <w:tc>
          <w:tcPr>
            <w:tcW w:w="2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37E8819" w14:textId="77777777" w:rsidR="00F87636" w:rsidRDefault="00000000">
            <w:pPr>
              <w:spacing w:after="20"/>
            </w:pPr>
            <w:r>
              <w:rPr>
                <w:sz w:val="19"/>
                <w:szCs w:val="19"/>
              </w:rPr>
              <w:t>every merge</w:t>
            </w:r>
          </w:p>
        </w:tc>
      </w:tr>
      <w:tr w:rsidR="00F87636" w14:paraId="034DBA17" w14:textId="77777777">
        <w:tblPrEx>
          <w:tblCellMar>
            <w:top w:w="0" w:type="dxa"/>
            <w:bottom w:w="0" w:type="dxa"/>
          </w:tblCellMar>
        </w:tblPrEx>
        <w:trPr>
          <w:cantSplit/>
        </w:trPr>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720B410" w14:textId="77777777" w:rsidR="00F87636" w:rsidRDefault="00000000">
            <w:pPr>
              <w:spacing w:after="20"/>
            </w:pPr>
            <w:r>
              <w:rPr>
                <w:sz w:val="19"/>
                <w:szCs w:val="19"/>
              </w:rPr>
              <w:t>Contract tests</w:t>
            </w:r>
          </w:p>
        </w:tc>
        <w:tc>
          <w:tcPr>
            <w:tcW w:w="4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CA89E1B" w14:textId="77777777" w:rsidR="00F87636" w:rsidRDefault="00000000">
            <w:pPr>
              <w:spacing w:after="20"/>
            </w:pPr>
            <w:r>
              <w:rPr>
                <w:sz w:val="19"/>
                <w:szCs w:val="19"/>
              </w:rPr>
              <w:t>mock-FOP and the generated client conform to the committed OAS; BFF and cell surfaces conform to theirs</w:t>
            </w:r>
          </w:p>
        </w:tc>
        <w:tc>
          <w:tcPr>
            <w:tcW w:w="2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BC658E8" w14:textId="77777777" w:rsidR="00F87636" w:rsidRDefault="00000000">
            <w:pPr>
              <w:spacing w:after="20"/>
            </w:pPr>
            <w:r>
              <w:rPr>
                <w:sz w:val="19"/>
                <w:szCs w:val="19"/>
              </w:rPr>
              <w:t>every merge + on spec change</w:t>
            </w:r>
          </w:p>
        </w:tc>
      </w:tr>
      <w:tr w:rsidR="00F87636" w14:paraId="39C4F0A0" w14:textId="77777777">
        <w:tblPrEx>
          <w:tblCellMar>
            <w:top w:w="0" w:type="dxa"/>
            <w:bottom w:w="0" w:type="dxa"/>
          </w:tblCellMar>
        </w:tblPrEx>
        <w:trPr>
          <w:cantSplit/>
        </w:trPr>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7E8B6EE" w14:textId="77777777" w:rsidR="00F87636" w:rsidRDefault="00000000">
            <w:pPr>
              <w:spacing w:after="20"/>
            </w:pPr>
            <w:r>
              <w:rPr>
                <w:sz w:val="19"/>
                <w:szCs w:val="19"/>
              </w:rPr>
              <w:t>RLS + cell isolation suite</w:t>
            </w:r>
          </w:p>
        </w:tc>
        <w:tc>
          <w:tcPr>
            <w:tcW w:w="4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5BEB99C" w14:textId="77777777" w:rsidR="00F87636" w:rsidRDefault="00000000">
            <w:pPr>
              <w:spacing w:after="20"/>
            </w:pPr>
            <w:r>
              <w:rPr>
                <w:sz w:val="19"/>
                <w:szCs w:val="19"/>
              </w:rPr>
              <w:t>No query path — including a cell's own role — reads another subscriber's rows; credential scopes verified</w:t>
            </w:r>
          </w:p>
        </w:tc>
        <w:tc>
          <w:tcPr>
            <w:tcW w:w="2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0E3446D" w14:textId="77777777" w:rsidR="00F87636" w:rsidRDefault="00000000">
            <w:pPr>
              <w:spacing w:after="20"/>
            </w:pPr>
            <w:r>
              <w:rPr>
                <w:sz w:val="19"/>
                <w:szCs w:val="19"/>
              </w:rPr>
              <w:t>every merge</w:t>
            </w:r>
          </w:p>
        </w:tc>
      </w:tr>
      <w:tr w:rsidR="00F87636" w14:paraId="36281E14" w14:textId="77777777">
        <w:tblPrEx>
          <w:tblCellMar>
            <w:top w:w="0" w:type="dxa"/>
            <w:bottom w:w="0" w:type="dxa"/>
          </w:tblCellMar>
        </w:tblPrEx>
        <w:trPr>
          <w:cantSplit/>
        </w:trPr>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34FFA99" w14:textId="77777777" w:rsidR="00F87636" w:rsidRDefault="00000000">
            <w:pPr>
              <w:spacing w:after="20"/>
            </w:pPr>
            <w:r>
              <w:rPr>
                <w:sz w:val="19"/>
                <w:szCs w:val="19"/>
              </w:rPr>
              <w:t>Playwright E2E</w:t>
            </w:r>
          </w:p>
        </w:tc>
        <w:tc>
          <w:tcPr>
            <w:tcW w:w="4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E4D9C92" w14:textId="77777777" w:rsidR="00F87636" w:rsidRDefault="00000000">
            <w:pPr>
              <w:spacing w:after="20"/>
            </w:pPr>
            <w:r>
              <w:rPr>
                <w:sz w:val="19"/>
                <w:szCs w:val="19"/>
              </w:rPr>
              <w:t>Subscribe → enrich → approve → cell dispatch → receipt, through the real SPA against compose</w:t>
            </w:r>
          </w:p>
        </w:tc>
        <w:tc>
          <w:tcPr>
            <w:tcW w:w="2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27C507A" w14:textId="77777777" w:rsidR="00F87636" w:rsidRDefault="00000000">
            <w:pPr>
              <w:spacing w:after="20"/>
            </w:pPr>
            <w:r>
              <w:rPr>
                <w:sz w:val="19"/>
                <w:szCs w:val="19"/>
              </w:rPr>
              <w:t>every merge + nightly full</w:t>
            </w:r>
          </w:p>
        </w:tc>
      </w:tr>
      <w:tr w:rsidR="00F87636" w14:paraId="44924A48" w14:textId="77777777">
        <w:tblPrEx>
          <w:tblCellMar>
            <w:top w:w="0" w:type="dxa"/>
            <w:bottom w:w="0" w:type="dxa"/>
          </w:tblCellMar>
        </w:tblPrEx>
        <w:trPr>
          <w:cantSplit/>
        </w:trPr>
        <w:tc>
          <w:tcPr>
            <w:tcW w:w="2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C16C33A" w14:textId="77777777" w:rsidR="00F87636" w:rsidRDefault="00000000">
            <w:pPr>
              <w:spacing w:after="20"/>
            </w:pPr>
            <w:r>
              <w:rPr>
                <w:sz w:val="19"/>
                <w:szCs w:val="19"/>
              </w:rPr>
              <w:t>Conformance pack</w:t>
            </w:r>
          </w:p>
        </w:tc>
        <w:tc>
          <w:tcPr>
            <w:tcW w:w="4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04C595E" w14:textId="77777777" w:rsidR="00F87636" w:rsidRDefault="00000000">
            <w:pPr>
              <w:spacing w:after="20"/>
            </w:pPr>
            <w:r>
              <w:rPr>
                <w:sz w:val="19"/>
                <w:szCs w:val="19"/>
              </w:rPr>
              <w:t>The FOP contract behaviours: pagination/204, 7-day delta guard, partnerId/406, idempotent resubmission, rejection round-trip</w:t>
            </w:r>
          </w:p>
        </w:tc>
        <w:tc>
          <w:tcPr>
            <w:tcW w:w="2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C0D4810" w14:textId="77777777" w:rsidR="00F87636" w:rsidRDefault="00000000">
            <w:pPr>
              <w:spacing w:after="20"/>
            </w:pPr>
            <w:r>
              <w:rPr>
                <w:sz w:val="19"/>
                <w:szCs w:val="19"/>
              </w:rPr>
              <w:t>every merge + against TCG dev endpoints from ~week 6</w:t>
            </w:r>
          </w:p>
        </w:tc>
      </w:tr>
      <w:tr w:rsidR="00F87636" w14:paraId="4DA55664" w14:textId="77777777">
        <w:tblPrEx>
          <w:tblCellMar>
            <w:top w:w="0" w:type="dxa"/>
            <w:bottom w:w="0" w:type="dxa"/>
          </w:tblCellMar>
        </w:tblPrEx>
        <w:trPr>
          <w:cantSplit/>
        </w:trPr>
        <w:tc>
          <w:tcPr>
            <w:tcW w:w="2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B387609" w14:textId="77777777" w:rsidR="00F87636" w:rsidRDefault="00000000">
            <w:pPr>
              <w:spacing w:after="20"/>
            </w:pPr>
            <w:r>
              <w:rPr>
                <w:sz w:val="19"/>
                <w:szCs w:val="19"/>
              </w:rPr>
              <w:t>Graph freshness</w:t>
            </w:r>
          </w:p>
        </w:tc>
        <w:tc>
          <w:tcPr>
            <w:tcW w:w="4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01514DC" w14:textId="77777777" w:rsidR="00F87636" w:rsidRDefault="00000000">
            <w:pPr>
              <w:spacing w:after="20"/>
            </w:pPr>
            <w:r>
              <w:rPr>
                <w:sz w:val="19"/>
                <w:szCs w:val="19"/>
              </w:rPr>
              <w:t>Extractors ran; graph SHA equals merge SHA; governance edges exist for changed packages</w:t>
            </w:r>
          </w:p>
        </w:tc>
        <w:tc>
          <w:tcPr>
            <w:tcW w:w="2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3CDEA61" w14:textId="77777777" w:rsidR="00F87636" w:rsidRDefault="00000000">
            <w:pPr>
              <w:spacing w:after="20"/>
            </w:pPr>
            <w:r>
              <w:rPr>
                <w:sz w:val="19"/>
                <w:szCs w:val="19"/>
              </w:rPr>
              <w:t>every merge</w:t>
            </w:r>
          </w:p>
        </w:tc>
      </w:tr>
    </w:tbl>
    <w:p w14:paraId="5AF028EC" w14:textId="77777777" w:rsidR="00F87636" w:rsidRDefault="00F87636">
      <w:pPr>
        <w:spacing w:after="60"/>
      </w:pPr>
    </w:p>
    <w:p w14:paraId="4A5EC378" w14:textId="77777777" w:rsidR="00F87636" w:rsidRDefault="00000000">
      <w:pPr>
        <w:spacing w:after="160"/>
      </w:pPr>
      <w:r>
        <w:t>These suites are the acceptance criteria referenced by every spec on the board (A2): an agent's task is complete when the oracles pass, and a reviewer's question is not 'does this look right?' but 'is the oracle for this behaviour missing?'.</w:t>
      </w:r>
    </w:p>
    <w:p w14:paraId="307DB55A" w14:textId="77777777" w:rsidR="00F87636" w:rsidRDefault="00000000">
      <w:pPr>
        <w:pStyle w:val="Heading1"/>
        <w:spacing w:before="360" w:after="200"/>
      </w:pPr>
      <w:bookmarkStart w:id="53" w:name="_Toc239760105"/>
      <w:r>
        <w:rPr>
          <w:b/>
          <w:bCs/>
          <w:color w:val="0F172A"/>
        </w:rPr>
        <w:t>18  Git Design and Repository Provisioning</w:t>
      </w:r>
      <w:bookmarkEnd w:id="53"/>
    </w:p>
    <w:p w14:paraId="61A3009B" w14:textId="77777777" w:rsidR="00F87636" w:rsidRDefault="00000000">
      <w:pPr>
        <w:pStyle w:val="Heading2"/>
        <w:spacing w:before="280" w:after="160"/>
      </w:pPr>
      <w:bookmarkStart w:id="54" w:name="_Toc239760106"/>
      <w:r>
        <w:rPr>
          <w:b/>
          <w:bCs/>
          <w:color w:val="1D4ED8"/>
        </w:rPr>
        <w:t>18.1  Repositories</w:t>
      </w:r>
      <w:bookmarkEnd w:id="54"/>
    </w:p>
    <w:p w14:paraId="455B1C04" w14:textId="77777777" w:rsidR="00F87636" w:rsidRDefault="00000000">
      <w:pPr>
        <w:spacing w:after="160"/>
      </w:pPr>
      <w:r>
        <w:t>Two repositories in the ADO project 'FRTS Ingress'. The monorepo tree is normative — the seed pack instantiates it exactly:</w:t>
      </w:r>
    </w:p>
    <w:p w14:paraId="534E99E5" w14:textId="77777777" w:rsidR="00F87636" w:rsidRDefault="00000000">
      <w:pPr>
        <w:shd w:val="clear" w:color="auto" w:fill="F8FAFC"/>
        <w:spacing w:after="60"/>
      </w:pPr>
      <w:r>
        <w:rPr>
          <w:rFonts w:ascii="Consolas" w:eastAsia="Consolas" w:hAnsi="Consolas" w:cs="Consolas"/>
          <w:color w:val="334155"/>
          <w:sz w:val="18"/>
          <w:szCs w:val="18"/>
        </w:rPr>
        <w:t>frts-platform/</w:t>
      </w:r>
    </w:p>
    <w:p w14:paraId="0972DB3C" w14:textId="77777777" w:rsidR="00F87636" w:rsidRDefault="00000000">
      <w:pPr>
        <w:shd w:val="clear" w:color="auto" w:fill="F8FAFC"/>
        <w:spacing w:after="60"/>
      </w:pPr>
      <w:r>
        <w:rPr>
          <w:rFonts w:ascii="Consolas" w:eastAsia="Consolas" w:hAnsi="Consolas" w:cs="Consolas"/>
          <w:color w:val="334155"/>
          <w:sz w:val="18"/>
          <w:szCs w:val="18"/>
        </w:rPr>
        <w:t xml:space="preserve">  CLAUDE.md                     # agent context: map, commands, guardrails, definition of done</w:t>
      </w:r>
    </w:p>
    <w:p w14:paraId="165135A3" w14:textId="77777777" w:rsidR="00F87636" w:rsidRDefault="00000000">
      <w:pPr>
        <w:shd w:val="clear" w:color="auto" w:fill="F8FAFC"/>
        <w:spacing w:after="60"/>
      </w:pPr>
      <w:r>
        <w:rPr>
          <w:rFonts w:ascii="Consolas" w:eastAsia="Consolas" w:hAnsi="Consolas" w:cs="Consolas"/>
          <w:color w:val="334155"/>
          <w:sz w:val="18"/>
          <w:szCs w:val="18"/>
        </w:rPr>
        <w:t xml:space="preserve">  README.md · CODEOWNERS · .azuredevops/pull_request_template.md</w:t>
      </w:r>
    </w:p>
    <w:p w14:paraId="44836177" w14:textId="77777777" w:rsidR="00F87636" w:rsidRDefault="00000000">
      <w:pPr>
        <w:shd w:val="clear" w:color="auto" w:fill="F8FAFC"/>
        <w:spacing w:after="60"/>
      </w:pPr>
      <w:r>
        <w:rPr>
          <w:rFonts w:ascii="Consolas" w:eastAsia="Consolas" w:hAnsi="Consolas" w:cs="Consolas"/>
          <w:color w:val="334155"/>
          <w:sz w:val="18"/>
          <w:szCs w:val="18"/>
        </w:rPr>
        <w:t xml:space="preserve">  .claude/skills/               # create-adr · create-interface-pack · onboard-subscriber-cell · agent-spec</w:t>
      </w:r>
    </w:p>
    <w:p w14:paraId="7F3EF55B" w14:textId="77777777" w:rsidR="00F87636" w:rsidRDefault="00000000">
      <w:pPr>
        <w:shd w:val="clear" w:color="auto" w:fill="F8FAFC"/>
        <w:spacing w:after="60"/>
      </w:pPr>
      <w:r>
        <w:rPr>
          <w:rFonts w:ascii="Consolas" w:eastAsia="Consolas" w:hAnsi="Consolas" w:cs="Consolas"/>
          <w:color w:val="334155"/>
          <w:sz w:val="18"/>
          <w:szCs w:val="18"/>
        </w:rPr>
        <w:t xml:space="preserve">  services/tcg/  services/bff/  services/ism/     # Go services (one module each)</w:t>
      </w:r>
    </w:p>
    <w:p w14:paraId="2D57B02D" w14:textId="77777777" w:rsidR="00F87636" w:rsidRDefault="00000000">
      <w:pPr>
        <w:shd w:val="clear" w:color="auto" w:fill="F8FAFC"/>
        <w:spacing w:after="60"/>
      </w:pPr>
      <w:r>
        <w:rPr>
          <w:rFonts w:ascii="Consolas" w:eastAsia="Consolas" w:hAnsi="Consolas" w:cs="Consolas"/>
          <w:color w:val="334155"/>
          <w:sz w:val="18"/>
          <w:szCs w:val="18"/>
        </w:rPr>
        <w:t xml:space="preserve">  web/                          # React SPA; TS client generated from BFF OpenAPI</w:t>
      </w:r>
    </w:p>
    <w:p w14:paraId="180E7B9A" w14:textId="77777777" w:rsidR="00F87636" w:rsidRDefault="00000000">
      <w:pPr>
        <w:shd w:val="clear" w:color="auto" w:fill="F8FAFC"/>
        <w:spacing w:after="60"/>
      </w:pPr>
      <w:r>
        <w:rPr>
          <w:rFonts w:ascii="Consolas" w:eastAsia="Consolas" w:hAnsi="Consolas" w:cs="Consolas"/>
          <w:color w:val="334155"/>
          <w:sz w:val="18"/>
          <w:szCs w:val="18"/>
        </w:rPr>
        <w:t xml:space="preserve">  packs/&lt;subscriber&gt;/&lt;destination&gt;/   # definition.yaml · mapping.go · golden/</w:t>
      </w:r>
    </w:p>
    <w:p w14:paraId="7EA880D5" w14:textId="77777777" w:rsidR="00F87636" w:rsidRDefault="00000000">
      <w:pPr>
        <w:shd w:val="clear" w:color="auto" w:fill="F8FAFC"/>
        <w:spacing w:after="60"/>
      </w:pPr>
      <w:r>
        <w:rPr>
          <w:rFonts w:ascii="Consolas" w:eastAsia="Consolas" w:hAnsi="Consolas" w:cs="Consolas"/>
          <w:color w:val="334155"/>
          <w:sz w:val="18"/>
          <w:szCs w:val="18"/>
        </w:rPr>
        <w:t xml:space="preserve">  cells/                        # one manifest per subscriber + TEMPLATE.yaml (schema-validated)</w:t>
      </w:r>
    </w:p>
    <w:p w14:paraId="21636CEF" w14:textId="77777777" w:rsidR="00F87636" w:rsidRDefault="00000000">
      <w:pPr>
        <w:shd w:val="clear" w:color="auto" w:fill="F8FAFC"/>
        <w:spacing w:after="60"/>
      </w:pPr>
      <w:r>
        <w:rPr>
          <w:rFonts w:ascii="Consolas" w:eastAsia="Consolas" w:hAnsi="Consolas" w:cs="Consolas"/>
          <w:color w:val="334155"/>
          <w:sz w:val="18"/>
          <w:szCs w:val="18"/>
        </w:rPr>
        <w:t xml:space="preserve">  db/migrations/                # SQL, applied by pipeline; RLS policies live here</w:t>
      </w:r>
    </w:p>
    <w:p w14:paraId="7E56C28B" w14:textId="77777777" w:rsidR="00F87636" w:rsidRDefault="00000000">
      <w:pPr>
        <w:shd w:val="clear" w:color="auto" w:fill="F8FAFC"/>
        <w:spacing w:after="60"/>
      </w:pPr>
      <w:r>
        <w:rPr>
          <w:rFonts w:ascii="Consolas" w:eastAsia="Consolas" w:hAnsi="Consolas" w:cs="Consolas"/>
          <w:color w:val="334155"/>
          <w:sz w:val="18"/>
          <w:szCs w:val="18"/>
        </w:rPr>
        <w:t xml:space="preserve">  contracts/                    # FOP OAS v0.4.0 · data dictionary · beans fixtures · BFF OAS</w:t>
      </w:r>
    </w:p>
    <w:p w14:paraId="617257C3" w14:textId="77777777" w:rsidR="00F87636" w:rsidRDefault="00000000">
      <w:pPr>
        <w:shd w:val="clear" w:color="auto" w:fill="F8FAFC"/>
        <w:spacing w:after="60"/>
      </w:pPr>
      <w:r>
        <w:rPr>
          <w:rFonts w:ascii="Consolas" w:eastAsia="Consolas" w:hAnsi="Consolas" w:cs="Consolas"/>
          <w:color w:val="334155"/>
          <w:sz w:val="18"/>
          <w:szCs w:val="18"/>
        </w:rPr>
        <w:t xml:space="preserve">  graph/extractors/             # context-plane extractors (Go AST · SQL · OpenAPI · docs frontmatter)</w:t>
      </w:r>
    </w:p>
    <w:p w14:paraId="7A9DCB0C" w14:textId="77777777" w:rsidR="00F87636" w:rsidRDefault="00000000">
      <w:pPr>
        <w:shd w:val="clear" w:color="auto" w:fill="F8FAFC"/>
        <w:spacing w:after="60"/>
      </w:pPr>
      <w:r>
        <w:rPr>
          <w:rFonts w:ascii="Consolas" w:eastAsia="Consolas" w:hAnsi="Consolas" w:cs="Consolas"/>
          <w:color w:val="334155"/>
          <w:sz w:val="18"/>
          <w:szCs w:val="18"/>
        </w:rPr>
        <w:t xml:space="preserve">  iac/                          # Terraform: envs, cells for_each, Temporal Cloud, DR</w:t>
      </w:r>
    </w:p>
    <w:p w14:paraId="12838B31" w14:textId="77777777" w:rsidR="00F87636" w:rsidRDefault="00000000">
      <w:pPr>
        <w:shd w:val="clear" w:color="auto" w:fill="F8FAFC"/>
        <w:spacing w:after="60"/>
      </w:pPr>
      <w:r>
        <w:rPr>
          <w:rFonts w:ascii="Consolas" w:eastAsia="Consolas" w:hAnsi="Consolas" w:cs="Consolas"/>
          <w:color w:val="334155"/>
          <w:sz w:val="18"/>
          <w:szCs w:val="18"/>
        </w:rPr>
        <w:t xml:space="preserve">  compose/                      # docker-compose + mock-fop + mock-sftp + seeds</w:t>
      </w:r>
    </w:p>
    <w:p w14:paraId="5B7F85C8" w14:textId="77777777" w:rsidR="00F87636" w:rsidRDefault="00000000">
      <w:pPr>
        <w:shd w:val="clear" w:color="auto" w:fill="F8FAFC"/>
        <w:spacing w:after="60"/>
      </w:pPr>
      <w:r>
        <w:rPr>
          <w:rFonts w:ascii="Consolas" w:eastAsia="Consolas" w:hAnsi="Consolas" w:cs="Consolas"/>
          <w:color w:val="334155"/>
          <w:sz w:val="18"/>
          <w:szCs w:val="18"/>
        </w:rPr>
        <w:t xml:space="preserve">  docs/adr/  docs/dpd/  docs/principles.md</w:t>
      </w:r>
    </w:p>
    <w:p w14:paraId="463C1F39" w14:textId="77777777" w:rsidR="00F87636" w:rsidRDefault="00000000">
      <w:pPr>
        <w:shd w:val="clear" w:color="auto" w:fill="F8FAFC"/>
        <w:spacing w:after="60"/>
      </w:pPr>
      <w:r>
        <w:rPr>
          <w:rFonts w:ascii="Consolas" w:eastAsia="Consolas" w:hAnsi="Consolas" w:cs="Consolas"/>
          <w:color w:val="334155"/>
          <w:sz w:val="18"/>
          <w:szCs w:val="18"/>
        </w:rPr>
        <w:t>delivery-context/</w:t>
      </w:r>
    </w:p>
    <w:p w14:paraId="0B86B82F" w14:textId="77777777" w:rsidR="00F87636" w:rsidRDefault="00000000">
      <w:pPr>
        <w:shd w:val="clear" w:color="auto" w:fill="F8FAFC"/>
        <w:spacing w:after="60"/>
      </w:pPr>
      <w:r>
        <w:rPr>
          <w:rFonts w:ascii="Consolas" w:eastAsia="Consolas" w:hAnsi="Consolas" w:cs="Consolas"/>
          <w:color w:val="334155"/>
          <w:sz w:val="18"/>
          <w:szCs w:val="18"/>
        </w:rPr>
        <w:t xml:space="preserve">  hld/ (this master + prior records + diagram sources) · tcg-contract-pack/ · specs/ · README.md</w:t>
      </w:r>
    </w:p>
    <w:p w14:paraId="4A549AD2" w14:textId="77777777" w:rsidR="00F87636" w:rsidRDefault="00F87636">
      <w:pPr>
        <w:spacing w:after="60"/>
      </w:pPr>
    </w:p>
    <w:p w14:paraId="2AC44986" w14:textId="77777777" w:rsidR="00F87636" w:rsidRDefault="00000000">
      <w:pPr>
        <w:pStyle w:val="Heading2"/>
        <w:spacing w:before="280" w:after="160"/>
      </w:pPr>
      <w:bookmarkStart w:id="55" w:name="_Toc239760107"/>
      <w:r>
        <w:rPr>
          <w:b/>
          <w:bCs/>
          <w:color w:val="1D4ED8"/>
        </w:rPr>
        <w:t>18.2  Policy</w:t>
      </w:r>
      <w:bookmarkEnd w:id="55"/>
    </w:p>
    <w:p w14:paraId="47456E59" w14:textId="77777777" w:rsidR="00F87636" w:rsidRDefault="00000000">
      <w:pPr>
        <w:pStyle w:val="ListParagraph"/>
        <w:numPr>
          <w:ilvl w:val="0"/>
          <w:numId w:val="2"/>
        </w:numPr>
        <w:spacing w:after="100"/>
      </w:pPr>
      <w:r>
        <w:rPr>
          <w:b/>
          <w:bCs/>
        </w:rPr>
        <w:t xml:space="preserve">Branch policy (both repos): </w:t>
      </w:r>
      <w:r>
        <w:t>main protected; short-lived branches; PR requires automated Claude review, the oracle suite green, and one named human approver — two for db/, iac/ and services/tcg. Conventional commit messages; squash merge; images build once on merge and promote by digest.</w:t>
      </w:r>
    </w:p>
    <w:p w14:paraId="4DA72FE9" w14:textId="77777777" w:rsidR="00F87636" w:rsidRDefault="00000000">
      <w:pPr>
        <w:pStyle w:val="ListParagraph"/>
        <w:numPr>
          <w:ilvl w:val="0"/>
          <w:numId w:val="2"/>
        </w:numPr>
        <w:spacing w:after="100"/>
      </w:pPr>
      <w:r>
        <w:rPr>
          <w:b/>
          <w:bCs/>
        </w:rPr>
        <w:lastRenderedPageBreak/>
        <w:t xml:space="preserve">CI enforcement from day one: </w:t>
      </w:r>
      <w:r>
        <w:t>secret scanning; docs discipline (a service change without a DPD touch fails unless a human applies docs-exempt); an ADR link is required when a PR declares a design change; graph freshness once extractors land; golden-diff approval for packs.</w:t>
      </w:r>
    </w:p>
    <w:p w14:paraId="21E5E6D9" w14:textId="77777777" w:rsidR="00F87636" w:rsidRDefault="00000000">
      <w:pPr>
        <w:pStyle w:val="ListParagraph"/>
        <w:numPr>
          <w:ilvl w:val="0"/>
          <w:numId w:val="2"/>
        </w:numPr>
        <w:spacing w:after="100"/>
      </w:pPr>
      <w:r>
        <w:rPr>
          <w:b/>
          <w:bCs/>
        </w:rPr>
        <w:t xml:space="preserve">Docs in the monorepo: </w:t>
      </w:r>
      <w:r>
        <w:t>docs/adr holds one file per architecturally significant decision with frontmatter (id, status, governs) that the graph extractors read; docs/dpd holds one living developer platform doc per service and concern. Writing the docs is the bookkeeping — governance edges in the context plane derive from the frontmatter.</w:t>
      </w:r>
    </w:p>
    <w:p w14:paraId="0BD5C736" w14:textId="77777777" w:rsidR="00F87636" w:rsidRDefault="00000000">
      <w:pPr>
        <w:pStyle w:val="ListParagraph"/>
        <w:numPr>
          <w:ilvl w:val="0"/>
          <w:numId w:val="2"/>
        </w:numPr>
        <w:spacing w:after="100"/>
      </w:pPr>
      <w:r>
        <w:rPr>
          <w:b/>
          <w:bCs/>
        </w:rPr>
        <w:t xml:space="preserve">CODEOWNERS: </w:t>
      </w:r>
      <w:r>
        <w:t>db/ and iac/ to the EA + lead engineer; services/tcg to the integration owner; packs/ and cells/ to the subscriber onboarding owner; docs/adr to the EA. Seeded with placeholders that block merge until filled at mobilisation.</w:t>
      </w:r>
    </w:p>
    <w:p w14:paraId="234814D2" w14:textId="77777777" w:rsidR="00F87636" w:rsidRDefault="00000000">
      <w:pPr>
        <w:pStyle w:val="Heading2"/>
        <w:spacing w:before="280" w:after="160"/>
      </w:pPr>
      <w:bookmarkStart w:id="56" w:name="_Toc239760108"/>
      <w:r>
        <w:rPr>
          <w:b/>
          <w:bCs/>
          <w:color w:val="1D4ED8"/>
        </w:rPr>
        <w:t>18.3  The seed pack</w:t>
      </w:r>
      <w:bookmarkEnd w:id="56"/>
    </w:p>
    <w:p w14:paraId="1F538A97" w14:textId="77777777" w:rsidR="00F87636" w:rsidRDefault="00000000">
      <w:pPr>
        <w:spacing w:after="160"/>
      </w:pPr>
      <w:r>
        <w:t>frts-platform-seed.zip is generated from this document. Dropping it into the freshly provisioned repos is stage 0, hour one — the ADR process, the docs discipline and the agent setup start populated, not empty: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00"/>
      </w:tblGrid>
      <w:tr w:rsidR="00F87636" w14:paraId="0D63B306" w14:textId="77777777">
        <w:tblPrEx>
          <w:tblCellMar>
            <w:top w:w="0" w:type="dxa"/>
            <w:bottom w:w="0" w:type="dxa"/>
          </w:tblCellMar>
        </w:tblPrEx>
        <w:trPr>
          <w:cantSplit/>
          <w:tblHeader/>
        </w:trPr>
        <w:tc>
          <w:tcPr>
            <w:tcW w:w="29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62F89593" w14:textId="77777777" w:rsidR="00F87636" w:rsidRDefault="00000000">
            <w:pPr>
              <w:spacing w:after="20"/>
            </w:pPr>
            <w:r>
              <w:rPr>
                <w:b/>
                <w:bCs/>
                <w:color w:val="FFFFFF"/>
                <w:sz w:val="20"/>
                <w:szCs w:val="20"/>
              </w:rPr>
              <w:t>Seed</w:t>
            </w:r>
          </w:p>
        </w:tc>
        <w:tc>
          <w:tcPr>
            <w:tcW w:w="64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58F169E" w14:textId="77777777" w:rsidR="00F87636" w:rsidRDefault="00000000">
            <w:pPr>
              <w:spacing w:after="20"/>
            </w:pPr>
            <w:r>
              <w:rPr>
                <w:b/>
                <w:bCs/>
                <w:color w:val="FFFFFF"/>
                <w:sz w:val="20"/>
                <w:szCs w:val="20"/>
              </w:rPr>
              <w:t>Content</w:t>
            </w:r>
          </w:p>
        </w:tc>
      </w:tr>
      <w:tr w:rsidR="00F87636" w14:paraId="422DBD77" w14:textId="77777777">
        <w:tblPrEx>
          <w:tblCellMar>
            <w:top w:w="0" w:type="dxa"/>
            <w:bottom w:w="0" w:type="dxa"/>
          </w:tblCellMar>
        </w:tblPrEx>
        <w:trPr>
          <w:cantSplit/>
        </w:trPr>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4D797F7" w14:textId="77777777" w:rsidR="00F87636" w:rsidRDefault="00000000">
            <w:pPr>
              <w:spacing w:after="20"/>
            </w:pPr>
            <w:r>
              <w:rPr>
                <w:sz w:val="19"/>
                <w:szCs w:val="19"/>
              </w:rPr>
              <w:t>docs/adr/ADR-0001 … ADR-0014</w:t>
            </w:r>
          </w:p>
        </w:tc>
        <w:tc>
          <w:tcPr>
            <w:tcW w:w="6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DEDADB5" w14:textId="77777777" w:rsidR="00F87636" w:rsidRDefault="00000000">
            <w:pPr>
              <w:spacing w:after="20"/>
            </w:pPr>
            <w:r>
              <w:rPr>
                <w:sz w:val="19"/>
                <w:szCs w:val="19"/>
              </w:rPr>
              <w:t>The decisions of section 20 as accepted ADRs with frontmatter (id, status, date, governs) — ADR-0001 records the architecture selection itself; ADR-0006 records Temporal vs River.</w:t>
            </w:r>
          </w:p>
        </w:tc>
      </w:tr>
      <w:tr w:rsidR="00F87636" w14:paraId="7ED0BF76" w14:textId="77777777">
        <w:tblPrEx>
          <w:tblCellMar>
            <w:top w:w="0" w:type="dxa"/>
            <w:bottom w:w="0" w:type="dxa"/>
          </w:tblCellMar>
        </w:tblPrEx>
        <w:trPr>
          <w:cantSplit/>
        </w:trPr>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FCA475C" w14:textId="77777777" w:rsidR="00F87636" w:rsidRDefault="00000000">
            <w:pPr>
              <w:spacing w:after="20"/>
            </w:pPr>
            <w:r>
              <w:rPr>
                <w:sz w:val="19"/>
                <w:szCs w:val="19"/>
              </w:rPr>
              <w:t>docs/adr/ADR-TEMPLATE.md</w:t>
            </w:r>
          </w:p>
        </w:tc>
        <w:tc>
          <w:tcPr>
            <w:tcW w:w="6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E20790D" w14:textId="77777777" w:rsidR="00F87636" w:rsidRDefault="00000000">
            <w:pPr>
              <w:spacing w:after="20"/>
            </w:pPr>
            <w:r>
              <w:rPr>
                <w:sz w:val="19"/>
                <w:szCs w:val="19"/>
              </w:rPr>
              <w:t>The template for every subsequent decision: context, decision, consequences, alternatives considered, governs.</w:t>
            </w:r>
          </w:p>
        </w:tc>
      </w:tr>
      <w:tr w:rsidR="00F87636" w14:paraId="54D67D7A" w14:textId="77777777">
        <w:tblPrEx>
          <w:tblCellMar>
            <w:top w:w="0" w:type="dxa"/>
            <w:bottom w:w="0" w:type="dxa"/>
          </w:tblCellMar>
        </w:tblPrEx>
        <w:trPr>
          <w:cantSplit/>
        </w:trPr>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94E069B" w14:textId="77777777" w:rsidR="00F87636" w:rsidRDefault="00000000">
            <w:pPr>
              <w:spacing w:after="20"/>
            </w:pPr>
            <w:r>
              <w:rPr>
                <w:sz w:val="19"/>
                <w:szCs w:val="19"/>
              </w:rPr>
              <w:t>docs/dpd/ (9 stubs + template)</w:t>
            </w:r>
          </w:p>
        </w:tc>
        <w:tc>
          <w:tcPr>
            <w:tcW w:w="6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1604226" w14:textId="77777777" w:rsidR="00F87636" w:rsidRDefault="00000000">
            <w:pPr>
              <w:spacing w:after="20"/>
            </w:pPr>
            <w:r>
              <w:rPr>
                <w:sz w:val="19"/>
                <w:szCs w:val="19"/>
              </w:rPr>
              <w:t>One DPD per service and concern (tcg-service, curation-bff, ism-service, web, db, packs, graph, iac, compose): purpose, how it works, run locally, extend, oracles, owned contracts.</w:t>
            </w:r>
          </w:p>
        </w:tc>
      </w:tr>
      <w:tr w:rsidR="00F87636" w14:paraId="124799B9" w14:textId="77777777">
        <w:tblPrEx>
          <w:tblCellMar>
            <w:top w:w="0" w:type="dxa"/>
            <w:bottom w:w="0" w:type="dxa"/>
          </w:tblCellMar>
        </w:tblPrEx>
        <w:trPr>
          <w:cantSplit/>
        </w:trPr>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3988AB6" w14:textId="77777777" w:rsidR="00F87636" w:rsidRDefault="00000000">
            <w:pPr>
              <w:spacing w:after="20"/>
            </w:pPr>
            <w:r>
              <w:rPr>
                <w:sz w:val="19"/>
                <w:szCs w:val="19"/>
              </w:rPr>
              <w:t>CLAUDE.md</w:t>
            </w:r>
          </w:p>
        </w:tc>
        <w:tc>
          <w:tcPr>
            <w:tcW w:w="6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E0E3657" w14:textId="77777777" w:rsidR="00F87636" w:rsidRDefault="00000000">
            <w:pPr>
              <w:spacing w:after="20"/>
            </w:pPr>
            <w:r>
              <w:rPr>
                <w:sz w:val="19"/>
                <w:szCs w:val="19"/>
              </w:rPr>
              <w:t>The agent context file: architecture in one paragraph, commands, guardrails, definition of done (the oracle suite), docs discipline, context-plane usage.</w:t>
            </w:r>
          </w:p>
        </w:tc>
      </w:tr>
      <w:tr w:rsidR="00F87636" w14:paraId="443F5486" w14:textId="77777777">
        <w:tblPrEx>
          <w:tblCellMar>
            <w:top w:w="0" w:type="dxa"/>
            <w:bottom w:w="0" w:type="dxa"/>
          </w:tblCellMar>
        </w:tblPrEx>
        <w:trPr>
          <w:cantSplit/>
        </w:trPr>
        <w:tc>
          <w:tcPr>
            <w:tcW w:w="2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FE11A2F" w14:textId="77777777" w:rsidR="00F87636" w:rsidRDefault="00000000">
            <w:pPr>
              <w:spacing w:after="20"/>
            </w:pPr>
            <w:r>
              <w:rPr>
                <w:sz w:val="19"/>
                <w:szCs w:val="19"/>
              </w:rPr>
              <w:t>.claude/skills/</w:t>
            </w:r>
          </w:p>
        </w:tc>
        <w:tc>
          <w:tcPr>
            <w:tcW w:w="6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9B65DF5" w14:textId="77777777" w:rsidR="00F87636" w:rsidRDefault="00000000">
            <w:pPr>
              <w:spacing w:after="20"/>
            </w:pPr>
            <w:r>
              <w:rPr>
                <w:sz w:val="19"/>
                <w:szCs w:val="19"/>
              </w:rPr>
              <w:t>Four Claude Code skills: create-adr, create-interface-pack, onboard-subscriber-cell, agent-spec.</w:t>
            </w:r>
          </w:p>
        </w:tc>
      </w:tr>
      <w:tr w:rsidR="00F87636" w14:paraId="6C787E6C" w14:textId="77777777">
        <w:tblPrEx>
          <w:tblCellMar>
            <w:top w:w="0" w:type="dxa"/>
            <w:bottom w:w="0" w:type="dxa"/>
          </w:tblCellMar>
        </w:tblPrEx>
        <w:trPr>
          <w:cantSplit/>
        </w:trPr>
        <w:tc>
          <w:tcPr>
            <w:tcW w:w="2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C9A6E53" w14:textId="77777777" w:rsidR="00F87636" w:rsidRDefault="00000000">
            <w:pPr>
              <w:spacing w:after="20"/>
            </w:pPr>
            <w:r>
              <w:rPr>
                <w:sz w:val="19"/>
                <w:szCs w:val="19"/>
              </w:rPr>
              <w:t>Templates &amp; policy files</w:t>
            </w:r>
          </w:p>
        </w:tc>
        <w:tc>
          <w:tcPr>
            <w:tcW w:w="6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B87313B" w14:textId="77777777" w:rsidR="00F87636" w:rsidRDefault="00000000">
            <w:pPr>
              <w:spacing w:after="20"/>
            </w:pPr>
            <w:r>
              <w:rPr>
                <w:sz w:val="19"/>
                <w:szCs w:val="19"/>
              </w:rPr>
              <w:t>PR template (oracle/docs/guardrail checklist), CODEOWNERS skeleton, cells/TEMPLATE.yaml, docs/principles.md (P1–P8 and D1–D9), root READMEs for both repos.</w:t>
            </w:r>
          </w:p>
        </w:tc>
      </w:tr>
    </w:tbl>
    <w:p w14:paraId="6596D4D7" w14:textId="77777777" w:rsidR="00F87636" w:rsidRDefault="00000000">
      <w:pPr>
        <w:pStyle w:val="Heading1"/>
        <w:spacing w:before="360" w:after="200"/>
      </w:pPr>
      <w:bookmarkStart w:id="57" w:name="_Toc239760109"/>
      <w:r>
        <w:rPr>
          <w:b/>
          <w:bCs/>
          <w:color w:val="0F172A"/>
        </w:rPr>
        <w:t>19  Deployment, Environments and Operations</w:t>
      </w:r>
      <w:bookmarkEnd w:id="57"/>
    </w:p>
    <w:p w14:paraId="6670339D" w14:textId="77777777" w:rsidR="00F87636" w:rsidRDefault="00000000">
      <w:pPr>
        <w:spacing w:before="160" w:after="60"/>
        <w:jc w:val="center"/>
      </w:pPr>
      <w:r>
        <w:rPr>
          <w:noProof/>
        </w:rPr>
        <w:drawing>
          <wp:inline distT="0" distB="0" distL="0" distR="0" wp14:anchorId="194CAA6A" wp14:editId="2D3252E4">
            <wp:extent cx="5943600" cy="2743200"/>
            <wp:effectExtent l="0" t="0" r="0" b="0"/>
            <wp:docPr id="1990871069" name="Picture 199087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743200"/>
                    </a:xfrm>
                    <a:prstGeom prst="rect">
                      <a:avLst/>
                    </a:prstGeom>
                  </pic:spPr>
                </pic:pic>
              </a:graphicData>
            </a:graphic>
          </wp:inline>
        </w:drawing>
      </w:r>
    </w:p>
    <w:p w14:paraId="7979035F" w14:textId="77777777" w:rsidR="00F87636" w:rsidRDefault="00000000">
      <w:pPr>
        <w:spacing w:after="220"/>
        <w:jc w:val="center"/>
      </w:pPr>
      <w:r>
        <w:rPr>
          <w:i/>
          <w:iCs/>
          <w:color w:val="64748B"/>
          <w:sz w:val="19"/>
          <w:szCs w:val="19"/>
        </w:rPr>
        <w:lastRenderedPageBreak/>
        <w:t>Figure 9 — Containers on a managed runtime; cells from manifests; cloud as a commercial choice.</w:t>
      </w:r>
    </w:p>
    <w:p w14:paraId="32833E96" w14:textId="77777777" w:rsidR="00F87636" w:rsidRDefault="00000000">
      <w:pPr>
        <w:pStyle w:val="Heading2"/>
        <w:spacing w:before="280" w:after="160"/>
      </w:pPr>
      <w:bookmarkStart w:id="58" w:name="_Toc239760110"/>
      <w:r>
        <w:rPr>
          <w:b/>
          <w:bCs/>
          <w:color w:val="1D4ED8"/>
        </w:rPr>
        <w:t>19.1  Environments</w:t>
      </w:r>
      <w:bookmarkEnd w:id="5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100"/>
      </w:tblGrid>
      <w:tr w:rsidR="00F87636" w14:paraId="64B95A3F" w14:textId="77777777">
        <w:tblPrEx>
          <w:tblCellMar>
            <w:top w:w="0" w:type="dxa"/>
            <w:bottom w:w="0" w:type="dxa"/>
          </w:tblCellMar>
        </w:tblPrEx>
        <w:trPr>
          <w:cantSplit/>
          <w:tblHeader/>
        </w:trPr>
        <w:tc>
          <w:tcPr>
            <w:tcW w:w="18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004C9B2" w14:textId="77777777" w:rsidR="00F87636" w:rsidRDefault="00000000">
            <w:pPr>
              <w:spacing w:after="20"/>
            </w:pPr>
            <w:r>
              <w:rPr>
                <w:b/>
                <w:bCs/>
                <w:color w:val="FFFFFF"/>
                <w:sz w:val="20"/>
                <w:szCs w:val="20"/>
              </w:rPr>
              <w:t>Environment</w:t>
            </w:r>
          </w:p>
        </w:tc>
        <w:tc>
          <w:tcPr>
            <w:tcW w:w="44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02BA9D44" w14:textId="77777777" w:rsidR="00F87636" w:rsidRDefault="00000000">
            <w:pPr>
              <w:spacing w:after="20"/>
            </w:pPr>
            <w:r>
              <w:rPr>
                <w:b/>
                <w:bCs/>
                <w:color w:val="FFFFFF"/>
                <w:sz w:val="20"/>
                <w:szCs w:val="20"/>
              </w:rPr>
              <w:t>Purpose</w:t>
            </w:r>
          </w:p>
        </w:tc>
        <w:tc>
          <w:tcPr>
            <w:tcW w:w="31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C2FE6E2" w14:textId="77777777" w:rsidR="00F87636" w:rsidRDefault="00000000">
            <w:pPr>
              <w:spacing w:after="20"/>
            </w:pPr>
            <w:r>
              <w:rPr>
                <w:b/>
                <w:bCs/>
                <w:color w:val="FFFFFF"/>
                <w:sz w:val="20"/>
                <w:szCs w:val="20"/>
              </w:rPr>
              <w:t>Integration target</w:t>
            </w:r>
          </w:p>
        </w:tc>
      </w:tr>
      <w:tr w:rsidR="00F87636" w14:paraId="2E228AB3" w14:textId="77777777">
        <w:tblPrEx>
          <w:tblCellMar>
            <w:top w:w="0" w:type="dxa"/>
            <w:bottom w:w="0" w:type="dxa"/>
          </w:tblCellMar>
        </w:tblPrEx>
        <w:trPr>
          <w:cantSplit/>
        </w:trPr>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5C8142E" w14:textId="77777777" w:rsidR="00F87636" w:rsidRDefault="00000000">
            <w:pPr>
              <w:spacing w:after="20"/>
            </w:pPr>
            <w:r>
              <w:rPr>
                <w:sz w:val="19"/>
                <w:szCs w:val="19"/>
              </w:rPr>
              <w:t>local (compose)</w:t>
            </w:r>
          </w:p>
        </w:tc>
        <w:tc>
          <w:tcPr>
            <w:tcW w:w="4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7BAF4C3" w14:textId="77777777" w:rsidR="00F87636" w:rsidRDefault="00000000">
            <w:pPr>
              <w:spacing w:after="20"/>
            </w:pPr>
            <w:r>
              <w:rPr>
                <w:sz w:val="19"/>
                <w:szCs w:val="19"/>
              </w:rPr>
              <w:t>Every engineer and agent, all day — the primary environment</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A4CC4B1" w14:textId="77777777" w:rsidR="00F87636" w:rsidRDefault="00000000">
            <w:pPr>
              <w:spacing w:after="20"/>
            </w:pPr>
            <w:r>
              <w:rPr>
                <w:sz w:val="19"/>
                <w:szCs w:val="19"/>
              </w:rPr>
              <w:t>mock-FOP, mock-SFTP</w:t>
            </w:r>
          </w:p>
        </w:tc>
      </w:tr>
      <w:tr w:rsidR="00F87636" w14:paraId="67829B77" w14:textId="77777777">
        <w:tblPrEx>
          <w:tblCellMar>
            <w:top w:w="0" w:type="dxa"/>
            <w:bottom w:w="0" w:type="dxa"/>
          </w:tblCellMar>
        </w:tblPrEx>
        <w:trPr>
          <w:cantSplit/>
        </w:trPr>
        <w:tc>
          <w:tcPr>
            <w:tcW w:w="1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E2FCB0B" w14:textId="77777777" w:rsidR="00F87636" w:rsidRDefault="00000000">
            <w:pPr>
              <w:spacing w:after="20"/>
            </w:pPr>
            <w:r>
              <w:rPr>
                <w:sz w:val="19"/>
                <w:szCs w:val="19"/>
              </w:rPr>
              <w:t>frts-dev</w:t>
            </w:r>
          </w:p>
        </w:tc>
        <w:tc>
          <w:tcPr>
            <w:tcW w:w="4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A8D52EB" w14:textId="77777777" w:rsidR="00F87636" w:rsidRDefault="00000000">
            <w:pPr>
              <w:spacing w:after="20"/>
            </w:pPr>
            <w:r>
              <w:rPr>
                <w:sz w:val="19"/>
                <w:szCs w:val="19"/>
              </w:rPr>
              <w:t>Shared cloud dev; first cloud landing of every merge</w:t>
            </w:r>
          </w:p>
        </w:tc>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AB2C6D4" w14:textId="77777777" w:rsidR="00F87636" w:rsidRDefault="00000000">
            <w:pPr>
              <w:spacing w:after="20"/>
            </w:pPr>
            <w:r>
              <w:rPr>
                <w:sz w:val="19"/>
                <w:szCs w:val="19"/>
              </w:rPr>
              <w:t>mock-FOP containers</w:t>
            </w:r>
          </w:p>
        </w:tc>
      </w:tr>
      <w:tr w:rsidR="00F87636" w14:paraId="45F97772" w14:textId="77777777">
        <w:tblPrEx>
          <w:tblCellMar>
            <w:top w:w="0" w:type="dxa"/>
            <w:bottom w:w="0" w:type="dxa"/>
          </w:tblCellMar>
        </w:tblPrEx>
        <w:trPr>
          <w:cantSplit/>
        </w:trPr>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8930604" w14:textId="77777777" w:rsidR="00F87636" w:rsidRDefault="00000000">
            <w:pPr>
              <w:spacing w:after="20"/>
            </w:pPr>
            <w:r>
              <w:rPr>
                <w:sz w:val="19"/>
                <w:szCs w:val="19"/>
              </w:rPr>
              <w:t>frts-test</w:t>
            </w:r>
          </w:p>
        </w:tc>
        <w:tc>
          <w:tcPr>
            <w:tcW w:w="4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B5A7C80" w14:textId="77777777" w:rsidR="00F87636" w:rsidRDefault="00000000">
            <w:pPr>
              <w:spacing w:after="20"/>
            </w:pPr>
            <w:r>
              <w:rPr>
                <w:sz w:val="19"/>
                <w:szCs w:val="19"/>
              </w:rPr>
              <w:t>Conformance pack + full oracle suite on cloud infrastructure</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9672B6B" w14:textId="77777777" w:rsidR="00F87636" w:rsidRDefault="00000000">
            <w:pPr>
              <w:spacing w:after="20"/>
            </w:pPr>
            <w:r>
              <w:rPr>
                <w:sz w:val="19"/>
                <w:szCs w:val="19"/>
              </w:rPr>
              <w:t>mock-FOP; TCG dev endpoints when issued (~week 6)</w:t>
            </w:r>
          </w:p>
        </w:tc>
      </w:tr>
      <w:tr w:rsidR="00F87636" w14:paraId="39E42CBB" w14:textId="77777777">
        <w:tblPrEx>
          <w:tblCellMar>
            <w:top w:w="0" w:type="dxa"/>
            <w:bottom w:w="0" w:type="dxa"/>
          </w:tblCellMar>
        </w:tblPrEx>
        <w:trPr>
          <w:cantSplit/>
        </w:trPr>
        <w:tc>
          <w:tcPr>
            <w:tcW w:w="1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E682683" w14:textId="77777777" w:rsidR="00F87636" w:rsidRDefault="00000000">
            <w:pPr>
              <w:spacing w:after="20"/>
            </w:pPr>
            <w:r>
              <w:rPr>
                <w:sz w:val="19"/>
                <w:szCs w:val="19"/>
              </w:rPr>
              <w:t>frts-uat</w:t>
            </w:r>
          </w:p>
        </w:tc>
        <w:tc>
          <w:tcPr>
            <w:tcW w:w="4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C9A17C0" w14:textId="77777777" w:rsidR="00F87636" w:rsidRDefault="00000000">
            <w:pPr>
              <w:spacing w:after="20"/>
            </w:pPr>
            <w:r>
              <w:rPr>
                <w:sz w:val="19"/>
                <w:szCs w:val="19"/>
              </w:rPr>
              <w:t>Acceptance, release rehearsal, cutover rehearsal</w:t>
            </w:r>
          </w:p>
        </w:tc>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E8E0860" w14:textId="77777777" w:rsidR="00F87636" w:rsidRDefault="00000000">
            <w:pPr>
              <w:spacing w:after="20"/>
            </w:pPr>
            <w:r>
              <w:rPr>
                <w:sz w:val="19"/>
                <w:szCs w:val="19"/>
              </w:rPr>
              <w:t>TCG dev/test endpoints</w:t>
            </w:r>
          </w:p>
        </w:tc>
      </w:tr>
      <w:tr w:rsidR="00F87636" w14:paraId="0DF5F90D" w14:textId="77777777">
        <w:tblPrEx>
          <w:tblCellMar>
            <w:top w:w="0" w:type="dxa"/>
            <w:bottom w:w="0" w:type="dxa"/>
          </w:tblCellMar>
        </w:tblPrEx>
        <w:trPr>
          <w:cantSplit/>
        </w:trPr>
        <w:tc>
          <w:tcPr>
            <w:tcW w:w="1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194E452" w14:textId="77777777" w:rsidR="00F87636" w:rsidRDefault="00000000">
            <w:pPr>
              <w:spacing w:after="20"/>
            </w:pPr>
            <w:r>
              <w:rPr>
                <w:sz w:val="19"/>
                <w:szCs w:val="19"/>
              </w:rPr>
              <w:t>frts-prod</w:t>
            </w:r>
          </w:p>
        </w:tc>
        <w:tc>
          <w:tcPr>
            <w:tcW w:w="4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807BDDC" w14:textId="77777777" w:rsidR="00F87636" w:rsidRDefault="00000000">
            <w:pPr>
              <w:spacing w:after="20"/>
            </w:pPr>
            <w:r>
              <w:rPr>
                <w:sz w:val="19"/>
                <w:szCs w:val="19"/>
              </w:rPr>
              <w:t>Production; canary subscriber first (expected: Lincolnshire Co-op), then rollout</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C0B70DF" w14:textId="77777777" w:rsidR="00F87636" w:rsidRDefault="00000000">
            <w:pPr>
              <w:spacing w:after="20"/>
            </w:pPr>
            <w:r>
              <w:rPr>
                <w:sz w:val="19"/>
                <w:szCs w:val="19"/>
              </w:rPr>
              <w:t>TCG production (credentials at cutover)</w:t>
            </w:r>
          </w:p>
        </w:tc>
      </w:tr>
    </w:tbl>
    <w:p w14:paraId="306019B3" w14:textId="77777777" w:rsidR="00F87636" w:rsidRDefault="00F87636">
      <w:pPr>
        <w:spacing w:after="60"/>
      </w:pPr>
    </w:p>
    <w:p w14:paraId="71C6C7C8" w14:textId="77777777" w:rsidR="00F87636" w:rsidRDefault="00000000">
      <w:pPr>
        <w:spacing w:after="160"/>
      </w:pPr>
      <w:r>
        <w:t>Each cloud environment is one Terraform module: containers (tcg-service, curation-bff, N cells, static web) on Azure Container Apps in UK West by default (UK South has known capacity issues), Azure Database for PostgreSQL Flexible Server, Blob storage, Key Vault, Temporal Cloud. Cells are a Terraform for_each over the cells/ manifests — adding a subscriber is a manifest PR plus an apply. The cell count at ten subscribers (~13–15 containers) sits comfortably within Container Apps; AKS is the documented move if orchestration ever demands more. Swapping cloud (AWS Fargate/RDS/S3, GCP Cloud Run/Cloud SQL/GCS) is a Terraform provider swap plus the storage-port binding — application code does not change (KDD-17).</w:t>
      </w:r>
    </w:p>
    <w:p w14:paraId="71EB491A" w14:textId="77777777" w:rsidR="00F87636" w:rsidRDefault="00000000">
      <w:pPr>
        <w:pStyle w:val="Heading2"/>
        <w:spacing w:before="280" w:after="160"/>
      </w:pPr>
      <w:bookmarkStart w:id="59" w:name="_Toc239760111"/>
      <w:r>
        <w:rPr>
          <w:b/>
          <w:bCs/>
          <w:color w:val="1D4ED8"/>
        </w:rPr>
        <w:t>19.2  Release train</w:t>
      </w:r>
      <w:bookmarkEnd w:id="59"/>
    </w:p>
    <w:p w14:paraId="6A60579D" w14:textId="77777777" w:rsidR="00F87636" w:rsidRDefault="00000000">
      <w:pPr>
        <w:spacing w:after="160"/>
      </w:pPr>
      <w:r>
        <w:t>Images build once and promote by digest Dev → Test → UAT → Canary → Prod with a human gate per promotion; database migrations run by pipeline before rollout; rollback is the previous digest plus a down-migration. OTel traces and structured logs export to the cloud monitoring backend; the Temporal UI is the flow-state view; per-flow dashboards alert on watermark stall, validation failure rate, parked workflows, receipt failures, SLA breach and FOP 4xx.</w:t>
      </w:r>
    </w:p>
    <w:p w14:paraId="0D0E14E7" w14:textId="77777777" w:rsidR="00F87636" w:rsidRDefault="00000000">
      <w:pPr>
        <w:pStyle w:val="Heading2"/>
        <w:spacing w:before="280" w:after="160"/>
      </w:pPr>
      <w:bookmarkStart w:id="60" w:name="_Toc239760112"/>
      <w:r>
        <w:rPr>
          <w:b/>
          <w:bCs/>
          <w:color w:val="1D4ED8"/>
        </w:rPr>
        <w:t>19.3  Operations and DR</w:t>
      </w:r>
      <w:bookmarkEnd w:id="60"/>
    </w:p>
    <w:p w14:paraId="7044A6D9" w14:textId="77777777" w:rsidR="00F87636" w:rsidRDefault="00000000">
      <w:pPr>
        <w:pStyle w:val="ListParagraph"/>
        <w:numPr>
          <w:ilvl w:val="0"/>
          <w:numId w:val="2"/>
        </w:numPr>
        <w:spacing w:after="100"/>
      </w:pPr>
      <w:r>
        <w:t>Runbooks (versioned with the code): FOP credential rotation, SFTP key rotation, destination credential rotation, watermark re-baseline from the weekly full feed, parked-workflow replay, pack version retirement, subscriber cell onboarding and retirement.</w:t>
      </w:r>
    </w:p>
    <w:p w14:paraId="14C1D73C" w14:textId="77777777" w:rsidR="00F87636" w:rsidRDefault="00000000">
      <w:pPr>
        <w:pStyle w:val="ListParagraph"/>
        <w:numPr>
          <w:ilvl w:val="0"/>
          <w:numId w:val="2"/>
        </w:numPr>
        <w:spacing w:after="100"/>
      </w:pPr>
      <w:r>
        <w:t>Support: subscriber administrator first line for commercial/curation questions; UST managed service for platform incidents; production access PIM-elevated and time-bound.</w:t>
      </w:r>
    </w:p>
    <w:p w14:paraId="6B6ACAC6" w14:textId="77777777" w:rsidR="00F87636" w:rsidRDefault="00000000">
      <w:pPr>
        <w:pStyle w:val="ListParagraph"/>
        <w:numPr>
          <w:ilvl w:val="0"/>
          <w:numId w:val="2"/>
        </w:numPr>
        <w:spacing w:after="100"/>
      </w:pPr>
      <w:r>
        <w:t>DR: Postgres geo-replica and object-store geo-redundancy into the paired European region; Temporal Cloud multi-region namespace; the graph rebuilds from git and needs no DR. RPO 1 hour, RTO 8 hours; failover runbooks in iac/ and rehearsed at UAT.</w:t>
      </w:r>
    </w:p>
    <w:p w14:paraId="7AF1EDAF" w14:textId="77777777" w:rsidR="00F87636" w:rsidRDefault="00000000">
      <w:pPr>
        <w:pStyle w:val="Heading1"/>
        <w:spacing w:before="360" w:after="200"/>
      </w:pPr>
      <w:bookmarkStart w:id="61" w:name="_Toc239760113"/>
      <w:r>
        <w:rPr>
          <w:b/>
          <w:bCs/>
          <w:color w:val="0F172A"/>
        </w:rPr>
        <w:t>20  Non-Functional Requirements</w:t>
      </w:r>
      <w:bookmarkEnd w:id="6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00"/>
      </w:tblGrid>
      <w:tr w:rsidR="00F87636" w14:paraId="5E741E1E" w14:textId="77777777">
        <w:tblPrEx>
          <w:tblCellMar>
            <w:top w:w="0" w:type="dxa"/>
            <w:bottom w:w="0" w:type="dxa"/>
          </w:tblCellMar>
        </w:tblPrEx>
        <w:trPr>
          <w:cantSplit/>
          <w:tblHeader/>
        </w:trPr>
        <w:tc>
          <w:tcPr>
            <w:tcW w:w="22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2E38582C" w14:textId="77777777" w:rsidR="00F87636" w:rsidRDefault="00000000">
            <w:pPr>
              <w:spacing w:after="20"/>
            </w:pPr>
            <w:r>
              <w:rPr>
                <w:b/>
                <w:bCs/>
                <w:color w:val="FFFFFF"/>
                <w:sz w:val="20"/>
                <w:szCs w:val="20"/>
              </w:rPr>
              <w:t>Area</w:t>
            </w:r>
          </w:p>
        </w:tc>
        <w:tc>
          <w:tcPr>
            <w:tcW w:w="71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29B64BA" w14:textId="77777777" w:rsidR="00F87636" w:rsidRDefault="00000000">
            <w:pPr>
              <w:spacing w:after="20"/>
            </w:pPr>
            <w:r>
              <w:rPr>
                <w:b/>
                <w:bCs/>
                <w:color w:val="FFFFFF"/>
                <w:sz w:val="20"/>
                <w:szCs w:val="20"/>
              </w:rPr>
              <w:t>Requirement (baseline — confirm at team baseline review)</w:t>
            </w:r>
          </w:p>
        </w:tc>
      </w:tr>
      <w:tr w:rsidR="00F87636" w14:paraId="31F063DE"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7B449FA" w14:textId="77777777" w:rsidR="00F87636" w:rsidRDefault="00000000">
            <w:pPr>
              <w:spacing w:after="20"/>
            </w:pPr>
            <w:r>
              <w:rPr>
                <w:sz w:val="19"/>
                <w:szCs w:val="19"/>
              </w:rPr>
              <w:t>Availability</w:t>
            </w:r>
          </w:p>
        </w:tc>
        <w:tc>
          <w:tcPr>
            <w:tcW w:w="7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A86D6EF" w14:textId="77777777" w:rsidR="00F87636" w:rsidRDefault="00000000">
            <w:pPr>
              <w:spacing w:after="20"/>
            </w:pPr>
            <w:r>
              <w:rPr>
                <w:sz w:val="19"/>
                <w:szCs w:val="19"/>
              </w:rPr>
              <w:t>Platform services 99.5% monthly. The order relay path is the critical window: available and monitored through each subscriber's ordering window ahead of the FOP cutoff (02:00–03:30 area, per confirmed business clocks).</w:t>
            </w:r>
          </w:p>
        </w:tc>
      </w:tr>
      <w:tr w:rsidR="00F87636" w14:paraId="0AAE0A06"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E341BB4" w14:textId="77777777" w:rsidR="00F87636" w:rsidRDefault="00000000">
            <w:pPr>
              <w:spacing w:after="20"/>
            </w:pPr>
            <w:r>
              <w:rPr>
                <w:sz w:val="19"/>
                <w:szCs w:val="19"/>
              </w:rPr>
              <w:t>Latency — master data</w:t>
            </w:r>
          </w:p>
        </w:tc>
        <w:tc>
          <w:tcPr>
            <w:tcW w:w="7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017C359" w14:textId="77777777" w:rsidR="00F87636" w:rsidRDefault="00000000">
            <w:pPr>
              <w:spacing w:after="20"/>
            </w:pPr>
            <w:r>
              <w:rPr>
                <w:sz w:val="19"/>
                <w:szCs w:val="19"/>
              </w:rPr>
              <w:t>Change visible in curation screens within 30 minutes of TCG publication (default 15-minute poll + processing).</w:t>
            </w:r>
          </w:p>
        </w:tc>
      </w:tr>
      <w:tr w:rsidR="00F87636" w14:paraId="77C5A729"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1C32FBE" w14:textId="77777777" w:rsidR="00F87636" w:rsidRDefault="00000000">
            <w:pPr>
              <w:spacing w:after="20"/>
            </w:pPr>
            <w:r>
              <w:rPr>
                <w:sz w:val="19"/>
                <w:szCs w:val="19"/>
              </w:rPr>
              <w:lastRenderedPageBreak/>
              <w:t>Latency — distribution</w:t>
            </w:r>
          </w:p>
        </w:tc>
        <w:tc>
          <w:tcPr>
            <w:tcW w:w="7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80B6244" w14:textId="77777777" w:rsidR="00F87636" w:rsidRDefault="00000000">
            <w:pPr>
              <w:spacing w:after="20"/>
            </w:pPr>
            <w:r>
              <w:rPr>
                <w:sz w:val="19"/>
                <w:szCs w:val="19"/>
              </w:rPr>
              <w:t>Approved change delivered to the subscriber destination within 30 minutes of approval; per-interface SLA configurable, breach alerts wired to the delivery console.</w:t>
            </w:r>
          </w:p>
        </w:tc>
      </w:tr>
      <w:tr w:rsidR="00F87636" w14:paraId="2B98E15C"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4AAD5A3" w14:textId="77777777" w:rsidR="00F87636" w:rsidRDefault="00000000">
            <w:pPr>
              <w:spacing w:after="20"/>
            </w:pPr>
            <w:r>
              <w:rPr>
                <w:sz w:val="19"/>
                <w:szCs w:val="19"/>
              </w:rPr>
              <w:t>Latency — sales orders</w:t>
            </w:r>
          </w:p>
        </w:tc>
        <w:tc>
          <w:tcPr>
            <w:tcW w:w="7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8D2D742" w14:textId="77777777" w:rsidR="00F87636" w:rsidRDefault="00000000">
            <w:pPr>
              <w:spacing w:after="20"/>
            </w:pPr>
            <w:r>
              <w:rPr>
                <w:sz w:val="19"/>
                <w:szCs w:val="19"/>
              </w:rPr>
              <w:t>Order relayed to FOP within 5 minutes of intake completion; acknowledgement returned to the ISM within 5 minutes of the FOP response.</w:t>
            </w:r>
          </w:p>
        </w:tc>
      </w:tr>
      <w:tr w:rsidR="00F87636" w14:paraId="11CB76CD"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30A4CDB" w14:textId="77777777" w:rsidR="00F87636" w:rsidRDefault="00000000">
            <w:pPr>
              <w:spacing w:after="20"/>
            </w:pPr>
            <w:r>
              <w:rPr>
                <w:sz w:val="19"/>
                <w:szCs w:val="19"/>
              </w:rPr>
              <w:t>Throughput</w:t>
            </w:r>
          </w:p>
        </w:tc>
        <w:tc>
          <w:tcPr>
            <w:tcW w:w="7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D333D81" w14:textId="77777777" w:rsidR="00F87636" w:rsidRDefault="00000000">
            <w:pPr>
              <w:spacing w:after="20"/>
            </w:pPr>
            <w:r>
              <w:rPr>
                <w:sz w:val="19"/>
                <w:szCs w:val="19"/>
              </w:rPr>
              <w:t>Sized for full-catalogue weekly refresh and peak promotional-window deltas across 10 subscribers; FOP owns page sizes — the platform degrades gracefully under FOP rate limiting (back-off honoured, no data loss).</w:t>
            </w:r>
          </w:p>
        </w:tc>
      </w:tr>
      <w:tr w:rsidR="00F87636" w14:paraId="1DBC9644"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5995064" w14:textId="77777777" w:rsidR="00F87636" w:rsidRDefault="00000000">
            <w:pPr>
              <w:spacing w:after="20"/>
            </w:pPr>
            <w:r>
              <w:rPr>
                <w:sz w:val="19"/>
                <w:szCs w:val="19"/>
              </w:rPr>
              <w:t>Durability / lineage</w:t>
            </w:r>
          </w:p>
        </w:tc>
        <w:tc>
          <w:tcPr>
            <w:tcW w:w="7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5ADF5D4" w14:textId="77777777" w:rsidR="00F87636" w:rsidRDefault="00000000">
            <w:pPr>
              <w:spacing w:after="20"/>
            </w:pPr>
            <w:r>
              <w:rPr>
                <w:sz w:val="19"/>
                <w:szCs w:val="19"/>
              </w:rPr>
              <w:t>No acknowledged inbound record may be lost: the landing zone is immutable, Temporal is the buffer, parked workflows + replay cover failures. Every persisted record traceable to API page or file+line (P8).</w:t>
            </w:r>
          </w:p>
        </w:tc>
      </w:tr>
      <w:tr w:rsidR="00F87636" w14:paraId="271858ED"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6DD76C8" w14:textId="77777777" w:rsidR="00F87636" w:rsidRDefault="00000000">
            <w:pPr>
              <w:spacing w:after="20"/>
            </w:pPr>
            <w:r>
              <w:rPr>
                <w:sz w:val="19"/>
                <w:szCs w:val="19"/>
              </w:rPr>
              <w:t>Idempotency</w:t>
            </w:r>
          </w:p>
        </w:tc>
        <w:tc>
          <w:tcPr>
            <w:tcW w:w="7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922CCD1" w14:textId="77777777" w:rsidR="00F87636" w:rsidRDefault="00000000">
            <w:pPr>
              <w:spacing w:after="20"/>
            </w:pPr>
            <w:r>
              <w:rPr>
                <w:sz w:val="19"/>
                <w:szCs w:val="19"/>
              </w:rPr>
              <w:t>All upserts idempotent by business key; sales order submission idempotent by store order reference — duplicate submission is a no-op returning the original acknowledgement.</w:t>
            </w:r>
          </w:p>
        </w:tc>
      </w:tr>
      <w:tr w:rsidR="00F87636" w14:paraId="5B878103"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C183E42" w14:textId="77777777" w:rsidR="00F87636" w:rsidRDefault="00000000">
            <w:pPr>
              <w:spacing w:after="20"/>
            </w:pPr>
            <w:r>
              <w:rPr>
                <w:sz w:val="19"/>
                <w:szCs w:val="19"/>
              </w:rPr>
              <w:t>Recovery</w:t>
            </w:r>
          </w:p>
        </w:tc>
        <w:tc>
          <w:tcPr>
            <w:tcW w:w="7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91952B9" w14:textId="77777777" w:rsidR="00F87636" w:rsidRDefault="00000000">
            <w:pPr>
              <w:spacing w:after="20"/>
            </w:pPr>
            <w:r>
              <w:rPr>
                <w:sz w:val="19"/>
                <w:szCs w:val="19"/>
              </w:rPr>
              <w:t>RPO 1 hour, RTO 8 hours for platform data (DR region); the watermark re-baseline runbook covers deltas beyond the 7-day API window.</w:t>
            </w:r>
          </w:p>
        </w:tc>
      </w:tr>
      <w:tr w:rsidR="00F87636" w14:paraId="3EC43834"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86D2907" w14:textId="77777777" w:rsidR="00F87636" w:rsidRDefault="00000000">
            <w:pPr>
              <w:spacing w:after="20"/>
            </w:pPr>
            <w:r>
              <w:rPr>
                <w:sz w:val="19"/>
                <w:szCs w:val="19"/>
              </w:rPr>
              <w:t>Auditability</w:t>
            </w:r>
          </w:p>
        </w:tc>
        <w:tc>
          <w:tcPr>
            <w:tcW w:w="7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ECBE2B0" w14:textId="77777777" w:rsidR="00F87636" w:rsidRDefault="00000000">
            <w:pPr>
              <w:spacing w:after="20"/>
            </w:pPr>
            <w:r>
              <w:rPr>
                <w:sz w:val="19"/>
                <w:szCs w:val="19"/>
              </w:rPr>
              <w:t>Every commercial decision (subscribe, enrich, approve, acknowledge) attributable to a person or a signed-off rule, retained 7 years by default.</w:t>
            </w:r>
          </w:p>
        </w:tc>
      </w:tr>
      <w:tr w:rsidR="00F87636" w14:paraId="14C80BDF" w14:textId="77777777">
        <w:tblPrEx>
          <w:tblCellMar>
            <w:top w:w="0" w:type="dxa"/>
            <w:bottom w:w="0" w:type="dxa"/>
          </w:tblCellMar>
        </w:tblPrEx>
        <w:trPr>
          <w:cantSplit/>
        </w:trPr>
        <w:tc>
          <w:tcPr>
            <w:tcW w:w="22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8ACFA8F" w14:textId="77777777" w:rsidR="00F87636" w:rsidRDefault="00000000">
            <w:pPr>
              <w:spacing w:after="20"/>
            </w:pPr>
            <w:r>
              <w:rPr>
                <w:sz w:val="19"/>
                <w:szCs w:val="19"/>
              </w:rPr>
              <w:t>Observability</w:t>
            </w:r>
          </w:p>
        </w:tc>
        <w:tc>
          <w:tcPr>
            <w:tcW w:w="7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F15075A" w14:textId="77777777" w:rsidR="00F87636" w:rsidRDefault="00000000">
            <w:pPr>
              <w:spacing w:after="20"/>
            </w:pPr>
            <w:r>
              <w:rPr>
                <w:sz w:val="19"/>
                <w:szCs w:val="19"/>
              </w:rPr>
              <w:t>Per-flow health dashboards; alerting on watermark stall, validation failure rate, parked workflows, receipt failures, SLA breach, FOP 4xx.</w:t>
            </w:r>
          </w:p>
        </w:tc>
      </w:tr>
    </w:tbl>
    <w:p w14:paraId="597C2D5F" w14:textId="77777777" w:rsidR="00F87636" w:rsidRDefault="00000000">
      <w:pPr>
        <w:pStyle w:val="Heading1"/>
        <w:spacing w:before="360" w:after="200"/>
      </w:pPr>
      <w:bookmarkStart w:id="62" w:name="_Toc239760114"/>
      <w:r>
        <w:rPr>
          <w:b/>
          <w:bCs/>
          <w:color w:val="0F172A"/>
        </w:rPr>
        <w:t>21  Key Design Decisions</w:t>
      </w:r>
      <w:bookmarkEnd w:id="62"/>
    </w:p>
    <w:p w14:paraId="0BE57AAB" w14:textId="77777777" w:rsidR="00F87636" w:rsidRDefault="00000000">
      <w:pPr>
        <w:spacing w:after="160"/>
      </w:pPr>
      <w:r>
        <w:t>The complete decision set. Each is seeded as an accepted ADR in the repo (section 18.3); changing one requires a superseding ADR with EA approval.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4000"/>
      </w:tblGrid>
      <w:tr w:rsidR="00F87636" w14:paraId="179075F8" w14:textId="77777777">
        <w:tblPrEx>
          <w:tblCellMar>
            <w:top w:w="0" w:type="dxa"/>
            <w:bottom w:w="0" w:type="dxa"/>
          </w:tblCellMar>
        </w:tblPrEx>
        <w:trPr>
          <w:cantSplit/>
          <w:tblHeader/>
        </w:trPr>
        <w:tc>
          <w:tcPr>
            <w:tcW w:w="9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D9FADD6" w14:textId="77777777" w:rsidR="00F87636" w:rsidRDefault="00000000">
            <w:pPr>
              <w:spacing w:after="20"/>
            </w:pPr>
            <w:r>
              <w:rPr>
                <w:b/>
                <w:bCs/>
                <w:color w:val="FFFFFF"/>
                <w:sz w:val="20"/>
                <w:szCs w:val="20"/>
              </w:rPr>
              <w:t>Ref</w:t>
            </w:r>
          </w:p>
        </w:tc>
        <w:tc>
          <w:tcPr>
            <w:tcW w:w="43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1DCE206" w14:textId="77777777" w:rsidR="00F87636" w:rsidRDefault="00000000">
            <w:pPr>
              <w:spacing w:after="20"/>
            </w:pPr>
            <w:r>
              <w:rPr>
                <w:b/>
                <w:bCs/>
                <w:color w:val="FFFFFF"/>
                <w:sz w:val="20"/>
                <w:szCs w:val="20"/>
              </w:rPr>
              <w:t>Decision</w:t>
            </w:r>
          </w:p>
        </w:tc>
        <w:tc>
          <w:tcPr>
            <w:tcW w:w="40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1D806FA" w14:textId="77777777" w:rsidR="00F87636" w:rsidRDefault="00000000">
            <w:pPr>
              <w:spacing w:after="20"/>
            </w:pPr>
            <w:r>
              <w:rPr>
                <w:b/>
                <w:bCs/>
                <w:color w:val="FFFFFF"/>
                <w:sz w:val="20"/>
                <w:szCs w:val="20"/>
              </w:rPr>
              <w:t>Rationale</w:t>
            </w:r>
          </w:p>
        </w:tc>
      </w:tr>
      <w:tr w:rsidR="00F87636" w14:paraId="01001EDF"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C0A7A12" w14:textId="77777777" w:rsidR="00F87636" w:rsidRDefault="00000000">
            <w:pPr>
              <w:spacing w:after="20"/>
            </w:pPr>
            <w:r>
              <w:rPr>
                <w:sz w:val="19"/>
                <w:szCs w:val="19"/>
              </w:rPr>
              <w:t>KDD-01</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8F9C93F" w14:textId="77777777" w:rsidR="00F87636" w:rsidRDefault="00000000">
            <w:pPr>
              <w:spacing w:after="20"/>
            </w:pPr>
            <w:r>
              <w:rPr>
                <w:sz w:val="19"/>
                <w:szCs w:val="19"/>
              </w:rPr>
              <w:t>The Manifold architecture is the build track; all prior HLD architectures are records. (ADR-0001)</w:t>
            </w:r>
          </w:p>
        </w:tc>
        <w:tc>
          <w:tcPr>
            <w:tcW w:w="4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1AA6562" w14:textId="77777777" w:rsidR="00F87636" w:rsidRDefault="00000000">
            <w:pPr>
              <w:spacing w:after="20"/>
            </w:pPr>
            <w:r>
              <w:rPr>
                <w:sz w:val="19"/>
                <w:szCs w:val="19"/>
              </w:rPr>
              <w:t>Selected on the agent-first criteria: strongest isolation, strongest agent loop and context story of the evaluated options; the comparison is preserved in the v2.0/v3.0 records.</w:t>
            </w:r>
          </w:p>
        </w:tc>
      </w:tr>
      <w:tr w:rsidR="00F87636" w14:paraId="564903A8"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CAD0250" w14:textId="77777777" w:rsidR="00F87636" w:rsidRDefault="00000000">
            <w:pPr>
              <w:spacing w:after="20"/>
            </w:pPr>
            <w:r>
              <w:rPr>
                <w:sz w:val="19"/>
                <w:szCs w:val="19"/>
              </w:rPr>
              <w:t>KDD-02</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43EBBD5" w14:textId="77777777" w:rsidR="00F87636" w:rsidRDefault="00000000">
            <w:pPr>
              <w:spacing w:after="20"/>
            </w:pPr>
            <w:r>
              <w:rPr>
                <w:sz w:val="19"/>
                <w:szCs w:val="19"/>
              </w:rPr>
              <w:t>Layers are party-aligned: the TCG Integration Layer and the ISM Subscriber Layer each own both flow directions for their party; ingress/egress are flow labels, never layer names. (ADR-0002)</w:t>
            </w:r>
          </w:p>
        </w:tc>
        <w:tc>
          <w:tcPr>
            <w:tcW w:w="4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5B89C17" w14:textId="77777777" w:rsidR="00F87636" w:rsidRDefault="00000000">
            <w:pPr>
              <w:spacing w:after="20"/>
            </w:pPr>
            <w:r>
              <w:rPr>
                <w:sz w:val="19"/>
                <w:szCs w:val="19"/>
              </w:rPr>
              <w:t>Ownership, contracts, identity and tenancy cleave by party, not direction. Inbound sales orders live with the pack machinery they use.</w:t>
            </w:r>
          </w:p>
        </w:tc>
      </w:tr>
      <w:tr w:rsidR="00F87636" w14:paraId="3323C4FA"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A1E340C" w14:textId="77777777" w:rsidR="00F87636" w:rsidRDefault="00000000">
            <w:pPr>
              <w:spacing w:after="20"/>
            </w:pPr>
            <w:r>
              <w:rPr>
                <w:sz w:val="19"/>
                <w:szCs w:val="19"/>
              </w:rPr>
              <w:t>KDD-03</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3BF9F68" w14:textId="77777777" w:rsidR="00F87636" w:rsidRDefault="00000000">
            <w:pPr>
              <w:spacing w:after="20"/>
            </w:pPr>
            <w:r>
              <w:rPr>
                <w:sz w:val="19"/>
                <w:szCs w:val="19"/>
              </w:rPr>
              <w:t>One multi-tenant platform; subscribers at the auth edge; UST-owned and operated.</w:t>
            </w:r>
          </w:p>
        </w:tc>
        <w:tc>
          <w:tcPr>
            <w:tcW w:w="4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9531399" w14:textId="77777777" w:rsidR="00F87636" w:rsidRDefault="00000000">
            <w:pPr>
              <w:spacing w:after="20"/>
            </w:pPr>
            <w:r>
              <w:rPr>
                <w:sz w:val="19"/>
                <w:szCs w:val="19"/>
              </w:rPr>
              <w:t>One data plane, one codebase, one operations model. ISMs are subscribers, not co-owners; the perimeter to each is the auth edge.</w:t>
            </w:r>
          </w:p>
        </w:tc>
      </w:tr>
      <w:tr w:rsidR="00F87636" w14:paraId="2A4622AE"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E486FFA" w14:textId="77777777" w:rsidR="00F87636" w:rsidRDefault="00000000">
            <w:pPr>
              <w:spacing w:after="20"/>
            </w:pPr>
            <w:r>
              <w:rPr>
                <w:sz w:val="19"/>
                <w:szCs w:val="19"/>
              </w:rPr>
              <w:t>KDD-04</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BFCBCC3" w14:textId="77777777" w:rsidR="00F87636" w:rsidRDefault="00000000">
            <w:pPr>
              <w:spacing w:after="20"/>
            </w:pPr>
            <w:r>
              <w:rPr>
                <w:sz w:val="19"/>
                <w:szCs w:val="19"/>
              </w:rPr>
              <w:t>TCG data is stored as-is — no ETL on ingress; validation checks conformance and never reshapes.</w:t>
            </w:r>
          </w:p>
        </w:tc>
        <w:tc>
          <w:tcPr>
            <w:tcW w:w="4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9E250E4" w14:textId="77777777" w:rsidR="00F87636" w:rsidRDefault="00000000">
            <w:pPr>
              <w:spacing w:after="20"/>
            </w:pPr>
            <w:r>
              <w:rPr>
                <w:sz w:val="19"/>
                <w:szCs w:val="19"/>
              </w:rPr>
              <w:t>TCG masters the data. Contract churn stays confined to the generated client package; TCG documentation describes our stored rows.</w:t>
            </w:r>
          </w:p>
        </w:tc>
      </w:tr>
      <w:tr w:rsidR="00F87636" w14:paraId="20394D4F"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FAD3D9B" w14:textId="77777777" w:rsidR="00F87636" w:rsidRDefault="00000000">
            <w:pPr>
              <w:spacing w:after="20"/>
            </w:pPr>
            <w:r>
              <w:rPr>
                <w:sz w:val="19"/>
                <w:szCs w:val="19"/>
              </w:rPr>
              <w:t>KDD-05</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4215FB1" w14:textId="77777777" w:rsidR="00F87636" w:rsidRDefault="00000000">
            <w:pPr>
              <w:spacing w:after="20"/>
            </w:pPr>
            <w:r>
              <w:rPr>
                <w:sz w:val="19"/>
                <w:szCs w:val="19"/>
              </w:rPr>
              <w:t>Master data by API; transactional data by SFTP pull from the TCG-hosted endpoint; all connections platform-initiated. EDN-by-API remains a per-feed configuration alternative. (ADR-0013 covers the mock counterpart.)</w:t>
            </w:r>
          </w:p>
        </w:tc>
        <w:tc>
          <w:tcPr>
            <w:tcW w:w="4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F60D0DB" w14:textId="77777777" w:rsidR="00F87636" w:rsidRDefault="00000000">
            <w:pPr>
              <w:spacing w:after="20"/>
            </w:pPr>
            <w:r>
              <w:rPr>
                <w:sz w:val="19"/>
                <w:szCs w:val="19"/>
              </w:rPr>
              <w:t>Matches FOP's publication model; no inbound ports to TCG; an SFTP-enabled storage endpoint is the documented fallback if TCG pushes.</w:t>
            </w:r>
          </w:p>
        </w:tc>
      </w:tr>
      <w:tr w:rsidR="00F87636" w14:paraId="55DCE829"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1578AD1" w14:textId="77777777" w:rsidR="00F87636" w:rsidRDefault="00000000">
            <w:pPr>
              <w:spacing w:after="20"/>
            </w:pPr>
            <w:r>
              <w:rPr>
                <w:sz w:val="19"/>
                <w:szCs w:val="19"/>
              </w:rPr>
              <w:lastRenderedPageBreak/>
              <w:t>KDD-06</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67559D5" w14:textId="77777777" w:rsidR="00F87636" w:rsidRDefault="00000000">
            <w:pPr>
              <w:spacing w:after="20"/>
            </w:pPr>
            <w:r>
              <w:rPr>
                <w:sz w:val="19"/>
                <w:szCs w:val="19"/>
              </w:rPr>
              <w:t>Go for all services; TypeScript confined to the SPA behind a generated OpenAPI seam. (ADR-0003)</w:t>
            </w:r>
          </w:p>
        </w:tc>
        <w:tc>
          <w:tcPr>
            <w:tcW w:w="4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F03F50D" w14:textId="77777777" w:rsidR="00F87636" w:rsidRDefault="00000000">
            <w:pPr>
              <w:spacing w:after="20"/>
            </w:pPr>
            <w:r>
              <w:rPr>
                <w:sz w:val="19"/>
                <w:szCs w:val="19"/>
              </w:rPr>
              <w:t>Concurrency fits the workload; static distroless binaries fit cells; gofmt uniformity and explicit errors maximise agent legibility. The second language is contained to one generated boundary (D6).</w:t>
            </w:r>
          </w:p>
        </w:tc>
      </w:tr>
      <w:tr w:rsidR="00F87636" w14:paraId="41F059A9"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6C3513A" w14:textId="77777777" w:rsidR="00F87636" w:rsidRDefault="00000000">
            <w:pPr>
              <w:spacing w:after="20"/>
            </w:pPr>
            <w:r>
              <w:rPr>
                <w:sz w:val="19"/>
                <w:szCs w:val="19"/>
              </w:rPr>
              <w:t>KDD-07</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E0FD9DD" w14:textId="77777777" w:rsidR="00F87636" w:rsidRDefault="00000000">
            <w:pPr>
              <w:spacing w:after="20"/>
            </w:pPr>
            <w:r>
              <w:rPr>
                <w:sz w:val="19"/>
                <w:szCs w:val="19"/>
              </w:rPr>
              <w:t>A manifold of three service kinds; no synchronous service-to-service calls — coordination via Postgres and Temporal only. (ADR-0004)</w:t>
            </w:r>
          </w:p>
        </w:tc>
        <w:tc>
          <w:tcPr>
            <w:tcW w:w="4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125CB2E" w14:textId="77777777" w:rsidR="00F87636" w:rsidRDefault="00000000">
            <w:pPr>
              <w:spacing w:after="20"/>
            </w:pPr>
            <w:r>
              <w:rPr>
                <w:sz w:val="19"/>
                <w:szCs w:val="19"/>
              </w:rPr>
              <w:t>The schema is the contract. No internal RPC versioning, no partial-failure chains, no topology to mis-reason about (D7).</w:t>
            </w:r>
          </w:p>
        </w:tc>
      </w:tr>
      <w:tr w:rsidR="00F87636" w14:paraId="015B9011"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CAC79D8" w14:textId="77777777" w:rsidR="00F87636" w:rsidRDefault="00000000">
            <w:pPr>
              <w:spacing w:after="20"/>
            </w:pPr>
            <w:r>
              <w:rPr>
                <w:sz w:val="19"/>
                <w:szCs w:val="19"/>
              </w:rPr>
              <w:t>KDD-08</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FCB17F4" w14:textId="77777777" w:rsidR="00F87636" w:rsidRDefault="00000000">
            <w:pPr>
              <w:spacing w:after="20"/>
            </w:pPr>
            <w:r>
              <w:rPr>
                <w:sz w:val="19"/>
                <w:szCs w:val="19"/>
              </w:rPr>
              <w:t>Catalogue Item is the canonical product key; NSL is a transitional, indexed alias only.</w:t>
            </w:r>
          </w:p>
        </w:tc>
        <w:tc>
          <w:tcPr>
            <w:tcW w:w="4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D62C63A" w14:textId="77777777" w:rsidR="00F87636" w:rsidRDefault="00000000">
            <w:pPr>
              <w:spacing w:after="20"/>
            </w:pPr>
            <w:r>
              <w:rPr>
                <w:sz w:val="19"/>
                <w:szCs w:val="19"/>
              </w:rPr>
              <w:t>Aligns with TCG's target identifier; avoids designing legacy debt back in.</w:t>
            </w:r>
          </w:p>
        </w:tc>
      </w:tr>
      <w:tr w:rsidR="00F87636" w14:paraId="7524F520"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0B28C5B" w14:textId="77777777" w:rsidR="00F87636" w:rsidRDefault="00000000">
            <w:pPr>
              <w:spacing w:after="20"/>
            </w:pPr>
            <w:r>
              <w:rPr>
                <w:sz w:val="19"/>
                <w:szCs w:val="19"/>
              </w:rPr>
              <w:t>KDD-09</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CBF5108" w14:textId="77777777" w:rsidR="00F87636" w:rsidRDefault="00000000">
            <w:pPr>
              <w:spacing w:after="20"/>
            </w:pPr>
            <w:r>
              <w:rPr>
                <w:sz w:val="19"/>
                <w:szCs w:val="19"/>
              </w:rPr>
              <w:t>Cellular tenancy: one ism-service image, one cell per subscriber from a schema-validated git manifest; per-cell credentials and DB role; RLS beneath. (ADR-0005)</w:t>
            </w:r>
          </w:p>
        </w:tc>
        <w:tc>
          <w:tcPr>
            <w:tcW w:w="4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2947A4E" w14:textId="77777777" w:rsidR="00F87636" w:rsidRDefault="00000000">
            <w:pPr>
              <w:spacing w:after="20"/>
            </w:pPr>
            <w:r>
              <w:rPr>
                <w:sz w:val="19"/>
                <w:szCs w:val="19"/>
              </w:rPr>
              <w:t>Two independent isolation walls; blast radius, credential scope and noisy-neighbour end at the cell; onboarding is a manifest PR + apply (P7).</w:t>
            </w:r>
          </w:p>
        </w:tc>
      </w:tr>
      <w:tr w:rsidR="00F87636" w14:paraId="79A0BA33"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5DCB0F5" w14:textId="77777777" w:rsidR="00F87636" w:rsidRDefault="00000000">
            <w:pPr>
              <w:spacing w:after="20"/>
            </w:pPr>
            <w:r>
              <w:rPr>
                <w:sz w:val="19"/>
                <w:szCs w:val="19"/>
              </w:rPr>
              <w:t>KDD-10</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E7D62E0" w14:textId="77777777" w:rsidR="00F87636" w:rsidRDefault="00000000">
            <w:pPr>
              <w:spacing w:after="20"/>
            </w:pPr>
            <w:r>
              <w:rPr>
                <w:sz w:val="19"/>
                <w:szCs w:val="19"/>
              </w:rPr>
              <w:t>PostgreSQL is the only database: canonical JSONB as-is with generated key columns; overlay/staging under RLS; per-cell roles; object store for files behind one port. (ADR-0007)</w:t>
            </w:r>
          </w:p>
        </w:tc>
        <w:tc>
          <w:tcPr>
            <w:tcW w:w="4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B46E3DF" w14:textId="77777777" w:rsidR="00F87636" w:rsidRDefault="00000000">
            <w:pPr>
              <w:spacing w:after="20"/>
            </w:pPr>
            <w:r>
              <w:rPr>
                <w:sz w:val="19"/>
                <w:szCs w:val="19"/>
              </w:rPr>
              <w:t>Strongest form of store-as-is; the competition-law boundary becomes an engine guarantee with a CI proof; one stateful system to operate and seed locally.</w:t>
            </w:r>
          </w:p>
        </w:tc>
      </w:tr>
      <w:tr w:rsidR="00F87636" w14:paraId="5E8FDFB4"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6142EB7" w14:textId="77777777" w:rsidR="00F87636" w:rsidRDefault="00000000">
            <w:pPr>
              <w:spacing w:after="20"/>
            </w:pPr>
            <w:r>
              <w:rPr>
                <w:sz w:val="19"/>
                <w:szCs w:val="19"/>
              </w:rPr>
              <w:t>KDD-11</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F50E371" w14:textId="77777777" w:rsidR="00F87636" w:rsidRDefault="00000000">
            <w:pPr>
              <w:spacing w:after="20"/>
            </w:pPr>
            <w:r>
              <w:rPr>
                <w:sz w:val="19"/>
                <w:szCs w:val="19"/>
              </w:rPr>
              <w:t>Temporal (Go SDK) is the durable engine, behind a thin Go port; Temporal Cloud default hosting; River evaluated and not selected. (ADR-0006)</w:t>
            </w:r>
          </w:p>
        </w:tc>
        <w:tc>
          <w:tcPr>
            <w:tcW w:w="4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D325267" w14:textId="77777777" w:rsidR="00F87636" w:rsidRDefault="00000000">
            <w:pPr>
              <w:spacing w:after="20"/>
            </w:pPr>
            <w:r>
              <w:rPr>
                <w:sz w:val="19"/>
                <w:szCs w:val="19"/>
              </w:rPr>
              <w:t>Deletes the retry/idempotency/watermark bug class as a product guarantee; Go-native with a local dev server (D2). The port keeps any revisit one package wide. The one admitted exception to D3.</w:t>
            </w:r>
          </w:p>
        </w:tc>
      </w:tr>
      <w:tr w:rsidR="00F87636" w14:paraId="34B0C7B6"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085F5A0" w14:textId="77777777" w:rsidR="00F87636" w:rsidRDefault="00000000">
            <w:pPr>
              <w:spacing w:after="20"/>
            </w:pPr>
            <w:r>
              <w:rPr>
                <w:sz w:val="19"/>
                <w:szCs w:val="19"/>
              </w:rPr>
              <w:t>KDD-12</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E2CD0EB" w14:textId="77777777" w:rsidR="00F87636" w:rsidRDefault="00000000">
            <w:pPr>
              <w:spacing w:after="20"/>
            </w:pPr>
            <w:r>
              <w:rPr>
                <w:sz w:val="19"/>
                <w:szCs w:val="19"/>
              </w:rPr>
              <w:t>Interface packs as Go code (definition.yaml + mapping.go + golden tests), compiled into the cell image; new destination = new pack PR. (ADR-0008)</w:t>
            </w:r>
          </w:p>
        </w:tc>
        <w:tc>
          <w:tcPr>
            <w:tcW w:w="4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857A062" w14:textId="77777777" w:rsidR="00F87636" w:rsidRDefault="00000000">
            <w:pPr>
              <w:spacing w:after="20"/>
            </w:pPr>
            <w:r>
              <w:rPr>
                <w:sz w:val="19"/>
                <w:szCs w:val="19"/>
              </w:rPr>
              <w:t>Typed, compiler-checked mappings with byte-exact oracles; packs version and test with the platform (P1, P3).</w:t>
            </w:r>
          </w:p>
        </w:tc>
      </w:tr>
      <w:tr w:rsidR="00F87636" w14:paraId="2D31DBE6"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CEA7179" w14:textId="77777777" w:rsidR="00F87636" w:rsidRDefault="00000000">
            <w:pPr>
              <w:spacing w:after="20"/>
            </w:pPr>
            <w:r>
              <w:rPr>
                <w:sz w:val="19"/>
                <w:szCs w:val="19"/>
              </w:rPr>
              <w:t>KDD-13</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9101F6D" w14:textId="77777777" w:rsidR="00F87636" w:rsidRDefault="00000000">
            <w:pPr>
              <w:spacing w:after="20"/>
            </w:pPr>
            <w:r>
              <w:rPr>
                <w:sz w:val="19"/>
                <w:szCs w:val="19"/>
              </w:rPr>
              <w:t>Sales orders are relay-only and idempotent by store order reference; acknowledgements and rejections return via the same cell.</w:t>
            </w:r>
          </w:p>
        </w:tc>
        <w:tc>
          <w:tcPr>
            <w:tcW w:w="4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A9264CE" w14:textId="77777777" w:rsidR="00F87636" w:rsidRDefault="00000000">
            <w:pPr>
              <w:spacing w:after="20"/>
            </w:pPr>
            <w:r>
              <w:rPr>
                <w:sz w:val="19"/>
                <w:szCs w:val="19"/>
              </w:rPr>
              <w:t>Compliance requires relay, not an OMS (P6); duplicates provably no-op.</w:t>
            </w:r>
          </w:p>
        </w:tc>
      </w:tr>
      <w:tr w:rsidR="00F87636" w14:paraId="726C5575"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CCDCEB5" w14:textId="77777777" w:rsidR="00F87636" w:rsidRDefault="00000000">
            <w:pPr>
              <w:spacing w:after="20"/>
            </w:pPr>
            <w:r>
              <w:rPr>
                <w:sz w:val="19"/>
                <w:szCs w:val="19"/>
              </w:rPr>
              <w:t>KDD-14</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E7FF2E3" w14:textId="77777777" w:rsidR="00F87636" w:rsidRDefault="00000000">
            <w:pPr>
              <w:spacing w:after="20"/>
            </w:pPr>
            <w:r>
              <w:rPr>
                <w:sz w:val="19"/>
                <w:szCs w:val="19"/>
              </w:rPr>
              <w:t>TCG price and promotion data is advisory; the platform never writes a retail price.</w:t>
            </w:r>
          </w:p>
        </w:tc>
        <w:tc>
          <w:tcPr>
            <w:tcW w:w="4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D95AF20" w14:textId="77777777" w:rsidR="00F87636" w:rsidRDefault="00000000">
            <w:pPr>
              <w:spacing w:after="20"/>
            </w:pPr>
            <w:r>
              <w:rPr>
                <w:sz w:val="19"/>
                <w:szCs w:val="19"/>
              </w:rPr>
              <w:t>Retail strategy is each society's own under the BSA (P5).</w:t>
            </w:r>
          </w:p>
        </w:tc>
      </w:tr>
      <w:tr w:rsidR="00F87636" w14:paraId="01CAE6F4"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1176D01" w14:textId="77777777" w:rsidR="00F87636" w:rsidRDefault="00000000">
            <w:pPr>
              <w:spacing w:after="20"/>
            </w:pPr>
            <w:r>
              <w:rPr>
                <w:sz w:val="19"/>
                <w:szCs w:val="19"/>
              </w:rPr>
              <w:t>KDD-15</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ABD90D0" w14:textId="77777777" w:rsidR="00F87636" w:rsidRDefault="00000000">
            <w:pPr>
              <w:spacing w:after="20"/>
            </w:pPr>
            <w:r>
              <w:rPr>
                <w:sz w:val="19"/>
                <w:szCs w:val="19"/>
              </w:rPr>
              <w:t>Knowledge-graph context plane: Neo4j + read-only MCP, derived by CI extractors on every merge, SHA-stamped, symbols and relationships only. (ADR-0009)</w:t>
            </w:r>
          </w:p>
        </w:tc>
        <w:tc>
          <w:tcPr>
            <w:tcW w:w="4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569400D" w14:textId="77777777" w:rsidR="00F87636" w:rsidRDefault="00000000">
            <w:pPr>
              <w:spacing w:after="20"/>
            </w:pPr>
            <w:r>
              <w:rPr>
                <w:sz w:val="19"/>
                <w:szCs w:val="19"/>
              </w:rPr>
              <w:t>Gives agents navigation grep cannot; derived-only keeps it honest (D9); structural-only keeps the commercial-data guardrail intact.</w:t>
            </w:r>
          </w:p>
        </w:tc>
      </w:tr>
      <w:tr w:rsidR="00F87636" w14:paraId="2733A553"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00AC2E7" w14:textId="77777777" w:rsidR="00F87636" w:rsidRDefault="00000000">
            <w:pPr>
              <w:spacing w:after="20"/>
            </w:pPr>
            <w:r>
              <w:rPr>
                <w:sz w:val="19"/>
                <w:szCs w:val="19"/>
              </w:rPr>
              <w:t>KDD-16</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7E414D4" w14:textId="77777777" w:rsidR="00F87636" w:rsidRDefault="00000000">
            <w:pPr>
              <w:spacing w:after="20"/>
            </w:pPr>
            <w:r>
              <w:rPr>
                <w:sz w:val="19"/>
                <w:szCs w:val="19"/>
              </w:rPr>
              <w:t>ADRs and DPDs live in the monorepo with CI enforcement; two repositories total (frts-platform + delivery-context). (ADR-0010, ADR-0011)</w:t>
            </w:r>
          </w:p>
        </w:tc>
        <w:tc>
          <w:tcPr>
            <w:tcW w:w="4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3FFCBA1" w14:textId="77777777" w:rsidR="00F87636" w:rsidRDefault="00000000">
            <w:pPr>
              <w:spacing w:after="20"/>
            </w:pPr>
            <w:r>
              <w:rPr>
                <w:sz w:val="19"/>
                <w:szCs w:val="19"/>
              </w:rPr>
              <w:t>Docs beside the code they govern, kept honest by the pipeline, feeding the context plane for free; the platform versions and tests as one unit.</w:t>
            </w:r>
          </w:p>
        </w:tc>
      </w:tr>
      <w:tr w:rsidR="00F87636" w14:paraId="3BDEC8C1"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35A1FB9" w14:textId="77777777" w:rsidR="00F87636" w:rsidRDefault="00000000">
            <w:pPr>
              <w:spacing w:after="20"/>
            </w:pPr>
            <w:r>
              <w:rPr>
                <w:sz w:val="19"/>
                <w:szCs w:val="19"/>
              </w:rPr>
              <w:t>KDD-17</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37FA305" w14:textId="77777777" w:rsidR="00F87636" w:rsidRDefault="00000000">
            <w:pPr>
              <w:spacing w:after="20"/>
            </w:pPr>
            <w:r>
              <w:rPr>
                <w:sz w:val="19"/>
                <w:szCs w:val="19"/>
              </w:rPr>
              <w:t>Cloud-agnostic containers; Azure Container Apps default; UK West primary, DR into a European region; AKS documented as the scaling move. (ADR-0012)</w:t>
            </w:r>
          </w:p>
        </w:tc>
        <w:tc>
          <w:tcPr>
            <w:tcW w:w="4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29DD41A" w14:textId="77777777" w:rsidR="00F87636" w:rsidRDefault="00000000">
            <w:pPr>
              <w:spacing w:after="20"/>
            </w:pPr>
            <w:r>
              <w:rPr>
                <w:sz w:val="19"/>
                <w:szCs w:val="19"/>
              </w:rPr>
              <w:t>Nothing in application code binds to a provider (storage port, OIDC, Terraform); UK South has known capacity issues; cloud stays a commercial variable.</w:t>
            </w:r>
          </w:p>
        </w:tc>
      </w:tr>
      <w:tr w:rsidR="00F87636" w14:paraId="6B4745F9"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CC86FC0" w14:textId="77777777" w:rsidR="00F87636" w:rsidRDefault="00000000">
            <w:pPr>
              <w:spacing w:after="20"/>
            </w:pPr>
            <w:r>
              <w:rPr>
                <w:sz w:val="19"/>
                <w:szCs w:val="19"/>
              </w:rPr>
              <w:t>KDD-18</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073F835" w14:textId="77777777" w:rsidR="00F87636" w:rsidRDefault="00000000">
            <w:pPr>
              <w:spacing w:after="20"/>
            </w:pPr>
            <w:r>
              <w:rPr>
                <w:sz w:val="19"/>
                <w:szCs w:val="19"/>
              </w:rPr>
              <w:t>Mocks-first: contract-faithful FOP and SFTP mocks generated from the spec, data dictionary and beans worked example until TCG dev endpoints arrive (~week 6); swap is configuration only. (ADR-0013)</w:t>
            </w:r>
          </w:p>
        </w:tc>
        <w:tc>
          <w:tcPr>
            <w:tcW w:w="40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C05F2FA" w14:textId="77777777" w:rsidR="00F87636" w:rsidRDefault="00000000">
            <w:pPr>
              <w:spacing w:after="20"/>
            </w:pPr>
            <w:r>
              <w:rPr>
                <w:sz w:val="19"/>
                <w:szCs w:val="19"/>
              </w:rPr>
              <w:t>Removes the upstream availability dependency from the critical path; the beans rejection and error payloads set the fidelity bar.</w:t>
            </w:r>
          </w:p>
        </w:tc>
      </w:tr>
      <w:tr w:rsidR="00F87636" w14:paraId="36DAA448" w14:textId="77777777">
        <w:tblPrEx>
          <w:tblCellMar>
            <w:top w:w="0" w:type="dxa"/>
            <w:bottom w:w="0" w:type="dxa"/>
          </w:tblCellMar>
        </w:tblPrEx>
        <w:trPr>
          <w:cantSplit/>
        </w:trPr>
        <w:tc>
          <w:tcPr>
            <w:tcW w:w="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854438A" w14:textId="77777777" w:rsidR="00F87636" w:rsidRDefault="00000000">
            <w:pPr>
              <w:spacing w:after="20"/>
            </w:pPr>
            <w:r>
              <w:rPr>
                <w:sz w:val="19"/>
                <w:szCs w:val="19"/>
              </w:rPr>
              <w:t>KDD-19</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3AFD621" w14:textId="77777777" w:rsidR="00F87636" w:rsidRDefault="00000000">
            <w:pPr>
              <w:spacing w:after="20"/>
            </w:pPr>
            <w:r>
              <w:rPr>
                <w:sz w:val="19"/>
                <w:szCs w:val="19"/>
              </w:rPr>
              <w:t>No in-product AI; local runnability is binding. (ADR-0014)</w:t>
            </w:r>
          </w:p>
        </w:tc>
        <w:tc>
          <w:tcPr>
            <w:tcW w:w="40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BB69764" w14:textId="77777777" w:rsidR="00F87636" w:rsidRDefault="00000000">
            <w:pPr>
              <w:spacing w:after="20"/>
            </w:pPr>
            <w:r>
              <w:rPr>
                <w:sz w:val="19"/>
                <w:szCs w:val="19"/>
              </w:rPr>
              <w:t>AI is a build-time capability of the delivery team only; every feature must run and test in the compose stack (D2).</w:t>
            </w:r>
          </w:p>
        </w:tc>
      </w:tr>
    </w:tbl>
    <w:p w14:paraId="7CDD2689" w14:textId="77777777" w:rsidR="00F87636" w:rsidRDefault="00000000">
      <w:pPr>
        <w:pStyle w:val="Heading1"/>
        <w:spacing w:before="360" w:after="200"/>
      </w:pPr>
      <w:bookmarkStart w:id="63" w:name="_Toc239760115"/>
      <w:r>
        <w:rPr>
          <w:b/>
          <w:bCs/>
          <w:color w:val="0F172A"/>
        </w:rPr>
        <w:lastRenderedPageBreak/>
        <w:t>22  Assumptions, Dependencies and Risks</w:t>
      </w:r>
      <w:bookmarkEnd w:id="63"/>
    </w:p>
    <w:p w14:paraId="4B1C4171" w14:textId="77777777" w:rsidR="00F87636" w:rsidRDefault="00000000">
      <w:pPr>
        <w:pStyle w:val="Heading2"/>
        <w:spacing w:before="280" w:after="160"/>
      </w:pPr>
      <w:bookmarkStart w:id="64" w:name="_Toc239760116"/>
      <w:r>
        <w:rPr>
          <w:b/>
          <w:bCs/>
          <w:color w:val="1D4ED8"/>
        </w:rPr>
        <w:t>22.1  Assumptions</w:t>
      </w:r>
      <w:bookmarkEnd w:id="6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00"/>
      </w:tblGrid>
      <w:tr w:rsidR="00F87636" w14:paraId="5FB903CB" w14:textId="77777777">
        <w:tblPrEx>
          <w:tblCellMar>
            <w:top w:w="0" w:type="dxa"/>
            <w:bottom w:w="0" w:type="dxa"/>
          </w:tblCellMar>
        </w:tblPrEx>
        <w:trPr>
          <w:cantSplit/>
          <w:tblHeader/>
        </w:trPr>
        <w:tc>
          <w:tcPr>
            <w:tcW w:w="8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160766A4" w14:textId="77777777" w:rsidR="00F87636" w:rsidRDefault="00000000">
            <w:pPr>
              <w:spacing w:after="20"/>
            </w:pPr>
            <w:r>
              <w:rPr>
                <w:b/>
                <w:bCs/>
                <w:color w:val="FFFFFF"/>
                <w:sz w:val="20"/>
                <w:szCs w:val="20"/>
              </w:rPr>
              <w:t>Ref</w:t>
            </w:r>
          </w:p>
        </w:tc>
        <w:tc>
          <w:tcPr>
            <w:tcW w:w="85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34F96C35" w14:textId="77777777" w:rsidR="00F87636" w:rsidRDefault="00000000">
            <w:pPr>
              <w:spacing w:after="20"/>
            </w:pPr>
            <w:r>
              <w:rPr>
                <w:b/>
                <w:bCs/>
                <w:color w:val="FFFFFF"/>
                <w:sz w:val="20"/>
                <w:szCs w:val="20"/>
              </w:rPr>
              <w:t>Assumption</w:t>
            </w:r>
          </w:p>
        </w:tc>
      </w:tr>
      <w:tr w:rsidR="00F87636" w14:paraId="29FF5626"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7D37B14" w14:textId="77777777" w:rsidR="00F87636" w:rsidRDefault="00000000">
            <w:pPr>
              <w:spacing w:after="20"/>
            </w:pPr>
            <w:r>
              <w:rPr>
                <w:sz w:val="19"/>
                <w:szCs w:val="19"/>
              </w:rPr>
              <w:t>AS-1</w:t>
            </w:r>
          </w:p>
        </w:tc>
        <w:tc>
          <w:tcPr>
            <w:tcW w:w="8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725A387" w14:textId="77777777" w:rsidR="00F87636" w:rsidRDefault="00000000">
            <w:pPr>
              <w:spacing w:after="20"/>
            </w:pPr>
            <w:r>
              <w:rPr>
                <w:sz w:val="19"/>
                <w:szCs w:val="19"/>
              </w:rPr>
              <w:t>TCG delivers FOP per the v0.4.0 spec direction: OAuth2 client credentials, delta queries (7-day window), pagination with the 204 terminator, sales order POST, and JSONL SFTP feeds per the published schedule.</w:t>
            </w:r>
          </w:p>
        </w:tc>
      </w:tr>
      <w:tr w:rsidR="00F87636" w14:paraId="028F32CC"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398BD0E" w14:textId="77777777" w:rsidR="00F87636" w:rsidRDefault="00000000">
            <w:pPr>
              <w:spacing w:after="20"/>
            </w:pPr>
            <w:r>
              <w:rPr>
                <w:sz w:val="19"/>
                <w:szCs w:val="19"/>
              </w:rPr>
              <w:t>AS-2</w:t>
            </w:r>
          </w:p>
        </w:tc>
        <w:tc>
          <w:tcPr>
            <w:tcW w:w="8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599A657" w14:textId="77777777" w:rsidR="00F87636" w:rsidRDefault="00000000">
            <w:pPr>
              <w:spacing w:after="20"/>
            </w:pPr>
            <w:r>
              <w:rPr>
                <w:sz w:val="19"/>
                <w:szCs w:val="19"/>
              </w:rPr>
              <w:t>TCG registers the platform's clients and SSH keys and issues per-environment credentials and partnerIds, with dev endpoints around week 6.</w:t>
            </w:r>
          </w:p>
        </w:tc>
      </w:tr>
      <w:tr w:rsidR="00F87636" w14:paraId="15EDFD7B"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A9C71C2" w14:textId="77777777" w:rsidR="00F87636" w:rsidRDefault="00000000">
            <w:pPr>
              <w:spacing w:after="20"/>
            </w:pPr>
            <w:r>
              <w:rPr>
                <w:sz w:val="19"/>
                <w:szCs w:val="19"/>
              </w:rPr>
              <w:t>AS-3</w:t>
            </w:r>
          </w:p>
        </w:tc>
        <w:tc>
          <w:tcPr>
            <w:tcW w:w="8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EC4FB6A" w14:textId="77777777" w:rsidR="00F87636" w:rsidRDefault="00000000">
            <w:pPr>
              <w:spacing w:after="20"/>
            </w:pPr>
            <w:r>
              <w:rPr>
                <w:sz w:val="19"/>
                <w:szCs w:val="19"/>
              </w:rPr>
              <w:t>Each subscriber can receive data through at least one pack transport (REST, SFTP, file, webhook) and can supply the enrichment elements their systems require.</w:t>
            </w:r>
          </w:p>
        </w:tc>
      </w:tr>
      <w:tr w:rsidR="00F87636" w14:paraId="5675974C"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62227C8" w14:textId="77777777" w:rsidR="00F87636" w:rsidRDefault="00000000">
            <w:pPr>
              <w:spacing w:after="20"/>
            </w:pPr>
            <w:r>
              <w:rPr>
                <w:sz w:val="19"/>
                <w:szCs w:val="19"/>
              </w:rPr>
              <w:t>AS-4</w:t>
            </w:r>
          </w:p>
        </w:tc>
        <w:tc>
          <w:tcPr>
            <w:tcW w:w="8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75D042A" w14:textId="77777777" w:rsidR="00F87636" w:rsidRDefault="00000000">
            <w:pPr>
              <w:spacing w:after="20"/>
            </w:pPr>
            <w:r>
              <w:rPr>
                <w:sz w:val="19"/>
                <w:szCs w:val="19"/>
              </w:rPr>
              <w:t>Subscriber commercial teams operate the curation workflow; the platform does not assume a fully automated flow.</w:t>
            </w:r>
          </w:p>
        </w:tc>
      </w:tr>
      <w:tr w:rsidR="00F87636" w14:paraId="72883C4B"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83A28DB" w14:textId="77777777" w:rsidR="00F87636" w:rsidRDefault="00000000">
            <w:pPr>
              <w:spacing w:after="20"/>
            </w:pPr>
            <w:r>
              <w:rPr>
                <w:sz w:val="19"/>
                <w:szCs w:val="19"/>
              </w:rPr>
              <w:t>AS-5</w:t>
            </w:r>
          </w:p>
        </w:tc>
        <w:tc>
          <w:tcPr>
            <w:tcW w:w="8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A3E4920" w14:textId="77777777" w:rsidR="00F87636" w:rsidRDefault="00000000">
            <w:pPr>
              <w:spacing w:after="20"/>
            </w:pPr>
            <w:r>
              <w:rPr>
                <w:sz w:val="19"/>
                <w:szCs w:val="19"/>
              </w:rPr>
              <w:t>The build is greenfield: no mandated reuse of Dataverse, Power Apps, the Lincolnshire Newton fork, or the MDDI framework. (If reuse becomes mandatory, the affected layer decision is revisited by ADR; the requirement statement in this document is runtime-agnostic.)</w:t>
            </w:r>
          </w:p>
        </w:tc>
      </w:tr>
    </w:tbl>
    <w:p w14:paraId="6F7E0A1F" w14:textId="77777777" w:rsidR="00F87636" w:rsidRDefault="00000000">
      <w:pPr>
        <w:pStyle w:val="Heading2"/>
        <w:spacing w:before="280" w:after="160"/>
      </w:pPr>
      <w:bookmarkStart w:id="65" w:name="_Toc239760117"/>
      <w:r>
        <w:rPr>
          <w:b/>
          <w:bCs/>
          <w:color w:val="1D4ED8"/>
        </w:rPr>
        <w:t>22.2  Dependencies</w:t>
      </w:r>
      <w:bookmarkEnd w:id="6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00"/>
      </w:tblGrid>
      <w:tr w:rsidR="00F87636" w14:paraId="467FF48B" w14:textId="77777777">
        <w:tblPrEx>
          <w:tblCellMar>
            <w:top w:w="0" w:type="dxa"/>
            <w:bottom w:w="0" w:type="dxa"/>
          </w:tblCellMar>
        </w:tblPrEx>
        <w:trPr>
          <w:cantSplit/>
          <w:tblHeader/>
        </w:trPr>
        <w:tc>
          <w:tcPr>
            <w:tcW w:w="8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51573149" w14:textId="77777777" w:rsidR="00F87636" w:rsidRDefault="00000000">
            <w:pPr>
              <w:spacing w:after="20"/>
            </w:pPr>
            <w:r>
              <w:rPr>
                <w:b/>
                <w:bCs/>
                <w:color w:val="FFFFFF"/>
                <w:sz w:val="20"/>
                <w:szCs w:val="20"/>
              </w:rPr>
              <w:t>Ref</w:t>
            </w:r>
          </w:p>
        </w:tc>
        <w:tc>
          <w:tcPr>
            <w:tcW w:w="85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190A9843" w14:textId="77777777" w:rsidR="00F87636" w:rsidRDefault="00000000">
            <w:pPr>
              <w:spacing w:after="20"/>
            </w:pPr>
            <w:r>
              <w:rPr>
                <w:b/>
                <w:bCs/>
                <w:color w:val="FFFFFF"/>
                <w:sz w:val="20"/>
                <w:szCs w:val="20"/>
              </w:rPr>
              <w:t>Dependency</w:t>
            </w:r>
          </w:p>
        </w:tc>
      </w:tr>
      <w:tr w:rsidR="00F87636" w14:paraId="5DE9FD3C"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5D546CC" w14:textId="77777777" w:rsidR="00F87636" w:rsidRDefault="00000000">
            <w:pPr>
              <w:spacing w:after="20"/>
            </w:pPr>
            <w:r>
              <w:rPr>
                <w:sz w:val="19"/>
                <w:szCs w:val="19"/>
              </w:rPr>
              <w:t>D-1</w:t>
            </w:r>
          </w:p>
        </w:tc>
        <w:tc>
          <w:tcPr>
            <w:tcW w:w="8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209D2D4" w14:textId="77777777" w:rsidR="00F87636" w:rsidRDefault="00000000">
            <w:pPr>
              <w:spacing w:after="20"/>
            </w:pPr>
            <w:r>
              <w:rPr>
                <w:sz w:val="19"/>
                <w:szCs w:val="19"/>
              </w:rPr>
              <w:t>FOP spec baseline v1.0 and stable JSON Schemas (TCG committed to baseline after ISM feedback); change control thereafter via TCG steerco.</w:t>
            </w:r>
          </w:p>
        </w:tc>
      </w:tr>
      <w:tr w:rsidR="00F87636" w14:paraId="1B40171C"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4A4C80D" w14:textId="77777777" w:rsidR="00F87636" w:rsidRDefault="00000000">
            <w:pPr>
              <w:spacing w:after="20"/>
            </w:pPr>
            <w:r>
              <w:rPr>
                <w:sz w:val="19"/>
                <w:szCs w:val="19"/>
              </w:rPr>
              <w:t>D-2</w:t>
            </w:r>
          </w:p>
        </w:tc>
        <w:tc>
          <w:tcPr>
            <w:tcW w:w="8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09B9215" w14:textId="77777777" w:rsidR="00F87636" w:rsidRDefault="00000000">
            <w:pPr>
              <w:spacing w:after="20"/>
            </w:pPr>
            <w:r>
              <w:rPr>
                <w:sz w:val="19"/>
                <w:szCs w:val="19"/>
              </w:rPr>
              <w:t>TCG cutover/transition template (master-data split, NSL-last-order / catalogue-item-first-EDN scenarios) — shapes the cutover runbooks.</w:t>
            </w:r>
          </w:p>
        </w:tc>
      </w:tr>
      <w:tr w:rsidR="00F87636" w14:paraId="1A4299BE"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4C33ACF" w14:textId="77777777" w:rsidR="00F87636" w:rsidRDefault="00000000">
            <w:pPr>
              <w:spacing w:after="20"/>
            </w:pPr>
            <w:r>
              <w:rPr>
                <w:sz w:val="19"/>
                <w:szCs w:val="19"/>
              </w:rPr>
              <w:t>D-3</w:t>
            </w:r>
          </w:p>
        </w:tc>
        <w:tc>
          <w:tcPr>
            <w:tcW w:w="8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0B3BC10" w14:textId="77777777" w:rsidR="00F87636" w:rsidRDefault="00000000">
            <w:pPr>
              <w:spacing w:after="20"/>
            </w:pPr>
            <w:r>
              <w:rPr>
                <w:sz w:val="19"/>
                <w:szCs w:val="19"/>
              </w:rPr>
              <w:t>Confirmed operating-model clocks: order cutoff (03:30 → 02:00 proposal), master-data change windows, API call cutoff points.</w:t>
            </w:r>
          </w:p>
        </w:tc>
      </w:tr>
      <w:tr w:rsidR="00F87636" w14:paraId="314453FC"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810BF08" w14:textId="77777777" w:rsidR="00F87636" w:rsidRDefault="00000000">
            <w:pPr>
              <w:spacing w:after="20"/>
            </w:pPr>
            <w:r>
              <w:rPr>
                <w:sz w:val="19"/>
                <w:szCs w:val="19"/>
              </w:rPr>
              <w:t>D-4</w:t>
            </w:r>
          </w:p>
        </w:tc>
        <w:tc>
          <w:tcPr>
            <w:tcW w:w="85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57D4172" w14:textId="77777777" w:rsidR="00F87636" w:rsidRDefault="00000000">
            <w:pPr>
              <w:spacing w:after="20"/>
            </w:pPr>
            <w:r>
              <w:rPr>
                <w:sz w:val="19"/>
                <w:szCs w:val="19"/>
              </w:rPr>
              <w:t>FOP rate limits (raised in ISM workshops, unanswered) — finalises polling concurrency and back-off configuration.</w:t>
            </w:r>
          </w:p>
        </w:tc>
      </w:tr>
      <w:tr w:rsidR="00F87636" w14:paraId="52CA7897"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556AC69" w14:textId="77777777" w:rsidR="00F87636" w:rsidRDefault="00000000">
            <w:pPr>
              <w:spacing w:after="20"/>
            </w:pPr>
            <w:r>
              <w:rPr>
                <w:sz w:val="19"/>
                <w:szCs w:val="19"/>
              </w:rPr>
              <w:t>D-5</w:t>
            </w:r>
          </w:p>
        </w:tc>
        <w:tc>
          <w:tcPr>
            <w:tcW w:w="85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9210506" w14:textId="77777777" w:rsidR="00F87636" w:rsidRDefault="00000000">
            <w:pPr>
              <w:spacing w:after="20"/>
            </w:pPr>
            <w:r>
              <w:rPr>
                <w:sz w:val="19"/>
                <w:szCs w:val="19"/>
              </w:rPr>
              <w:t>Per-subscriber destination details and credentials at onboarding time (drives each pack and cell manifest).</w:t>
            </w:r>
          </w:p>
        </w:tc>
      </w:tr>
    </w:tbl>
    <w:p w14:paraId="3C8128A6" w14:textId="77777777" w:rsidR="00F87636" w:rsidRDefault="00000000">
      <w:pPr>
        <w:pStyle w:val="Heading2"/>
        <w:spacing w:before="280" w:after="160"/>
      </w:pPr>
      <w:bookmarkStart w:id="66" w:name="_Toc239760118"/>
      <w:r>
        <w:rPr>
          <w:b/>
          <w:bCs/>
          <w:color w:val="1D4ED8"/>
        </w:rPr>
        <w:t>22.3  Risks</w:t>
      </w:r>
      <w:bookmarkEnd w:id="6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900"/>
        <w:gridCol w:w="4600"/>
      </w:tblGrid>
      <w:tr w:rsidR="00F87636" w14:paraId="6990AF22" w14:textId="77777777">
        <w:tblPrEx>
          <w:tblCellMar>
            <w:top w:w="0" w:type="dxa"/>
            <w:bottom w:w="0" w:type="dxa"/>
          </w:tblCellMar>
        </w:tblPrEx>
        <w:trPr>
          <w:cantSplit/>
          <w:tblHeader/>
        </w:trPr>
        <w:tc>
          <w:tcPr>
            <w:tcW w:w="8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2014272" w14:textId="77777777" w:rsidR="00F87636" w:rsidRDefault="00000000">
            <w:pPr>
              <w:spacing w:after="20"/>
            </w:pPr>
            <w:r>
              <w:rPr>
                <w:b/>
                <w:bCs/>
                <w:color w:val="FFFFFF"/>
                <w:sz w:val="20"/>
                <w:szCs w:val="20"/>
              </w:rPr>
              <w:t>Ref</w:t>
            </w:r>
          </w:p>
        </w:tc>
        <w:tc>
          <w:tcPr>
            <w:tcW w:w="39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55ED699" w14:textId="77777777" w:rsidR="00F87636" w:rsidRDefault="00000000">
            <w:pPr>
              <w:spacing w:after="20"/>
            </w:pPr>
            <w:r>
              <w:rPr>
                <w:b/>
                <w:bCs/>
                <w:color w:val="FFFFFF"/>
                <w:sz w:val="20"/>
                <w:szCs w:val="20"/>
              </w:rPr>
              <w:t>Risk</w:t>
            </w:r>
          </w:p>
        </w:tc>
        <w:tc>
          <w:tcPr>
            <w:tcW w:w="46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625B747C" w14:textId="77777777" w:rsidR="00F87636" w:rsidRDefault="00000000">
            <w:pPr>
              <w:spacing w:after="20"/>
            </w:pPr>
            <w:r>
              <w:rPr>
                <w:b/>
                <w:bCs/>
                <w:color w:val="FFFFFF"/>
                <w:sz w:val="20"/>
                <w:szCs w:val="20"/>
              </w:rPr>
              <w:t>Mitigation</w:t>
            </w:r>
          </w:p>
        </w:tc>
      </w:tr>
      <w:tr w:rsidR="00F87636" w14:paraId="533878E0"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E9B8F61" w14:textId="77777777" w:rsidR="00F87636" w:rsidRDefault="00000000">
            <w:pPr>
              <w:spacing w:after="20"/>
            </w:pPr>
            <w:r>
              <w:rPr>
                <w:sz w:val="19"/>
                <w:szCs w:val="19"/>
              </w:rPr>
              <w:t>R-1</w:t>
            </w:r>
          </w:p>
        </w:tc>
        <w:tc>
          <w:tcPr>
            <w:tcW w:w="3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0D868E2" w14:textId="77777777" w:rsidR="00F87636" w:rsidRDefault="00000000">
            <w:pPr>
              <w:spacing w:after="20"/>
            </w:pPr>
            <w:r>
              <w:rPr>
                <w:sz w:val="19"/>
                <w:szCs w:val="19"/>
              </w:rPr>
              <w:t>FOP contract churn between v0.4.0 and baseline forces rework.</w:t>
            </w:r>
          </w:p>
        </w:tc>
        <w:tc>
          <w:tcPr>
            <w:tcW w:w="4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93C8EA0" w14:textId="77777777" w:rsidR="00F87636" w:rsidRDefault="00000000">
            <w:pPr>
              <w:spacing w:after="20"/>
            </w:pPr>
            <w:r>
              <w:rPr>
                <w:sz w:val="19"/>
                <w:szCs w:val="19"/>
              </w:rPr>
              <w:t>Generated client + validation structs make churn a compile error in one package; mocks version with the spec; canonical stores as-is so churn cost stays at the edge. Track TCG change control.</w:t>
            </w:r>
          </w:p>
        </w:tc>
      </w:tr>
      <w:tr w:rsidR="00F87636" w14:paraId="4D6C9CDB"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88200AB" w14:textId="77777777" w:rsidR="00F87636" w:rsidRDefault="00000000">
            <w:pPr>
              <w:spacing w:after="20"/>
            </w:pPr>
            <w:r>
              <w:rPr>
                <w:sz w:val="19"/>
                <w:szCs w:val="19"/>
              </w:rPr>
              <w:t>R-2</w:t>
            </w:r>
          </w:p>
        </w:tc>
        <w:tc>
          <w:tcPr>
            <w:tcW w:w="3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E606B0C" w14:textId="77777777" w:rsidR="00F87636" w:rsidRDefault="00000000">
            <w:pPr>
              <w:spacing w:after="20"/>
            </w:pPr>
            <w:r>
              <w:rPr>
                <w:sz w:val="19"/>
                <w:szCs w:val="19"/>
              </w:rPr>
              <w:t>The 7-day delta window is exceeded after an outage, causing silent gaps.</w:t>
            </w:r>
          </w:p>
        </w:tc>
        <w:tc>
          <w:tcPr>
            <w:tcW w:w="4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3F79DC7" w14:textId="77777777" w:rsidR="00F87636" w:rsidRDefault="00000000">
            <w:pPr>
              <w:spacing w:after="20"/>
            </w:pPr>
            <w:r>
              <w:rPr>
                <w:sz w:val="19"/>
                <w:szCs w:val="19"/>
              </w:rPr>
              <w:t>Watermark-stall alerting; loud workflow failure into the re-baseline runbook (weekly full feed + single-record endpoints); never a silent invalid request.</w:t>
            </w:r>
          </w:p>
        </w:tc>
      </w:tr>
      <w:tr w:rsidR="00F87636" w14:paraId="14A449E7"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ACA54EC" w14:textId="77777777" w:rsidR="00F87636" w:rsidRDefault="00000000">
            <w:pPr>
              <w:spacing w:after="20"/>
            </w:pPr>
            <w:r>
              <w:rPr>
                <w:sz w:val="19"/>
                <w:szCs w:val="19"/>
              </w:rPr>
              <w:t>R-3</w:t>
            </w:r>
          </w:p>
        </w:tc>
        <w:tc>
          <w:tcPr>
            <w:tcW w:w="3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F28D9FF" w14:textId="77777777" w:rsidR="00F87636" w:rsidRDefault="00000000">
            <w:pPr>
              <w:spacing w:after="20"/>
            </w:pPr>
            <w:r>
              <w:rPr>
                <w:sz w:val="19"/>
                <w:szCs w:val="19"/>
              </w:rPr>
              <w:t>Duplicate or lost orders during cutover damage trust.</w:t>
            </w:r>
          </w:p>
        </w:tc>
        <w:tc>
          <w:tcPr>
            <w:tcW w:w="4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D3FD391" w14:textId="77777777" w:rsidR="00F87636" w:rsidRDefault="00000000">
            <w:pPr>
              <w:spacing w:after="20"/>
            </w:pPr>
            <w:r>
              <w:rPr>
                <w:sz w:val="19"/>
                <w:szCs w:val="19"/>
              </w:rPr>
              <w:t>Idempotency by store order reference proven by oracle; staged orders with full acknowledgement audit; per-subscriber reviewed-relay option; rejection payloads first-class in mocks and tests.</w:t>
            </w:r>
          </w:p>
        </w:tc>
      </w:tr>
      <w:tr w:rsidR="00F87636" w14:paraId="1CCE9855"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DB3EFDE" w14:textId="77777777" w:rsidR="00F87636" w:rsidRDefault="00000000">
            <w:pPr>
              <w:spacing w:after="20"/>
            </w:pPr>
            <w:r>
              <w:rPr>
                <w:sz w:val="19"/>
                <w:szCs w:val="19"/>
              </w:rPr>
              <w:t>R-4</w:t>
            </w:r>
          </w:p>
        </w:tc>
        <w:tc>
          <w:tcPr>
            <w:tcW w:w="3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B060664" w14:textId="77777777" w:rsidR="00F87636" w:rsidRDefault="00000000">
            <w:pPr>
              <w:spacing w:after="20"/>
            </w:pPr>
            <w:r>
              <w:rPr>
                <w:sz w:val="19"/>
                <w:szCs w:val="19"/>
              </w:rPr>
              <w:t>Temporal workflow-determinism rules trip up early agent-written workflows.</w:t>
            </w:r>
          </w:p>
        </w:tc>
        <w:tc>
          <w:tcPr>
            <w:tcW w:w="4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1301627" w14:textId="77777777" w:rsidR="00F87636" w:rsidRDefault="00000000">
            <w:pPr>
              <w:spacing w:after="20"/>
            </w:pPr>
            <w:r>
              <w:rPr>
                <w:sz w:val="19"/>
                <w:szCs w:val="19"/>
              </w:rPr>
              <w:t>Determinism rules carried in the tcg-service and ism-service DPDs; replay tests in CI; the walking skeleton exercises them in anger in week one.</w:t>
            </w:r>
          </w:p>
        </w:tc>
      </w:tr>
      <w:tr w:rsidR="00F87636" w14:paraId="5098F5BA"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CB6B744" w14:textId="77777777" w:rsidR="00F87636" w:rsidRDefault="00000000">
            <w:pPr>
              <w:spacing w:after="20"/>
            </w:pPr>
            <w:r>
              <w:rPr>
                <w:sz w:val="19"/>
                <w:szCs w:val="19"/>
              </w:rPr>
              <w:lastRenderedPageBreak/>
              <w:t>R-5</w:t>
            </w:r>
          </w:p>
        </w:tc>
        <w:tc>
          <w:tcPr>
            <w:tcW w:w="3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8A182FF" w14:textId="77777777" w:rsidR="00F87636" w:rsidRDefault="00000000">
            <w:pPr>
              <w:spacing w:after="20"/>
            </w:pPr>
            <w:r>
              <w:rPr>
                <w:sz w:val="19"/>
                <w:szCs w:val="19"/>
              </w:rPr>
              <w:t>Cell sprawl: per-subscriber manifests drift into snowflake configuration.</w:t>
            </w:r>
          </w:p>
        </w:tc>
        <w:tc>
          <w:tcPr>
            <w:tcW w:w="4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72B3B90" w14:textId="77777777" w:rsidR="00F87636" w:rsidRDefault="00000000">
            <w:pPr>
              <w:spacing w:after="20"/>
            </w:pPr>
            <w:r>
              <w:rPr>
                <w:sz w:val="19"/>
                <w:szCs w:val="19"/>
              </w:rPr>
              <w:t>Manifests are schema-validated against one struct; cells are identical binaries; unknown fields fail the build. Divergence beyond the schema is structurally impossible.</w:t>
            </w:r>
          </w:p>
        </w:tc>
      </w:tr>
      <w:tr w:rsidR="00F87636" w14:paraId="4FDBCDC5"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717C880" w14:textId="77777777" w:rsidR="00F87636" w:rsidRDefault="00000000">
            <w:pPr>
              <w:spacing w:after="20"/>
            </w:pPr>
            <w:r>
              <w:rPr>
                <w:sz w:val="19"/>
                <w:szCs w:val="19"/>
              </w:rPr>
              <w:t>R-6</w:t>
            </w:r>
          </w:p>
        </w:tc>
        <w:tc>
          <w:tcPr>
            <w:tcW w:w="3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6738782" w14:textId="77777777" w:rsidR="00F87636" w:rsidRDefault="00000000">
            <w:pPr>
              <w:spacing w:after="20"/>
            </w:pPr>
            <w:r>
              <w:rPr>
                <w:sz w:val="19"/>
                <w:szCs w:val="19"/>
              </w:rPr>
              <w:t>The knowledge graph drifts from the code or quietly stops rebuilding.</w:t>
            </w:r>
          </w:p>
        </w:tc>
        <w:tc>
          <w:tcPr>
            <w:tcW w:w="4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92231C3" w14:textId="77777777" w:rsidR="00F87636" w:rsidRDefault="00000000">
            <w:pPr>
              <w:spacing w:after="20"/>
            </w:pPr>
            <w:r>
              <w:rPr>
                <w:sz w:val="19"/>
                <w:szCs w:val="19"/>
              </w:rPr>
              <w:t>D9 makes staleness a build failure (SHA check); the freshness oracle runs on every merge; no hand-edit path exists.</w:t>
            </w:r>
          </w:p>
        </w:tc>
      </w:tr>
      <w:tr w:rsidR="00F87636" w14:paraId="366BDC90"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E71E6CB" w14:textId="77777777" w:rsidR="00F87636" w:rsidRDefault="00000000">
            <w:pPr>
              <w:spacing w:after="20"/>
            </w:pPr>
            <w:r>
              <w:rPr>
                <w:sz w:val="19"/>
                <w:szCs w:val="19"/>
              </w:rPr>
              <w:t>R-7</w:t>
            </w:r>
          </w:p>
        </w:tc>
        <w:tc>
          <w:tcPr>
            <w:tcW w:w="3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2AFC6A0" w14:textId="77777777" w:rsidR="00F87636" w:rsidRDefault="00000000">
            <w:pPr>
              <w:spacing w:after="20"/>
            </w:pPr>
            <w:r>
              <w:rPr>
                <w:sz w:val="19"/>
                <w:szCs w:val="19"/>
              </w:rPr>
              <w:t>Curation burden is underestimated by subscriber commercial teams.</w:t>
            </w:r>
          </w:p>
        </w:tc>
        <w:tc>
          <w:tcPr>
            <w:tcW w:w="4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C63A98A" w14:textId="77777777" w:rsidR="00F87636" w:rsidRDefault="00000000">
            <w:pPr>
              <w:spacing w:after="20"/>
            </w:pPr>
            <w:r>
              <w:rPr>
                <w:sz w:val="19"/>
                <w:szCs w:val="19"/>
              </w:rPr>
              <w:t>Bulk subscribe by hierarchy/supplier; auto-approve rules with named sign-off; blind-approval metrics surfaced in the console.</w:t>
            </w:r>
          </w:p>
        </w:tc>
      </w:tr>
      <w:tr w:rsidR="00F87636" w14:paraId="42D0B72C"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2F95A73" w14:textId="77777777" w:rsidR="00F87636" w:rsidRDefault="00000000">
            <w:pPr>
              <w:spacing w:after="20"/>
            </w:pPr>
            <w:r>
              <w:rPr>
                <w:sz w:val="19"/>
                <w:szCs w:val="19"/>
              </w:rPr>
              <w:t>R-8</w:t>
            </w:r>
          </w:p>
        </w:tc>
        <w:tc>
          <w:tcPr>
            <w:tcW w:w="3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30FDB53" w14:textId="77777777" w:rsidR="00F87636" w:rsidRDefault="00000000">
            <w:pPr>
              <w:spacing w:after="20"/>
            </w:pPr>
            <w:r>
              <w:rPr>
                <w:sz w:val="19"/>
                <w:szCs w:val="19"/>
              </w:rPr>
              <w:t>TCG dev endpoints slip past week 6.</w:t>
            </w:r>
          </w:p>
        </w:tc>
        <w:tc>
          <w:tcPr>
            <w:tcW w:w="4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25DC80E" w14:textId="77777777" w:rsidR="00F87636" w:rsidRDefault="00000000">
            <w:pPr>
              <w:spacing w:after="20"/>
            </w:pPr>
            <w:r>
              <w:rPr>
                <w:sz w:val="19"/>
                <w:szCs w:val="19"/>
              </w:rPr>
              <w:t>Mocks-first is the plan of record, not a contingency (KDD-18); swap is configuration only; UAT rehearsal replans against endpoint availability.</w:t>
            </w:r>
          </w:p>
        </w:tc>
      </w:tr>
      <w:tr w:rsidR="00F87636" w14:paraId="69F54F5F"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C0FF703" w14:textId="77777777" w:rsidR="00F87636" w:rsidRDefault="00000000">
            <w:pPr>
              <w:spacing w:after="20"/>
            </w:pPr>
            <w:r>
              <w:rPr>
                <w:sz w:val="19"/>
                <w:szCs w:val="19"/>
              </w:rPr>
              <w:t>R-9</w:t>
            </w:r>
          </w:p>
        </w:tc>
        <w:tc>
          <w:tcPr>
            <w:tcW w:w="3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B841ABC" w14:textId="77777777" w:rsidR="00F87636" w:rsidRDefault="00000000">
            <w:pPr>
              <w:spacing w:after="20"/>
            </w:pPr>
            <w:r>
              <w:rPr>
                <w:sz w:val="19"/>
                <w:szCs w:val="19"/>
              </w:rPr>
              <w:t>Competition-law challenge to shared-platform handling of subscriber data.</w:t>
            </w:r>
          </w:p>
        </w:tc>
        <w:tc>
          <w:tcPr>
            <w:tcW w:w="46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60286AC" w14:textId="77777777" w:rsidR="00F87636" w:rsidRDefault="00000000">
            <w:pPr>
              <w:spacing w:after="20"/>
            </w:pPr>
            <w:r>
              <w:rPr>
                <w:sz w:val="19"/>
                <w:szCs w:val="19"/>
              </w:rPr>
              <w:t>The two-wall partition (cells + RLS) designed in from day one with a CI proof; no cross-subscriber surface anywhere; legal review of the partition design before canary onboarding.</w:t>
            </w:r>
          </w:p>
        </w:tc>
      </w:tr>
      <w:tr w:rsidR="00F87636" w14:paraId="6CC883A0" w14:textId="77777777">
        <w:tblPrEx>
          <w:tblCellMar>
            <w:top w:w="0" w:type="dxa"/>
            <w:bottom w:w="0" w:type="dxa"/>
          </w:tblCellMar>
        </w:tblPrEx>
        <w:trPr>
          <w:cantSplit/>
        </w:trPr>
        <w:tc>
          <w:tcPr>
            <w:tcW w:w="8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2F2D605" w14:textId="77777777" w:rsidR="00F87636" w:rsidRDefault="00000000">
            <w:pPr>
              <w:spacing w:after="20"/>
            </w:pPr>
            <w:r>
              <w:rPr>
                <w:sz w:val="19"/>
                <w:szCs w:val="19"/>
              </w:rPr>
              <w:t>R-10</w:t>
            </w:r>
          </w:p>
        </w:tc>
        <w:tc>
          <w:tcPr>
            <w:tcW w:w="3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9091D83" w14:textId="77777777" w:rsidR="00F87636" w:rsidRDefault="00000000">
            <w:pPr>
              <w:spacing w:after="20"/>
            </w:pPr>
            <w:r>
              <w:rPr>
                <w:sz w:val="19"/>
                <w:szCs w:val="19"/>
              </w:rPr>
              <w:t>Go skills thinner than TypeScript across the wider UST bench.</w:t>
            </w:r>
          </w:p>
        </w:tc>
        <w:tc>
          <w:tcPr>
            <w:tcW w:w="46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DBDFE10" w14:textId="77777777" w:rsidR="00F87636" w:rsidRDefault="00000000">
            <w:pPr>
              <w:spacing w:after="20"/>
            </w:pPr>
            <w:r>
              <w:rPr>
                <w:sz w:val="19"/>
                <w:szCs w:val="19"/>
              </w:rPr>
              <w:t>The delivery team is agent-first; Go's uniformity narrows the human review burden; DPDs and the context plane shorten onboarding; the managed-service surface is small (containers + managed Postgres + Temporal Cloud).</w:t>
            </w:r>
          </w:p>
        </w:tc>
      </w:tr>
    </w:tbl>
    <w:p w14:paraId="636E8CD4" w14:textId="77777777" w:rsidR="00F87636" w:rsidRDefault="00000000">
      <w:pPr>
        <w:pStyle w:val="Heading1"/>
        <w:spacing w:before="360" w:after="200"/>
      </w:pPr>
      <w:bookmarkStart w:id="67" w:name="_Toc239760119"/>
      <w:r>
        <w:rPr>
          <w:b/>
          <w:bCs/>
          <w:color w:val="0F172A"/>
        </w:rPr>
        <w:t>23  Delivery Approach and Build Sequencing</w:t>
      </w:r>
      <w:bookmarkEnd w:id="67"/>
    </w:p>
    <w:p w14:paraId="231D9D06" w14:textId="77777777" w:rsidR="00F87636" w:rsidRDefault="00000000">
      <w:pPr>
        <w:spacing w:after="160"/>
      </w:pPr>
      <w:r>
        <w:t>The operating model is the driving brief: specs are the product, agents generate, humans gate. Epics map to the layers plus Foundations and Conformance &amp; Cutover; every PBI carries the agent-spec template (context links, machine-checkable acceptance naming its oracle, principles touched). Sequencing: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3100"/>
      </w:tblGrid>
      <w:tr w:rsidR="00F87636" w14:paraId="473358C1" w14:textId="77777777">
        <w:tblPrEx>
          <w:tblCellMar>
            <w:top w:w="0" w:type="dxa"/>
            <w:bottom w:w="0" w:type="dxa"/>
          </w:tblCellMar>
        </w:tblPrEx>
        <w:trPr>
          <w:cantSplit/>
          <w:tblHeader/>
        </w:trPr>
        <w:tc>
          <w:tcPr>
            <w:tcW w:w="19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21DBA42" w14:textId="77777777" w:rsidR="00F87636" w:rsidRDefault="00000000">
            <w:pPr>
              <w:spacing w:after="20"/>
            </w:pPr>
            <w:r>
              <w:rPr>
                <w:b/>
                <w:bCs/>
                <w:color w:val="FFFFFF"/>
                <w:sz w:val="20"/>
                <w:szCs w:val="20"/>
              </w:rPr>
              <w:t>Stage</w:t>
            </w:r>
          </w:p>
        </w:tc>
        <w:tc>
          <w:tcPr>
            <w:tcW w:w="43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097F4FF8" w14:textId="77777777" w:rsidR="00F87636" w:rsidRDefault="00000000">
            <w:pPr>
              <w:spacing w:after="20"/>
            </w:pPr>
            <w:r>
              <w:rPr>
                <w:b/>
                <w:bCs/>
                <w:color w:val="FFFFFF"/>
                <w:sz w:val="20"/>
                <w:szCs w:val="20"/>
              </w:rPr>
              <w:t>Content</w:t>
            </w:r>
          </w:p>
        </w:tc>
        <w:tc>
          <w:tcPr>
            <w:tcW w:w="31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742B9656" w14:textId="77777777" w:rsidR="00F87636" w:rsidRDefault="00000000">
            <w:pPr>
              <w:spacing w:after="20"/>
            </w:pPr>
            <w:r>
              <w:rPr>
                <w:b/>
                <w:bCs/>
                <w:color w:val="FFFFFF"/>
                <w:sz w:val="20"/>
                <w:szCs w:val="20"/>
              </w:rPr>
              <w:t>Exit test</w:t>
            </w:r>
          </w:p>
        </w:tc>
      </w:tr>
      <w:tr w:rsidR="00F87636" w14:paraId="0726742C" w14:textId="77777777">
        <w:tblPrEx>
          <w:tblCellMar>
            <w:top w:w="0" w:type="dxa"/>
            <w:bottom w:w="0" w:type="dxa"/>
          </w:tblCellMar>
        </w:tblPrEx>
        <w:trPr>
          <w:cantSplit/>
        </w:trPr>
        <w:tc>
          <w:tcPr>
            <w:tcW w:w="1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7E0B32A" w14:textId="77777777" w:rsidR="00F87636" w:rsidRDefault="00000000">
            <w:pPr>
              <w:spacing w:after="20"/>
            </w:pPr>
            <w:r>
              <w:rPr>
                <w:sz w:val="19"/>
                <w:szCs w:val="19"/>
              </w:rPr>
              <w:t>0 · Foundations (wk 1)</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2461DF0" w14:textId="77777777" w:rsidR="00F87636" w:rsidRDefault="00000000">
            <w:pPr>
              <w:spacing w:after="20"/>
            </w:pPr>
            <w:r>
              <w:rPr>
                <w:sz w:val="19"/>
                <w:szCs w:val="19"/>
              </w:rPr>
              <w:t>Repos provisioned per section 18; seed pack dropped; monorepo scaffold; compose stack (Postgres, Temporal dev server, MinIO, mock-FOP + mock-SFTP from contracts/, Neo4j, two synthetic cells); CI with the oracle skeleton incl. graph extractors; Terraform for frts-dev.</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6F74532" w14:textId="77777777" w:rsidR="00F87636" w:rsidRDefault="00000000">
            <w:pPr>
              <w:spacing w:after="20"/>
            </w:pPr>
            <w:r>
              <w:rPr>
                <w:sz w:val="19"/>
                <w:szCs w:val="19"/>
              </w:rPr>
              <w:t>compose up green; first agent PR through the full gate; graph queryable over MCP with SHA = main.</w:t>
            </w:r>
          </w:p>
        </w:tc>
      </w:tr>
      <w:tr w:rsidR="00F87636" w14:paraId="7F2CC97E" w14:textId="77777777">
        <w:tblPrEx>
          <w:tblCellMar>
            <w:top w:w="0" w:type="dxa"/>
            <w:bottom w:w="0" w:type="dxa"/>
          </w:tblCellMar>
        </w:tblPrEx>
        <w:trPr>
          <w:cantSplit/>
        </w:trPr>
        <w:tc>
          <w:tcPr>
            <w:tcW w:w="1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94369C3" w14:textId="77777777" w:rsidR="00F87636" w:rsidRDefault="00000000">
            <w:pPr>
              <w:spacing w:after="20"/>
            </w:pPr>
            <w:r>
              <w:rPr>
                <w:sz w:val="19"/>
                <w:szCs w:val="19"/>
              </w:rPr>
              <w:t>1 · Walking skeleton (wk 1–2)</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A3D5D5E" w14:textId="77777777" w:rsidR="00F87636" w:rsidRDefault="00000000">
            <w:pPr>
              <w:spacing w:after="20"/>
            </w:pPr>
            <w:r>
              <w:rPr>
                <w:sz w:val="19"/>
                <w:szCs w:val="19"/>
              </w:rPr>
              <w:t>Wholesale Product end-to-end: poll → canonical → subscribe/enrich/approve in the SPA → one cell + CSV/SFTP pack → receipt; the order-relay slice on Temporal behind the durable port.</w:t>
            </w:r>
          </w:p>
        </w:tc>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F33BED4" w14:textId="77777777" w:rsidR="00F87636" w:rsidRDefault="00000000">
            <w:pPr>
              <w:spacing w:after="20"/>
            </w:pPr>
            <w:r>
              <w:rPr>
                <w:sz w:val="19"/>
                <w:szCs w:val="19"/>
              </w:rPr>
              <w:t>A mock TCG change lands in a subscriber-format file with a receipt; lineage answers 'where is my record?'; the isolation suite passes across two cells; workflow replay tests green.</w:t>
            </w:r>
          </w:p>
        </w:tc>
      </w:tr>
      <w:tr w:rsidR="00F87636" w14:paraId="127FAFB2" w14:textId="77777777">
        <w:tblPrEx>
          <w:tblCellMar>
            <w:top w:w="0" w:type="dxa"/>
            <w:bottom w:w="0" w:type="dxa"/>
          </w:tblCellMar>
        </w:tblPrEx>
        <w:trPr>
          <w:cantSplit/>
        </w:trPr>
        <w:tc>
          <w:tcPr>
            <w:tcW w:w="1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43AD7FD" w14:textId="77777777" w:rsidR="00F87636" w:rsidRDefault="00000000">
            <w:pPr>
              <w:spacing w:after="20"/>
            </w:pPr>
            <w:r>
              <w:rPr>
                <w:sz w:val="19"/>
                <w:szCs w:val="19"/>
              </w:rPr>
              <w:t>2 · Master data breadth (wk 2–5)</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07CF06F" w14:textId="77777777" w:rsidR="00F87636" w:rsidRDefault="00000000">
            <w:pPr>
              <w:spacing w:after="20"/>
            </w:pPr>
            <w:r>
              <w:rPr>
                <w:sz w:val="19"/>
                <w:szCs w:val="19"/>
              </w:rPr>
              <w:t>Remaining entities; watermark hardening + re-baseline; bulk subscribe; enrichment element configuration; cost &amp; promo watch; approval rules.</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4209EFA" w14:textId="77777777" w:rsidR="00F87636" w:rsidRDefault="00000000">
            <w:pPr>
              <w:spacing w:after="20"/>
            </w:pPr>
            <w:r>
              <w:rPr>
                <w:sz w:val="19"/>
                <w:szCs w:val="19"/>
              </w:rPr>
              <w:t>Two synthetic subscribers curate independently with zero cross-visibility and full audit.</w:t>
            </w:r>
          </w:p>
        </w:tc>
      </w:tr>
      <w:tr w:rsidR="00F87636" w14:paraId="3648305B" w14:textId="77777777">
        <w:tblPrEx>
          <w:tblCellMar>
            <w:top w:w="0" w:type="dxa"/>
            <w:bottom w:w="0" w:type="dxa"/>
          </w:tblCellMar>
        </w:tblPrEx>
        <w:trPr>
          <w:cantSplit/>
        </w:trPr>
        <w:tc>
          <w:tcPr>
            <w:tcW w:w="1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783EF18" w14:textId="77777777" w:rsidR="00F87636" w:rsidRDefault="00000000">
            <w:pPr>
              <w:spacing w:after="20"/>
            </w:pPr>
            <w:r>
              <w:rPr>
                <w:sz w:val="19"/>
                <w:szCs w:val="19"/>
              </w:rPr>
              <w:t>3 · Transactional + files (wk 4–7)</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2B7844BC" w14:textId="77777777" w:rsidR="00F87636" w:rsidRDefault="00000000">
            <w:pPr>
              <w:spacing w:after="20"/>
            </w:pPr>
            <w:r>
              <w:rPr>
                <w:sz w:val="19"/>
                <w:szCs w:val="19"/>
              </w:rPr>
              <w:t>FileFeedWorkflows for EDN, invoices, claims, condition contracts, planograms; outbound claim/PSV files; finance-bound packs.</w:t>
            </w:r>
          </w:p>
        </w:tc>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FF1B20B" w14:textId="77777777" w:rsidR="00F87636" w:rsidRDefault="00000000">
            <w:pPr>
              <w:spacing w:after="20"/>
            </w:pPr>
            <w:r>
              <w:rPr>
                <w:sz w:val="19"/>
                <w:szCs w:val="19"/>
              </w:rPr>
              <w:t>Documents land, link to orders/products, and distribute with receipts; originals archived and referenced.</w:t>
            </w:r>
          </w:p>
        </w:tc>
      </w:tr>
      <w:tr w:rsidR="00F87636" w14:paraId="707CC182" w14:textId="77777777">
        <w:tblPrEx>
          <w:tblCellMar>
            <w:top w:w="0" w:type="dxa"/>
            <w:bottom w:w="0" w:type="dxa"/>
          </w:tblCellMar>
        </w:tblPrEx>
        <w:trPr>
          <w:cantSplit/>
        </w:trPr>
        <w:tc>
          <w:tcPr>
            <w:tcW w:w="1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A73DD2B" w14:textId="77777777" w:rsidR="00F87636" w:rsidRDefault="00000000">
            <w:pPr>
              <w:spacing w:after="20"/>
            </w:pPr>
            <w:r>
              <w:rPr>
                <w:sz w:val="19"/>
                <w:szCs w:val="19"/>
              </w:rPr>
              <w:lastRenderedPageBreak/>
              <w:t>4 · Order return path (wk 6–9)</w:t>
            </w:r>
          </w:p>
        </w:tc>
        <w:tc>
          <w:tcPr>
            <w:tcW w:w="43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9F86063" w14:textId="77777777" w:rsidR="00F87636" w:rsidRDefault="00000000">
            <w:pPr>
              <w:spacing w:after="20"/>
            </w:pPr>
            <w:r>
              <w:rPr>
                <w:sz w:val="19"/>
                <w:szCs w:val="19"/>
              </w:rPr>
              <w:t>Cell intake (file + API); OrderRelayWorkflow hardening; acknowledgement and rejection hand-back; the reviewed-relay view.</w:t>
            </w:r>
          </w:p>
        </w:tc>
        <w:tc>
          <w:tcPr>
            <w:tcW w:w="31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8967E6B" w14:textId="77777777" w:rsidR="00F87636" w:rsidRDefault="00000000">
            <w:pPr>
              <w:spacing w:after="20"/>
            </w:pPr>
            <w:r>
              <w:rPr>
                <w:sz w:val="19"/>
                <w:szCs w:val="19"/>
              </w:rPr>
              <w:t>Beans rejection scenarios round-trip to the originating mock ISM with codes intact; duplicate submission provably no-ops.</w:t>
            </w:r>
          </w:p>
        </w:tc>
      </w:tr>
      <w:tr w:rsidR="00F87636" w14:paraId="1FFB062F" w14:textId="77777777">
        <w:tblPrEx>
          <w:tblCellMar>
            <w:top w:w="0" w:type="dxa"/>
            <w:bottom w:w="0" w:type="dxa"/>
          </w:tblCellMar>
        </w:tblPrEx>
        <w:trPr>
          <w:cantSplit/>
        </w:trPr>
        <w:tc>
          <w:tcPr>
            <w:tcW w:w="1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D1894FB" w14:textId="77777777" w:rsidR="00F87636" w:rsidRDefault="00000000">
            <w:pPr>
              <w:spacing w:after="20"/>
            </w:pPr>
            <w:r>
              <w:rPr>
                <w:sz w:val="19"/>
                <w:szCs w:val="19"/>
              </w:rPr>
              <w:t>5 · Conformance &amp; cutover (wk 8+)</w:t>
            </w:r>
          </w:p>
        </w:tc>
        <w:tc>
          <w:tcPr>
            <w:tcW w:w="43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3184BA8" w14:textId="77777777" w:rsidR="00F87636" w:rsidRDefault="00000000">
            <w:pPr>
              <w:spacing w:after="20"/>
            </w:pPr>
            <w:r>
              <w:rPr>
                <w:sz w:val="19"/>
                <w:szCs w:val="19"/>
              </w:rPr>
              <w:t>Conformance pack against TCG dev endpoints (config swap); UAT rehearsal; cutover + rollback runbooks per the TCG transition template; canary cell onboarding playbook.</w:t>
            </w:r>
          </w:p>
        </w:tc>
        <w:tc>
          <w:tcPr>
            <w:tcW w:w="31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61B4A37" w14:textId="77777777" w:rsidR="00F87636" w:rsidRDefault="00000000">
            <w:pPr>
              <w:spacing w:after="20"/>
            </w:pPr>
            <w:r>
              <w:rPr>
                <w:sz w:val="19"/>
                <w:szCs w:val="19"/>
              </w:rPr>
              <w:t>Full regression green against TCG dev endpoints; cutover rehearsal signed off.</w:t>
            </w:r>
          </w:p>
        </w:tc>
      </w:tr>
    </w:tbl>
    <w:p w14:paraId="7C29099E" w14:textId="77777777" w:rsidR="00F87636" w:rsidRDefault="00F87636">
      <w:pPr>
        <w:spacing w:after="60"/>
      </w:pPr>
    </w:p>
    <w:p w14:paraId="4D62FCB7" w14:textId="77777777" w:rsidR="00F87636" w:rsidRDefault="00000000">
      <w:pPr>
        <w:spacing w:after="160"/>
      </w:pPr>
      <w:r>
        <w:t>Stages 2–4 parallelise across the team once the skeleton proves the pattern. The skeleton is deliberately narrow and is the first thing agents build end-to-end from specs.</w:t>
      </w:r>
    </w:p>
    <w:p w14:paraId="6985DE4E" w14:textId="77777777" w:rsidR="00F87636" w:rsidRDefault="00000000">
      <w:pPr>
        <w:pStyle w:val="Heading1"/>
        <w:spacing w:before="360" w:after="200"/>
      </w:pPr>
      <w:bookmarkStart w:id="68" w:name="_Toc239760120"/>
      <w:r>
        <w:rPr>
          <w:b/>
          <w:bCs/>
          <w:color w:val="0F172A"/>
        </w:rPr>
        <w:t>24  Open Items for Team Baseline</w:t>
      </w:r>
      <w:bookmarkEnd w:id="68"/>
    </w:p>
    <w:p w14:paraId="4FAE50C5" w14:textId="77777777" w:rsidR="00F87636" w:rsidRDefault="00000000">
      <w:pPr>
        <w:pStyle w:val="ListParagraph"/>
        <w:numPr>
          <w:ilvl w:val="0"/>
          <w:numId w:val="2"/>
        </w:numPr>
        <w:spacing w:after="100"/>
      </w:pPr>
      <w:r>
        <w:t>Confirm the NFR baselines of section 20 — set deliberately, not inherited.</w:t>
      </w:r>
    </w:p>
    <w:p w14:paraId="6D5D67C3" w14:textId="77777777" w:rsidR="00F87636" w:rsidRDefault="00000000">
      <w:pPr>
        <w:pStyle w:val="ListParagraph"/>
        <w:numPr>
          <w:ilvl w:val="0"/>
          <w:numId w:val="2"/>
        </w:numPr>
        <w:spacing w:after="100"/>
      </w:pPr>
      <w:r>
        <w:t>Context plane launch scope: which extractors are stage-0 (Go AST, SQL, OpenAPI proposed) versus fast-follow (ADO spec links); adopt the plane into the driving brief.</w:t>
      </w:r>
    </w:p>
    <w:p w14:paraId="336287A5" w14:textId="77777777" w:rsidR="00F87636" w:rsidRDefault="00000000">
      <w:pPr>
        <w:pStyle w:val="ListParagraph"/>
        <w:numPr>
          <w:ilvl w:val="0"/>
          <w:numId w:val="2"/>
        </w:numPr>
        <w:spacing w:after="100"/>
      </w:pPr>
      <w:r>
        <w:t>Neo4j hosting: Aura versus a container per environment (the data is derivable, so the bar is convenience).</w:t>
      </w:r>
    </w:p>
    <w:p w14:paraId="65FA9CAE" w14:textId="77777777" w:rsidR="00F87636" w:rsidRDefault="00000000">
      <w:pPr>
        <w:pStyle w:val="ListParagraph"/>
        <w:numPr>
          <w:ilvl w:val="0"/>
          <w:numId w:val="2"/>
        </w:numPr>
        <w:spacing w:after="100"/>
      </w:pPr>
      <w:r>
        <w:t>Temporal Cloud region and namespace layout for UK data-locality posture (self-host documented as the exit).</w:t>
      </w:r>
    </w:p>
    <w:p w14:paraId="5A59B3F3" w14:textId="77777777" w:rsidR="00F87636" w:rsidRDefault="00000000">
      <w:pPr>
        <w:pStyle w:val="ListParagraph"/>
        <w:numPr>
          <w:ilvl w:val="0"/>
          <w:numId w:val="2"/>
        </w:numPr>
        <w:spacing w:after="100"/>
      </w:pPr>
      <w:r>
        <w:t>Cell runtime confirmation: Container Apps versus starting on AKS if the team prefers one orchestrator story from day one.</w:t>
      </w:r>
    </w:p>
    <w:p w14:paraId="3E594AF8" w14:textId="77777777" w:rsidR="00F87636" w:rsidRDefault="00000000">
      <w:pPr>
        <w:pStyle w:val="ListParagraph"/>
        <w:numPr>
          <w:ilvl w:val="0"/>
          <w:numId w:val="2"/>
        </w:numPr>
        <w:spacing w:after="100"/>
      </w:pPr>
      <w:r>
        <w:t>OIDC provider default: Entra External ID versus Keycloak — the application is indifferent.</w:t>
      </w:r>
    </w:p>
    <w:p w14:paraId="029DCFD5" w14:textId="77777777" w:rsidR="00F87636" w:rsidRDefault="00000000">
      <w:pPr>
        <w:pStyle w:val="ListParagraph"/>
        <w:numPr>
          <w:ilvl w:val="0"/>
          <w:numId w:val="2"/>
        </w:numPr>
        <w:spacing w:after="100"/>
      </w:pPr>
      <w:r>
        <w:t>EDN path confirmation (SFTP baseline) once TCG publishes the definitive feed/API availability matrix — a per-feed configuration choice either way.</w:t>
      </w:r>
    </w:p>
    <w:p w14:paraId="7B3AD9A5" w14:textId="77777777" w:rsidR="00F87636" w:rsidRDefault="00000000">
      <w:pPr>
        <w:pStyle w:val="ListParagraph"/>
        <w:numPr>
          <w:ilvl w:val="0"/>
          <w:numId w:val="2"/>
        </w:numPr>
        <w:spacing w:after="100"/>
      </w:pPr>
      <w:r>
        <w:t>CODEOWNERS names, ADR owners and skill owners — placeholders in the seed pack, to fill at mobilisation.</w:t>
      </w:r>
    </w:p>
    <w:p w14:paraId="1BBC82C9" w14:textId="77777777" w:rsidR="00F87636" w:rsidRDefault="00000000">
      <w:pPr>
        <w:pStyle w:val="Heading1"/>
        <w:spacing w:before="360" w:after="200"/>
      </w:pPr>
      <w:bookmarkStart w:id="69" w:name="_Toc239760121"/>
      <w:r>
        <w:rPr>
          <w:b/>
          <w:bCs/>
          <w:color w:val="0F172A"/>
        </w:rPr>
        <w:t>25  Glossary</w:t>
      </w:r>
      <w:bookmarkEnd w:id="6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F87636" w14:paraId="74B7A430" w14:textId="77777777">
        <w:tblPrEx>
          <w:tblCellMar>
            <w:top w:w="0" w:type="dxa"/>
            <w:bottom w:w="0" w:type="dxa"/>
          </w:tblCellMar>
        </w:tblPrEx>
        <w:trPr>
          <w:cantSplit/>
          <w:tblHeader/>
        </w:trPr>
        <w:tc>
          <w:tcPr>
            <w:tcW w:w="24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29F21C88" w14:textId="77777777" w:rsidR="00F87636" w:rsidRDefault="00000000">
            <w:pPr>
              <w:spacing w:after="20"/>
            </w:pPr>
            <w:r>
              <w:rPr>
                <w:b/>
                <w:bCs/>
                <w:color w:val="FFFFFF"/>
                <w:sz w:val="20"/>
                <w:szCs w:val="20"/>
              </w:rPr>
              <w:t>Term</w:t>
            </w:r>
          </w:p>
        </w:tc>
        <w:tc>
          <w:tcPr>
            <w:tcW w:w="6900" w:type="dxa"/>
            <w:tcBorders>
              <w:top w:val="single" w:sz="4" w:space="0" w:color="94A3B8"/>
              <w:left w:val="single" w:sz="4" w:space="0" w:color="94A3B8"/>
              <w:bottom w:val="single" w:sz="4" w:space="0" w:color="94A3B8"/>
              <w:right w:val="single" w:sz="4" w:space="0" w:color="94A3B8"/>
            </w:tcBorders>
            <w:shd w:val="clear" w:color="auto" w:fill="0F172A"/>
            <w:tcMar>
              <w:top w:w="70" w:type="dxa"/>
              <w:left w:w="110" w:type="dxa"/>
              <w:bottom w:w="70" w:type="dxa"/>
              <w:right w:w="110" w:type="dxa"/>
            </w:tcMar>
            <w:vAlign w:val="center"/>
          </w:tcPr>
          <w:p w14:paraId="483D5A22" w14:textId="77777777" w:rsidR="00F87636" w:rsidRDefault="00000000">
            <w:pPr>
              <w:spacing w:after="20"/>
            </w:pPr>
            <w:r>
              <w:rPr>
                <w:b/>
                <w:bCs/>
                <w:color w:val="FFFFFF"/>
                <w:sz w:val="20"/>
                <w:szCs w:val="20"/>
              </w:rPr>
              <w:t>Meaning</w:t>
            </w:r>
          </w:p>
        </w:tc>
      </w:tr>
      <w:tr w:rsidR="00F87636" w14:paraId="3672784D"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422BD79" w14:textId="77777777" w:rsidR="00F87636" w:rsidRDefault="00000000">
            <w:pPr>
              <w:spacing w:after="20"/>
            </w:pPr>
            <w:r>
              <w:rPr>
                <w:sz w:val="19"/>
                <w:szCs w:val="19"/>
              </w:rPr>
              <w:t>TCG</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3CBA480" w14:textId="77777777" w:rsidR="00F87636" w:rsidRDefault="00000000">
            <w:pPr>
              <w:spacing w:after="20"/>
            </w:pPr>
            <w:r>
              <w:rPr>
                <w:sz w:val="19"/>
                <w:szCs w:val="19"/>
              </w:rPr>
              <w:t>The Co-operative Group — supplier and data master.</w:t>
            </w:r>
          </w:p>
        </w:tc>
      </w:tr>
      <w:tr w:rsidR="00F87636" w14:paraId="2DE08FC5"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07DE57B" w14:textId="77777777" w:rsidR="00F87636" w:rsidRDefault="00000000">
            <w:pPr>
              <w:spacing w:after="20"/>
            </w:pPr>
            <w:r>
              <w:rPr>
                <w:sz w:val="19"/>
                <w:szCs w:val="19"/>
              </w:rPr>
              <w:t>FRTS</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8D992C6" w14:textId="77777777" w:rsidR="00F87636" w:rsidRDefault="00000000">
            <w:pPr>
              <w:spacing w:after="20"/>
            </w:pPr>
            <w:r>
              <w:rPr>
                <w:sz w:val="19"/>
                <w:szCs w:val="19"/>
              </w:rPr>
              <w:t>Franchise Retail Trading Services — the TCG buying group the ISMs belong to.</w:t>
            </w:r>
          </w:p>
        </w:tc>
      </w:tr>
      <w:tr w:rsidR="00F87636" w14:paraId="6740F272"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AF84A3E" w14:textId="77777777" w:rsidR="00F87636" w:rsidRDefault="00000000">
            <w:pPr>
              <w:spacing w:after="20"/>
            </w:pPr>
            <w:r>
              <w:rPr>
                <w:sz w:val="19"/>
                <w:szCs w:val="19"/>
              </w:rPr>
              <w:t>FOP</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244DF8D" w14:textId="77777777" w:rsidR="00F87636" w:rsidRDefault="00000000">
            <w:pPr>
              <w:spacing w:after="20"/>
            </w:pPr>
            <w:r>
              <w:rPr>
                <w:sz w:val="19"/>
                <w:szCs w:val="19"/>
              </w:rPr>
              <w:t>FRTS Ordering Platform — TCG's API + file platform this platform consumes.</w:t>
            </w:r>
          </w:p>
        </w:tc>
      </w:tr>
      <w:tr w:rsidR="00F87636" w14:paraId="48EA227C"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1A1F188" w14:textId="77777777" w:rsidR="00F87636" w:rsidRDefault="00000000">
            <w:pPr>
              <w:spacing w:after="20"/>
            </w:pPr>
            <w:r>
              <w:rPr>
                <w:sz w:val="19"/>
                <w:szCs w:val="19"/>
              </w:rPr>
              <w:t>ISM</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CBBBA61" w14:textId="77777777" w:rsidR="00F87636" w:rsidRDefault="00000000">
            <w:pPr>
              <w:spacing w:after="20"/>
            </w:pPr>
            <w:r>
              <w:rPr>
                <w:sz w:val="19"/>
                <w:szCs w:val="19"/>
              </w:rPr>
              <w:t>Independent Society Member — a co-operative society in the FRTS buying group; a subscriber of this platform.</w:t>
            </w:r>
          </w:p>
        </w:tc>
      </w:tr>
      <w:tr w:rsidR="00F87636" w14:paraId="369EE9C2"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939C3A4" w14:textId="77777777" w:rsidR="00F87636" w:rsidRDefault="00000000">
            <w:pPr>
              <w:spacing w:after="20"/>
            </w:pPr>
            <w:r>
              <w:rPr>
                <w:sz w:val="19"/>
                <w:szCs w:val="19"/>
              </w:rPr>
              <w:t>NSL</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8134731" w14:textId="77777777" w:rsidR="00F87636" w:rsidRDefault="00000000">
            <w:pPr>
              <w:spacing w:after="20"/>
            </w:pPr>
            <w:r>
              <w:rPr>
                <w:sz w:val="19"/>
                <w:szCs w:val="19"/>
              </w:rPr>
              <w:t>National Stock Listing — the legacy product identifier being retired.</w:t>
            </w:r>
          </w:p>
        </w:tc>
      </w:tr>
      <w:tr w:rsidR="00F87636" w14:paraId="48B557B5"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97A91D8" w14:textId="77777777" w:rsidR="00F87636" w:rsidRDefault="00000000">
            <w:pPr>
              <w:spacing w:after="20"/>
            </w:pPr>
            <w:r>
              <w:rPr>
                <w:sz w:val="19"/>
                <w:szCs w:val="19"/>
              </w:rPr>
              <w:t>Catalogue Item</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E39C131" w14:textId="77777777" w:rsidR="00F87636" w:rsidRDefault="00000000">
            <w:pPr>
              <w:spacing w:after="20"/>
            </w:pPr>
            <w:r>
              <w:rPr>
                <w:sz w:val="19"/>
                <w:szCs w:val="19"/>
              </w:rPr>
              <w:t>The post-NSL orderable product identifier; the platform's canonical product key.</w:t>
            </w:r>
          </w:p>
        </w:tc>
      </w:tr>
      <w:tr w:rsidR="00F87636" w14:paraId="7765CD7C"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FF28B99" w14:textId="77777777" w:rsidR="00F87636" w:rsidRDefault="00000000">
            <w:pPr>
              <w:spacing w:after="20"/>
            </w:pPr>
            <w:r>
              <w:rPr>
                <w:sz w:val="19"/>
                <w:szCs w:val="19"/>
              </w:rPr>
              <w:t>EDN</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6E26C69" w14:textId="77777777" w:rsidR="00F87636" w:rsidRDefault="00000000">
            <w:pPr>
              <w:spacing w:after="20"/>
            </w:pPr>
            <w:r>
              <w:rPr>
                <w:sz w:val="19"/>
                <w:szCs w:val="19"/>
              </w:rPr>
              <w:t>Electronic Delivery Notification.</w:t>
            </w:r>
          </w:p>
        </w:tc>
      </w:tr>
      <w:tr w:rsidR="00F87636" w14:paraId="540E2919"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78909FB" w14:textId="77777777" w:rsidR="00F87636" w:rsidRDefault="00000000">
            <w:pPr>
              <w:spacing w:after="20"/>
            </w:pPr>
            <w:r>
              <w:rPr>
                <w:sz w:val="19"/>
                <w:szCs w:val="19"/>
              </w:rPr>
              <w:t>DRS</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F50A671" w14:textId="77777777" w:rsidR="00F87636" w:rsidRDefault="00000000">
            <w:pPr>
              <w:spacing w:after="20"/>
            </w:pPr>
            <w:r>
              <w:rPr>
                <w:sz w:val="19"/>
                <w:szCs w:val="19"/>
              </w:rPr>
              <w:t>Deposit Return Scheme — October 2027; TCG has aligned its BSA-enforced cutover to it.</w:t>
            </w:r>
          </w:p>
        </w:tc>
      </w:tr>
      <w:tr w:rsidR="00F87636" w14:paraId="083EC31C"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E4B7B39" w14:textId="77777777" w:rsidR="00F87636" w:rsidRDefault="00000000">
            <w:pPr>
              <w:spacing w:after="20"/>
            </w:pPr>
            <w:r>
              <w:rPr>
                <w:sz w:val="19"/>
                <w:szCs w:val="19"/>
              </w:rPr>
              <w:t>BSA</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0C31D0F" w14:textId="77777777" w:rsidR="00F87636" w:rsidRDefault="00000000">
            <w:pPr>
              <w:spacing w:after="20"/>
            </w:pPr>
            <w:r>
              <w:rPr>
                <w:sz w:val="19"/>
                <w:szCs w:val="19"/>
              </w:rPr>
              <w:t>Buying Services Agreement between TCG and the ISMs.</w:t>
            </w:r>
          </w:p>
        </w:tc>
      </w:tr>
      <w:tr w:rsidR="00F87636" w14:paraId="3C05D9C0"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ACFC9FC" w14:textId="77777777" w:rsidR="00F87636" w:rsidRDefault="00000000">
            <w:pPr>
              <w:spacing w:after="20"/>
            </w:pPr>
            <w:r>
              <w:rPr>
                <w:sz w:val="19"/>
                <w:szCs w:val="19"/>
              </w:rPr>
              <w:lastRenderedPageBreak/>
              <w:t>Manifold</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084A6F5" w14:textId="77777777" w:rsidR="00F87636" w:rsidRDefault="00000000">
            <w:pPr>
              <w:spacing w:after="20"/>
            </w:pPr>
            <w:r>
              <w:rPr>
                <w:sz w:val="19"/>
                <w:szCs w:val="19"/>
              </w:rPr>
              <w:t>The small fixed set of Go services around the Postgres hub, with no synchronous service-to-service calls.</w:t>
            </w:r>
          </w:p>
        </w:tc>
      </w:tr>
      <w:tr w:rsidR="00F87636" w14:paraId="04260809"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77F5EEF" w14:textId="77777777" w:rsidR="00F87636" w:rsidRDefault="00000000">
            <w:pPr>
              <w:spacing w:after="20"/>
            </w:pPr>
            <w:r>
              <w:rPr>
                <w:sz w:val="19"/>
                <w:szCs w:val="19"/>
              </w:rPr>
              <w:t>Cell</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C69DBE6" w14:textId="77777777" w:rsidR="00F87636" w:rsidRDefault="00000000">
            <w:pPr>
              <w:spacing w:after="20"/>
            </w:pPr>
            <w:r>
              <w:rPr>
                <w:sz w:val="19"/>
                <w:szCs w:val="19"/>
              </w:rPr>
              <w:t>One deployment of the ism-service image serving exactly one subscriber, configured by a git manifest, holding only that subscriber's credentials and DB role.</w:t>
            </w:r>
          </w:p>
        </w:tc>
      </w:tr>
      <w:tr w:rsidR="00F87636" w14:paraId="022A40D7"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20EEFF3" w14:textId="77777777" w:rsidR="00F87636" w:rsidRDefault="00000000">
            <w:pPr>
              <w:spacing w:after="20"/>
            </w:pPr>
            <w:r>
              <w:rPr>
                <w:sz w:val="19"/>
                <w:szCs w:val="19"/>
              </w:rPr>
              <w:t>Cell manifest</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2181D56" w14:textId="77777777" w:rsidR="00F87636" w:rsidRDefault="00000000">
            <w:pPr>
              <w:spacing w:after="20"/>
            </w:pPr>
            <w:r>
              <w:rPr>
                <w:sz w:val="19"/>
                <w:szCs w:val="19"/>
              </w:rPr>
              <w:t>The schema-validated per-subscriber file in cells/ from which Terraform creates the cell; onboarding = manifest PR + apply.</w:t>
            </w:r>
          </w:p>
        </w:tc>
      </w:tr>
      <w:tr w:rsidR="00F87636" w14:paraId="40322AD2"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A062E5B" w14:textId="77777777" w:rsidR="00F87636" w:rsidRDefault="00000000">
            <w:pPr>
              <w:spacing w:after="20"/>
            </w:pPr>
            <w:r>
              <w:rPr>
                <w:sz w:val="19"/>
                <w:szCs w:val="19"/>
              </w:rPr>
              <w:t>Interface pack</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4A2D2005" w14:textId="77777777" w:rsidR="00F87636" w:rsidRDefault="00000000">
            <w:pPr>
              <w:spacing w:after="20"/>
            </w:pPr>
            <w:r>
              <w:rPr>
                <w:sz w:val="19"/>
                <w:szCs w:val="19"/>
              </w:rPr>
              <w:t>Versioned folder per subscriber destination: definition.yaml + mapping.go + golden tests, compiled into the cell image.</w:t>
            </w:r>
          </w:p>
        </w:tc>
      </w:tr>
      <w:tr w:rsidR="00F87636" w14:paraId="2CA593BC"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FA18D4F" w14:textId="77777777" w:rsidR="00F87636" w:rsidRDefault="00000000">
            <w:pPr>
              <w:spacing w:after="20"/>
            </w:pPr>
            <w:r>
              <w:rPr>
                <w:sz w:val="19"/>
                <w:szCs w:val="19"/>
              </w:rPr>
              <w:t>Downstream key</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53B6F36E" w14:textId="77777777" w:rsidR="00F87636" w:rsidRDefault="00000000">
            <w:pPr>
              <w:spacing w:after="20"/>
            </w:pPr>
            <w:r>
              <w:rPr>
                <w:sz w:val="19"/>
                <w:szCs w:val="19"/>
              </w:rPr>
              <w:t>The subscriber's own identifier for a record in their MDM/P2P/ERP, captured at enrichment and applied in pack mapping.</w:t>
            </w:r>
          </w:p>
        </w:tc>
      </w:tr>
      <w:tr w:rsidR="00F87636" w14:paraId="61CE8B11"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72165CA" w14:textId="77777777" w:rsidR="00F87636" w:rsidRDefault="00000000">
            <w:pPr>
              <w:spacing w:after="20"/>
            </w:pPr>
            <w:r>
              <w:rPr>
                <w:sz w:val="19"/>
                <w:szCs w:val="19"/>
              </w:rPr>
              <w:t>Auth edge</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74AF610" w14:textId="77777777" w:rsidR="00F87636" w:rsidRDefault="00000000">
            <w:pPr>
              <w:spacing w:after="20"/>
            </w:pPr>
            <w:r>
              <w:rPr>
                <w:sz w:val="19"/>
                <w:szCs w:val="19"/>
              </w:rPr>
              <w:t>The per-subscriber security and integration perimeter where users (OIDC) and systems (client credentials at their cell) authenticate.</w:t>
            </w:r>
          </w:p>
        </w:tc>
      </w:tr>
      <w:tr w:rsidR="00F87636" w14:paraId="3D181594"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BBA016A" w14:textId="77777777" w:rsidR="00F87636" w:rsidRDefault="00000000">
            <w:pPr>
              <w:spacing w:after="20"/>
            </w:pPr>
            <w:r>
              <w:rPr>
                <w:sz w:val="19"/>
                <w:szCs w:val="19"/>
              </w:rPr>
              <w:t>Egress-ready view</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9D50B1C" w14:textId="77777777" w:rsidR="00F87636" w:rsidRDefault="00000000">
            <w:pPr>
              <w:spacing w:after="20"/>
            </w:pPr>
            <w:r>
              <w:rPr>
                <w:sz w:val="19"/>
                <w:szCs w:val="19"/>
              </w:rPr>
              <w:t>The per-subscriber Postgres view (canonical ⨯ subscription ⨯ enrichment) — the only surface cells may read.</w:t>
            </w:r>
          </w:p>
        </w:tc>
      </w:tr>
      <w:tr w:rsidR="00F87636" w14:paraId="58C0F73F"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60009186" w14:textId="77777777" w:rsidR="00F87636" w:rsidRDefault="00000000">
            <w:pPr>
              <w:spacing w:after="20"/>
            </w:pPr>
            <w:r>
              <w:rPr>
                <w:sz w:val="19"/>
                <w:szCs w:val="19"/>
              </w:rPr>
              <w:t>Subscription overlay</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0DBBBD1" w14:textId="77777777" w:rsidR="00F87636" w:rsidRDefault="00000000">
            <w:pPr>
              <w:spacing w:after="20"/>
            </w:pPr>
            <w:r>
              <w:rPr>
                <w:sz w:val="19"/>
                <w:szCs w:val="19"/>
              </w:rPr>
              <w:t>The per-subscriber selection, enrichment, decision-audit and egress-state tables, under RLS.</w:t>
            </w:r>
          </w:p>
        </w:tc>
      </w:tr>
      <w:tr w:rsidR="00F87636" w14:paraId="131B6165"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DDA202C" w14:textId="77777777" w:rsidR="00F87636" w:rsidRDefault="00000000">
            <w:pPr>
              <w:spacing w:after="20"/>
            </w:pPr>
            <w:r>
              <w:rPr>
                <w:sz w:val="19"/>
                <w:szCs w:val="19"/>
              </w:rPr>
              <w:t>RLS</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4113497" w14:textId="77777777" w:rsidR="00F87636" w:rsidRDefault="00000000">
            <w:pPr>
              <w:spacing w:after="20"/>
            </w:pPr>
            <w:r>
              <w:rPr>
                <w:sz w:val="19"/>
                <w:szCs w:val="19"/>
              </w:rPr>
              <w:t>PostgreSQL row-level security — the data wall of the tenant partition.</w:t>
            </w:r>
          </w:p>
        </w:tc>
      </w:tr>
      <w:tr w:rsidR="00F87636" w14:paraId="73226C60"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C741FAF" w14:textId="77777777" w:rsidR="00F87636" w:rsidRDefault="00000000">
            <w:pPr>
              <w:spacing w:after="20"/>
            </w:pPr>
            <w:r>
              <w:rPr>
                <w:sz w:val="19"/>
                <w:szCs w:val="19"/>
              </w:rPr>
              <w:t>Durable port</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DF034B2" w14:textId="77777777" w:rsidR="00F87636" w:rsidRDefault="00000000">
            <w:pPr>
              <w:spacing w:after="20"/>
            </w:pPr>
            <w:r>
              <w:rPr>
                <w:sz w:val="19"/>
                <w:szCs w:val="19"/>
              </w:rPr>
              <w:t>The thin Go interface (schedule/enqueue/workflow state) behind which Temporal sits; keeps any engine revisit one package wide.</w:t>
            </w:r>
          </w:p>
        </w:tc>
      </w:tr>
      <w:tr w:rsidR="00F87636" w14:paraId="1FD7CD10"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0AA4854E" w14:textId="77777777" w:rsidR="00F87636" w:rsidRDefault="00000000">
            <w:pPr>
              <w:spacing w:after="20"/>
            </w:pPr>
            <w:r>
              <w:rPr>
                <w:sz w:val="19"/>
                <w:szCs w:val="19"/>
              </w:rPr>
              <w:t>Temporal</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49AC080" w14:textId="77777777" w:rsidR="00F87636" w:rsidRDefault="00000000">
            <w:pPr>
              <w:spacing w:after="20"/>
            </w:pPr>
            <w:r>
              <w:rPr>
                <w:sz w:val="19"/>
                <w:szCs w:val="19"/>
              </w:rPr>
              <w:t>The durable-execution engine: workflows as replayable Go functions with typed retry policies and full history. Parked workflows replace DLQs.</w:t>
            </w:r>
          </w:p>
        </w:tc>
      </w:tr>
      <w:tr w:rsidR="00F87636" w14:paraId="0D64DA14"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34E29B21" w14:textId="77777777" w:rsidR="00F87636" w:rsidRDefault="00000000">
            <w:pPr>
              <w:spacing w:after="20"/>
            </w:pPr>
            <w:r>
              <w:rPr>
                <w:sz w:val="19"/>
                <w:szCs w:val="19"/>
              </w:rPr>
              <w:t>River</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7466234B" w14:textId="77777777" w:rsidR="00F87636" w:rsidRDefault="00000000">
            <w:pPr>
              <w:spacing w:after="20"/>
            </w:pPr>
            <w:r>
              <w:rPr>
                <w:sz w:val="19"/>
                <w:szCs w:val="19"/>
              </w:rPr>
              <w:t>A Postgres-native job queue for Go; evaluated and not selected as the durable engine (ADR-0006).</w:t>
            </w:r>
          </w:p>
        </w:tc>
      </w:tr>
      <w:tr w:rsidR="00F87636" w14:paraId="3C40FC83"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10EDF0B" w14:textId="77777777" w:rsidR="00F87636" w:rsidRDefault="00000000">
            <w:pPr>
              <w:spacing w:after="20"/>
            </w:pPr>
            <w:r>
              <w:rPr>
                <w:sz w:val="19"/>
                <w:szCs w:val="19"/>
              </w:rPr>
              <w:t>Context plane</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28FA886" w14:textId="77777777" w:rsidR="00F87636" w:rsidRDefault="00000000">
            <w:pPr>
              <w:spacing w:after="20"/>
            </w:pPr>
            <w:r>
              <w:rPr>
                <w:sz w:val="19"/>
                <w:szCs w:val="19"/>
              </w:rPr>
              <w:t>The derived Neo4j knowledge graph of the platform's relationships and symbolics, exposed read-only to agents over MCP.</w:t>
            </w:r>
          </w:p>
        </w:tc>
      </w:tr>
      <w:tr w:rsidR="00F87636" w14:paraId="3782046C"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42413A5" w14:textId="77777777" w:rsidR="00F87636" w:rsidRDefault="00000000">
            <w:pPr>
              <w:spacing w:after="20"/>
            </w:pPr>
            <w:r>
              <w:rPr>
                <w:sz w:val="19"/>
                <w:szCs w:val="19"/>
              </w:rPr>
              <w:t>Symbolics</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712638E" w14:textId="77777777" w:rsidR="00F87636" w:rsidRDefault="00000000">
            <w:pPr>
              <w:spacing w:after="20"/>
            </w:pPr>
            <w:r>
              <w:rPr>
                <w:sz w:val="19"/>
                <w:szCs w:val="19"/>
              </w:rPr>
              <w:t>The extracted symbol-level facts of the codebase: packages, exported identifiers, call edges, table references.</w:t>
            </w:r>
          </w:p>
        </w:tc>
      </w:tr>
      <w:tr w:rsidR="00F87636" w14:paraId="5C0C3797"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11F061CD" w14:textId="77777777" w:rsidR="00F87636" w:rsidRDefault="00000000">
            <w:pPr>
              <w:spacing w:after="20"/>
            </w:pPr>
            <w:r>
              <w:rPr>
                <w:sz w:val="19"/>
                <w:szCs w:val="19"/>
              </w:rPr>
              <w:t>ADR / DPD</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4DE4C2A6" w14:textId="77777777" w:rsidR="00F87636" w:rsidRDefault="00000000">
            <w:pPr>
              <w:spacing w:after="20"/>
            </w:pPr>
            <w:r>
              <w:rPr>
                <w:sz w:val="19"/>
                <w:szCs w:val="19"/>
              </w:rPr>
              <w:t>Architecture Decision Record / Developer Platform Doc — both resident in docs/ with CI enforcement; frontmatter feeds the context plane.</w:t>
            </w:r>
          </w:p>
        </w:tc>
      </w:tr>
      <w:tr w:rsidR="00F87636" w14:paraId="795C91A6"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5BBD7B2A" w14:textId="77777777" w:rsidR="00F87636" w:rsidRDefault="00000000">
            <w:pPr>
              <w:spacing w:after="20"/>
            </w:pPr>
            <w:r>
              <w:rPr>
                <w:sz w:val="19"/>
                <w:szCs w:val="19"/>
              </w:rPr>
              <w:t>Oracle</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F2AD5E6" w14:textId="77777777" w:rsidR="00F87636" w:rsidRDefault="00000000">
            <w:pPr>
              <w:spacing w:after="20"/>
            </w:pPr>
            <w:r>
              <w:rPr>
                <w:sz w:val="19"/>
                <w:szCs w:val="19"/>
              </w:rPr>
              <w:t>A deterministic automated suite that defines done for agent work: unit, golden-file, contract, isolation, E2E, conformance, graph freshness.</w:t>
            </w:r>
          </w:p>
        </w:tc>
      </w:tr>
      <w:tr w:rsidR="00F87636" w14:paraId="445896E9"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F4C76E0" w14:textId="77777777" w:rsidR="00F87636" w:rsidRDefault="00000000">
            <w:pPr>
              <w:spacing w:after="20"/>
            </w:pPr>
            <w:r>
              <w:rPr>
                <w:sz w:val="19"/>
                <w:szCs w:val="19"/>
              </w:rPr>
              <w:t>Golden test</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3796D07" w14:textId="77777777" w:rsidR="00F87636" w:rsidRDefault="00000000">
            <w:pPr>
              <w:spacing w:after="20"/>
            </w:pPr>
            <w:r>
              <w:rPr>
                <w:sz w:val="19"/>
                <w:szCs w:val="19"/>
              </w:rPr>
              <w:t>A fixture-to-expected-output comparison; the byte-exact oracle for pack mappings.</w:t>
            </w:r>
          </w:p>
        </w:tc>
      </w:tr>
      <w:tr w:rsidR="00F87636" w14:paraId="70CCA82E"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15A23BAB" w14:textId="77777777" w:rsidR="00F87636" w:rsidRDefault="00000000">
            <w:pPr>
              <w:spacing w:after="20"/>
            </w:pPr>
            <w:r>
              <w:rPr>
                <w:sz w:val="19"/>
                <w:szCs w:val="19"/>
              </w:rPr>
              <w:t>Beans worked example</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BD7CC7E" w14:textId="77777777" w:rsidR="00F87636" w:rsidRDefault="00000000">
            <w:pPr>
              <w:spacing w:after="20"/>
            </w:pPr>
            <w:r>
              <w:rPr>
                <w:sz w:val="19"/>
                <w:szCs w:val="19"/>
              </w:rPr>
              <w:t>TCG-published sample payload set, including sales order rejection and error shapes; the fidelity bar for mocks and conformance tests.</w:t>
            </w:r>
          </w:p>
        </w:tc>
      </w:tr>
      <w:tr w:rsidR="00F87636" w14:paraId="7D57A942"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65CE591" w14:textId="77777777" w:rsidR="00F87636" w:rsidRDefault="00000000">
            <w:pPr>
              <w:spacing w:after="20"/>
            </w:pPr>
            <w:r>
              <w:rPr>
                <w:sz w:val="19"/>
                <w:szCs w:val="19"/>
              </w:rPr>
              <w:t>Walking skeleton</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64DFEB6D" w14:textId="77777777" w:rsidR="00F87636" w:rsidRDefault="00000000">
            <w:pPr>
              <w:spacing w:after="20"/>
            </w:pPr>
            <w:r>
              <w:rPr>
                <w:sz w:val="19"/>
                <w:szCs w:val="19"/>
              </w:rPr>
              <w:t>The thinnest end-to-end slice (one entity, mock → canonical → curation → one cell → receipt) proving the architecture and the operating model.</w:t>
            </w:r>
          </w:p>
        </w:tc>
      </w:tr>
      <w:tr w:rsidR="00F87636" w14:paraId="7332AC60"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27054210" w14:textId="77777777" w:rsidR="00F87636" w:rsidRDefault="00000000">
            <w:pPr>
              <w:spacing w:after="20"/>
            </w:pPr>
            <w:r>
              <w:rPr>
                <w:sz w:val="19"/>
                <w:szCs w:val="19"/>
              </w:rPr>
              <w:t>Seed pack</w:t>
            </w:r>
          </w:p>
        </w:tc>
        <w:tc>
          <w:tcPr>
            <w:tcW w:w="6900" w:type="dxa"/>
            <w:tcBorders>
              <w:top w:val="single" w:sz="4" w:space="0" w:color="94A3B8"/>
              <w:left w:val="single" w:sz="4" w:space="0" w:color="94A3B8"/>
              <w:bottom w:val="single" w:sz="4" w:space="0" w:color="94A3B8"/>
              <w:right w:val="single" w:sz="4" w:space="0" w:color="94A3B8"/>
            </w:tcBorders>
            <w:tcMar>
              <w:top w:w="70" w:type="dxa"/>
              <w:left w:w="110" w:type="dxa"/>
              <w:bottom w:w="70" w:type="dxa"/>
              <w:right w:w="110" w:type="dxa"/>
            </w:tcMar>
            <w:vAlign w:val="center"/>
          </w:tcPr>
          <w:p w14:paraId="0FC427AC" w14:textId="77777777" w:rsidR="00F87636" w:rsidRDefault="00000000">
            <w:pPr>
              <w:spacing w:after="20"/>
            </w:pPr>
            <w:r>
              <w:rPr>
                <w:sz w:val="19"/>
                <w:szCs w:val="19"/>
              </w:rPr>
              <w:t>frts-platform-seed.zip — ADRs, DPD stubs, CLAUDE.md, skills and templates generated from this document (section 18.3).</w:t>
            </w:r>
          </w:p>
        </w:tc>
      </w:tr>
      <w:tr w:rsidR="00F87636" w14:paraId="6C52886C" w14:textId="77777777">
        <w:tblPrEx>
          <w:tblCellMar>
            <w:top w:w="0" w:type="dxa"/>
            <w:bottom w:w="0" w:type="dxa"/>
          </w:tblCellMar>
        </w:tblPrEx>
        <w:trPr>
          <w:cantSplit/>
        </w:trPr>
        <w:tc>
          <w:tcPr>
            <w:tcW w:w="24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7A0BD63C" w14:textId="77777777" w:rsidR="00F87636" w:rsidRDefault="00000000">
            <w:pPr>
              <w:spacing w:after="20"/>
            </w:pPr>
            <w:r>
              <w:rPr>
                <w:sz w:val="19"/>
                <w:szCs w:val="19"/>
              </w:rPr>
              <w:t>Compose stack</w:t>
            </w:r>
          </w:p>
        </w:tc>
        <w:tc>
          <w:tcPr>
            <w:tcW w:w="6900" w:type="dxa"/>
            <w:tcBorders>
              <w:top w:val="single" w:sz="4" w:space="0" w:color="94A3B8"/>
              <w:left w:val="single" w:sz="4" w:space="0" w:color="94A3B8"/>
              <w:bottom w:val="single" w:sz="4" w:space="0" w:color="94A3B8"/>
              <w:right w:val="single" w:sz="4" w:space="0" w:color="94A3B8"/>
            </w:tcBorders>
            <w:shd w:val="clear" w:color="auto" w:fill="F1F5F9"/>
            <w:tcMar>
              <w:top w:w="70" w:type="dxa"/>
              <w:left w:w="110" w:type="dxa"/>
              <w:bottom w:w="70" w:type="dxa"/>
              <w:right w:w="110" w:type="dxa"/>
            </w:tcMar>
            <w:vAlign w:val="center"/>
          </w:tcPr>
          <w:p w14:paraId="3326A346" w14:textId="77777777" w:rsidR="00F87636" w:rsidRDefault="00000000">
            <w:pPr>
              <w:spacing w:after="20"/>
            </w:pPr>
            <w:r>
              <w:rPr>
                <w:sz w:val="19"/>
                <w:szCs w:val="19"/>
              </w:rPr>
              <w:t>The docker compose environment — the platform's primary environment (D2).</w:t>
            </w:r>
          </w:p>
        </w:tc>
      </w:tr>
    </w:tbl>
    <w:p w14:paraId="354888D4" w14:textId="77777777" w:rsidR="009F100B" w:rsidRDefault="009F100B"/>
    <w:sectPr w:rsidR="009F100B">
      <w:headerReference w:type="default" r:id="rId20"/>
      <w:footerReference w:type="default" r:id="rId21"/>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Lekshmi Balakrishnan Nair Girija(UST,IN)" w:date="2026-09-11T12:51:00Z" w:initials="LB">
    <w:p w14:paraId="2EE03083" w14:textId="154A3144" w:rsidR="00850973" w:rsidRDefault="00850973">
      <w:pPr>
        <w:pStyle w:val="CommentText"/>
      </w:pPr>
      <w:r>
        <w:rPr>
          <w:rStyle w:val="CommentReference"/>
        </w:rPr>
        <w:annotationRef/>
      </w:r>
      <w:r>
        <w:t>Auto-approval rules can be defined by Admin users? No screen seen now</w:t>
      </w:r>
      <w:r w:rsidR="00DB1F24">
        <w:t xml:space="preserve"> for auto-approval rule definition or approval.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E030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B762FB" w16cex:dateUtc="2026-09-11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E03083" w16cid:durableId="61B762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9EC3A" w14:textId="77777777" w:rsidR="009F100B" w:rsidRDefault="009F100B">
      <w:r>
        <w:separator/>
      </w:r>
    </w:p>
  </w:endnote>
  <w:endnote w:type="continuationSeparator" w:id="0">
    <w:p w14:paraId="0116FCA1" w14:textId="77777777" w:rsidR="009F100B" w:rsidRDefault="009F1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1163F" w14:textId="77777777" w:rsidR="00F87636" w:rsidRDefault="00000000">
    <w:pPr>
      <w:jc w:val="center"/>
    </w:pPr>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147B2F">
      <w:rPr>
        <w:noProof/>
        <w:color w:val="94A3B8"/>
        <w:sz w:val="16"/>
        <w:szCs w:val="16"/>
      </w:rPr>
      <w:t>1</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147B2F">
      <w:rPr>
        <w:noProof/>
        <w:color w:val="94A3B8"/>
        <w:sz w:val="16"/>
        <w:szCs w:val="16"/>
      </w:rPr>
      <w:t>2</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C49B9" w14:textId="77777777" w:rsidR="009F100B" w:rsidRDefault="009F100B">
      <w:r>
        <w:separator/>
      </w:r>
    </w:p>
  </w:footnote>
  <w:footnote w:type="continuationSeparator" w:id="0">
    <w:p w14:paraId="79E1D998" w14:textId="77777777" w:rsidR="009F100B" w:rsidRDefault="009F1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F5CA" w14:textId="77777777" w:rsidR="00F87636" w:rsidRDefault="00000000">
    <w:pPr>
      <w:jc w:val="right"/>
    </w:pPr>
    <w:r>
      <w:rPr>
        <w:color w:val="94A3B8"/>
        <w:sz w:val="16"/>
        <w:szCs w:val="16"/>
      </w:rPr>
      <w:t>FRTS Ingress Platform — HLD v4.0 MASTER · CONFIDENTIAL, UST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622A"/>
    <w:multiLevelType w:val="hybridMultilevel"/>
    <w:tmpl w:val="7184403E"/>
    <w:lvl w:ilvl="0" w:tplc="DD0E0CF6">
      <w:start w:val="1"/>
      <w:numFmt w:val="bullet"/>
      <w:lvlText w:val="•"/>
      <w:lvlJc w:val="left"/>
      <w:pPr>
        <w:ind w:left="480" w:hanging="240"/>
      </w:pPr>
    </w:lvl>
    <w:lvl w:ilvl="1" w:tplc="89786600">
      <w:start w:val="1"/>
      <w:numFmt w:val="bullet"/>
      <w:lvlText w:val="–"/>
      <w:lvlJc w:val="left"/>
      <w:pPr>
        <w:ind w:left="960" w:hanging="240"/>
      </w:pPr>
    </w:lvl>
    <w:lvl w:ilvl="2" w:tplc="908CE1D6">
      <w:numFmt w:val="decimal"/>
      <w:lvlText w:val=""/>
      <w:lvlJc w:val="left"/>
    </w:lvl>
    <w:lvl w:ilvl="3" w:tplc="6A0E3A38">
      <w:numFmt w:val="decimal"/>
      <w:lvlText w:val=""/>
      <w:lvlJc w:val="left"/>
    </w:lvl>
    <w:lvl w:ilvl="4" w:tplc="D158C644">
      <w:numFmt w:val="decimal"/>
      <w:lvlText w:val=""/>
      <w:lvlJc w:val="left"/>
    </w:lvl>
    <w:lvl w:ilvl="5" w:tplc="DCA08FCC">
      <w:numFmt w:val="decimal"/>
      <w:lvlText w:val=""/>
      <w:lvlJc w:val="left"/>
    </w:lvl>
    <w:lvl w:ilvl="6" w:tplc="04D013B4">
      <w:numFmt w:val="decimal"/>
      <w:lvlText w:val=""/>
      <w:lvlJc w:val="left"/>
    </w:lvl>
    <w:lvl w:ilvl="7" w:tplc="45B24418">
      <w:numFmt w:val="decimal"/>
      <w:lvlText w:val=""/>
      <w:lvlJc w:val="left"/>
    </w:lvl>
    <w:lvl w:ilvl="8" w:tplc="DD7C8986">
      <w:numFmt w:val="decimal"/>
      <w:lvlText w:val=""/>
      <w:lvlJc w:val="left"/>
    </w:lvl>
  </w:abstractNum>
  <w:abstractNum w:abstractNumId="1" w15:restartNumberingAfterBreak="0">
    <w:nsid w:val="53262D20"/>
    <w:multiLevelType w:val="hybridMultilevel"/>
    <w:tmpl w:val="710A2EC0"/>
    <w:lvl w:ilvl="0" w:tplc="F856BABC">
      <w:start w:val="1"/>
      <w:numFmt w:val="bullet"/>
      <w:lvlText w:val="●"/>
      <w:lvlJc w:val="left"/>
      <w:pPr>
        <w:ind w:left="720" w:hanging="360"/>
      </w:pPr>
    </w:lvl>
    <w:lvl w:ilvl="1" w:tplc="48344F50">
      <w:start w:val="1"/>
      <w:numFmt w:val="bullet"/>
      <w:lvlText w:val="○"/>
      <w:lvlJc w:val="left"/>
      <w:pPr>
        <w:ind w:left="1440" w:hanging="360"/>
      </w:pPr>
    </w:lvl>
    <w:lvl w:ilvl="2" w:tplc="32CE65D0">
      <w:start w:val="1"/>
      <w:numFmt w:val="bullet"/>
      <w:lvlText w:val="■"/>
      <w:lvlJc w:val="left"/>
      <w:pPr>
        <w:ind w:left="2160" w:hanging="360"/>
      </w:pPr>
    </w:lvl>
    <w:lvl w:ilvl="3" w:tplc="370C2CC4">
      <w:start w:val="1"/>
      <w:numFmt w:val="bullet"/>
      <w:lvlText w:val="●"/>
      <w:lvlJc w:val="left"/>
      <w:pPr>
        <w:ind w:left="2880" w:hanging="360"/>
      </w:pPr>
    </w:lvl>
    <w:lvl w:ilvl="4" w:tplc="E4CE326A">
      <w:start w:val="1"/>
      <w:numFmt w:val="bullet"/>
      <w:lvlText w:val="○"/>
      <w:lvlJc w:val="left"/>
      <w:pPr>
        <w:ind w:left="3600" w:hanging="360"/>
      </w:pPr>
    </w:lvl>
    <w:lvl w:ilvl="5" w:tplc="7DD4BDD8">
      <w:start w:val="1"/>
      <w:numFmt w:val="bullet"/>
      <w:lvlText w:val="■"/>
      <w:lvlJc w:val="left"/>
      <w:pPr>
        <w:ind w:left="4320" w:hanging="360"/>
      </w:pPr>
    </w:lvl>
    <w:lvl w:ilvl="6" w:tplc="B476BC94">
      <w:start w:val="1"/>
      <w:numFmt w:val="bullet"/>
      <w:lvlText w:val="●"/>
      <w:lvlJc w:val="left"/>
      <w:pPr>
        <w:ind w:left="5040" w:hanging="360"/>
      </w:pPr>
    </w:lvl>
    <w:lvl w:ilvl="7" w:tplc="27F43F0C">
      <w:start w:val="1"/>
      <w:numFmt w:val="bullet"/>
      <w:lvlText w:val="●"/>
      <w:lvlJc w:val="left"/>
      <w:pPr>
        <w:ind w:left="5760" w:hanging="360"/>
      </w:pPr>
    </w:lvl>
    <w:lvl w:ilvl="8" w:tplc="39D405C0">
      <w:start w:val="1"/>
      <w:numFmt w:val="bullet"/>
      <w:lvlText w:val="●"/>
      <w:lvlJc w:val="left"/>
      <w:pPr>
        <w:ind w:left="6480" w:hanging="360"/>
      </w:pPr>
    </w:lvl>
  </w:abstractNum>
  <w:num w:numId="1" w16cid:durableId="1041437869">
    <w:abstractNumId w:val="1"/>
    <w:lvlOverride w:ilvl="0">
      <w:startOverride w:val="1"/>
    </w:lvlOverride>
  </w:num>
  <w:num w:numId="2" w16cid:durableId="204015518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kshmi Balakrishnan Nair Girija(UST,IN)">
    <w15:presenceInfo w15:providerId="AD" w15:userId="S::312308@ust.com::0e1e6986-142e-43b8-8228-fd964a454d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636"/>
    <w:rsid w:val="00147B2F"/>
    <w:rsid w:val="002C1EA3"/>
    <w:rsid w:val="00850973"/>
    <w:rsid w:val="009F100B"/>
    <w:rsid w:val="00DB1F24"/>
    <w:rsid w:val="00F87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607C"/>
  <w15:docId w15:val="{43DFFE78-489A-4E14-9050-978883088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7B2F"/>
    <w:pPr>
      <w:spacing w:after="100"/>
    </w:pPr>
  </w:style>
  <w:style w:type="paragraph" w:styleId="TOC2">
    <w:name w:val="toc 2"/>
    <w:basedOn w:val="Normal"/>
    <w:next w:val="Normal"/>
    <w:autoRedefine/>
    <w:uiPriority w:val="39"/>
    <w:unhideWhenUsed/>
    <w:rsid w:val="00147B2F"/>
    <w:pPr>
      <w:spacing w:after="100"/>
      <w:ind w:left="220"/>
    </w:pPr>
  </w:style>
  <w:style w:type="character" w:styleId="CommentReference">
    <w:name w:val="annotation reference"/>
    <w:basedOn w:val="DefaultParagraphFont"/>
    <w:uiPriority w:val="99"/>
    <w:semiHidden/>
    <w:unhideWhenUsed/>
    <w:rsid w:val="00850973"/>
    <w:rPr>
      <w:sz w:val="16"/>
      <w:szCs w:val="16"/>
    </w:rPr>
  </w:style>
  <w:style w:type="paragraph" w:styleId="CommentText">
    <w:name w:val="annotation text"/>
    <w:basedOn w:val="Normal"/>
    <w:link w:val="CommentTextChar"/>
    <w:uiPriority w:val="99"/>
    <w:semiHidden/>
    <w:unhideWhenUsed/>
    <w:rsid w:val="00850973"/>
    <w:rPr>
      <w:sz w:val="20"/>
      <w:szCs w:val="20"/>
    </w:rPr>
  </w:style>
  <w:style w:type="character" w:customStyle="1" w:styleId="CommentTextChar">
    <w:name w:val="Comment Text Char"/>
    <w:basedOn w:val="DefaultParagraphFont"/>
    <w:link w:val="CommentText"/>
    <w:uiPriority w:val="99"/>
    <w:semiHidden/>
    <w:rsid w:val="00850973"/>
    <w:rPr>
      <w:sz w:val="20"/>
      <w:szCs w:val="20"/>
    </w:rPr>
  </w:style>
  <w:style w:type="paragraph" w:styleId="CommentSubject">
    <w:name w:val="annotation subject"/>
    <w:basedOn w:val="CommentText"/>
    <w:next w:val="CommentText"/>
    <w:link w:val="CommentSubjectChar"/>
    <w:uiPriority w:val="99"/>
    <w:semiHidden/>
    <w:unhideWhenUsed/>
    <w:rsid w:val="00850973"/>
    <w:rPr>
      <w:b/>
      <w:bCs/>
    </w:rPr>
  </w:style>
  <w:style w:type="character" w:customStyle="1" w:styleId="CommentSubjectChar">
    <w:name w:val="Comment Subject Char"/>
    <w:basedOn w:val="CommentTextChar"/>
    <w:link w:val="CommentSubject"/>
    <w:uiPriority w:val="99"/>
    <w:semiHidden/>
    <w:rsid w:val="008509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comments" Target="comments.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4353</TotalTime>
  <Pages>31</Pages>
  <Words>11024</Words>
  <Characters>68352</Characters>
  <Application>Microsoft Office Word</Application>
  <DocSecurity>0</DocSecurity>
  <Lines>2971</Lines>
  <Paragraphs>2145</Paragraphs>
  <ScaleCrop>false</ScaleCrop>
  <Company/>
  <LinksUpToDate>false</LinksUpToDate>
  <CharactersWithSpaces>77231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FRTS Ingress Platform — HLD v4.0 MASTER — The Manifold Architecture</dc:title>
  <dc:creator>Andy Ward — UST Enterprise Architect</dc:creator>
  <cp:lastModifiedBy>Lekshmi Balakrishnan Nair Girija(UST,IN)</cp:lastModifiedBy>
  <cp:revision>2</cp:revision>
  <dcterms:created xsi:type="dcterms:W3CDTF">2026-08-25T19:46:00Z</dcterms:created>
  <dcterms:modified xsi:type="dcterms:W3CDTF">2026-09-11T07:27:00Z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2026-09-11T07:27:38Z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076aeea2-15a8-40bc-8fad-9056991ce40f</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