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76234">
      <w:pPr>
        <w:rPr>
          <w:rFonts w:hint="eastAsia"/>
          <w:lang w:val="en-US" w:eastAsia="zh-CN"/>
        </w:rPr>
      </w:pPr>
      <w:r>
        <w:rPr>
          <w:rFonts w:hint="eastAsia"/>
          <w:b/>
          <w:bCs/>
          <w:lang w:val="en-US" w:eastAsia="zh-CN"/>
        </w:rPr>
        <w:t>题目暂定</w:t>
      </w:r>
      <w:r>
        <w:rPr>
          <w:rFonts w:hint="eastAsia"/>
          <w:lang w:val="en-US" w:eastAsia="zh-CN"/>
        </w:rPr>
        <w:t>：eCRF对新发移动障碍的预测作用</w:t>
      </w:r>
    </w:p>
    <w:p w14:paraId="3A12E262">
      <w:pPr>
        <w:rPr>
          <w:rFonts w:hint="eastAsia"/>
          <w:lang w:val="en-US" w:eastAsia="zh-CN"/>
        </w:rPr>
      </w:pPr>
    </w:p>
    <w:p w14:paraId="0207FC84">
      <w:pPr>
        <w:rPr>
          <w:rFonts w:hint="eastAsia"/>
          <w:lang w:val="en-US" w:eastAsia="zh-CN"/>
        </w:rPr>
      </w:pPr>
      <w:r>
        <w:rPr>
          <w:rFonts w:hint="eastAsia"/>
          <w:b/>
          <w:bCs/>
          <w:lang w:val="en-US" w:eastAsia="zh-CN"/>
        </w:rPr>
        <w:t>解决的问题：</w:t>
      </w:r>
      <w:r>
        <w:rPr>
          <w:rFonts w:hint="eastAsia"/>
          <w:lang w:val="en-US" w:eastAsia="zh-CN"/>
        </w:rPr>
        <w:br w:type="textWrapping"/>
      </w:r>
      <w:r>
        <w:rPr>
          <w:rFonts w:hint="eastAsia"/>
          <w:lang w:val="en-US" w:eastAsia="zh-CN"/>
        </w:rPr>
        <w:tab/>
      </w:r>
      <w:r>
        <w:rPr>
          <w:rFonts w:hint="eastAsia"/>
          <w:lang w:val="en-US" w:eastAsia="zh-CN"/>
        </w:rPr>
        <w:t>首先，探索eCRF是否能预测新发移动障碍的发生。其次，探索eCRF对于新发移动障碍的预测功能是否在不同文化背景的队列中都有效。最后，运用机器学习来构建eCRF对于新发移动障碍疾病的预测模型，提供医学价值。</w:t>
      </w:r>
    </w:p>
    <w:p w14:paraId="06669AC9">
      <w:pPr>
        <w:rPr>
          <w:rFonts w:hint="default"/>
          <w:lang w:val="en-US" w:eastAsia="zh-CN"/>
        </w:rPr>
      </w:pPr>
      <w:r>
        <w:rPr>
          <w:rFonts w:hint="eastAsia"/>
          <w:lang w:val="en-US" w:eastAsia="zh-CN"/>
        </w:rPr>
        <w:t>PartA部分：</w:t>
      </w:r>
    </w:p>
    <w:p w14:paraId="45C7DB3D">
      <w:pPr>
        <w:rPr>
          <w:rFonts w:hint="eastAsia"/>
          <w:b/>
          <w:bCs/>
          <w:lang w:val="en-US" w:eastAsia="zh-CN"/>
        </w:rPr>
      </w:pPr>
      <w:r>
        <w:rPr>
          <w:rFonts w:hint="eastAsia"/>
          <w:b/>
          <w:bCs/>
          <w:lang w:val="en-US" w:eastAsia="zh-CN"/>
        </w:rPr>
        <w:t>数据的处理：</w:t>
      </w:r>
    </w:p>
    <w:p w14:paraId="730BB943">
      <w:pPr>
        <w:ind w:firstLine="420" w:firstLineChars="0"/>
        <w:rPr>
          <w:rFonts w:hint="eastAsia"/>
          <w:lang w:val="en-US" w:eastAsia="zh-CN"/>
        </w:rPr>
      </w:pPr>
      <w:r>
        <w:rPr>
          <w:rFonts w:hint="eastAsia"/>
          <w:lang w:val="en-US" w:eastAsia="zh-CN"/>
        </w:rPr>
        <w:t>纳入ELSA、CHARLS、HRS三个数据库中的多波真实数据。运用HRS的2006-2019年(第8-14波)、ELSA的2004-2018年(第2-9 波)和CHARLS的2011-2018年(第1-4波)。其中，HRS的第8波(2006年)、ELSA的第2波(2004年)和CHARLS的第1波（2011年）被视为基线数据。可获得年龄、BMI、腰围（WC）、静息心率（rHR）、身体活动（PA）、吸烟（smoking）状况等数据。其中，身体活动通过自我报告的身体活动强度和频率定义。如果参与者报告</w:t>
      </w:r>
      <w:r>
        <w:rPr>
          <w:rFonts w:hint="eastAsia"/>
          <w:b/>
          <w:bCs/>
          <w:lang w:val="en-US" w:eastAsia="zh-CN"/>
        </w:rPr>
        <w:t>每周进行一次以上</w:t>
      </w:r>
      <w:r>
        <w:rPr>
          <w:rFonts w:hint="eastAsia"/>
          <w:lang w:val="en-US" w:eastAsia="zh-CN"/>
        </w:rPr>
        <w:t>的剧烈或中等强度身体活动,则设置中等至剧烈强度身体活动= 1 ;否则,中等至剧烈强度身体活动= 0。如果参与者自我报告目前吸烟,则为1;否则为0。</w:t>
      </w:r>
    </w:p>
    <w:p w14:paraId="43CBF2F4">
      <w:pPr>
        <w:ind w:firstLine="420" w:firstLineChars="0"/>
        <w:rPr>
          <w:rFonts w:hint="eastAsia"/>
          <w:lang w:val="en-US" w:eastAsia="zh-CN"/>
        </w:rPr>
      </w:pPr>
    </w:p>
    <w:p w14:paraId="70EA287D">
      <w:pPr>
        <w:rPr>
          <w:rFonts w:hint="eastAsia"/>
          <w:lang w:val="en-US" w:eastAsia="zh-CN"/>
        </w:rPr>
      </w:pPr>
      <w:r>
        <w:rPr>
          <w:rFonts w:hint="eastAsia"/>
          <w:b/>
          <w:bCs/>
          <w:lang w:val="en-US" w:eastAsia="zh-CN"/>
        </w:rPr>
        <w:t>eCRF的计算方程</w:t>
      </w:r>
      <w:r>
        <w:rPr>
          <w:rFonts w:hint="eastAsia"/>
          <w:lang w:val="en-US" w:eastAsia="zh-CN"/>
        </w:rPr>
        <w:t>如下：</w:t>
      </w:r>
    </w:p>
    <w:p w14:paraId="5C34583D">
      <w:pPr>
        <w:ind w:firstLine="420" w:firstLineChars="0"/>
        <w:rPr>
          <w:rFonts w:hint="eastAsia"/>
          <w:lang w:val="en-US" w:eastAsia="zh-CN"/>
        </w:rPr>
      </w:pPr>
      <w:r>
        <w:rPr>
          <w:rFonts w:hint="eastAsia"/>
          <w:lang w:val="en-US" w:eastAsia="zh-CN"/>
        </w:rPr>
        <w:t>男性：eCRF(METs)=21.2870+（age×0.1654）-（age</w:t>
      </w:r>
      <w:r>
        <w:rPr>
          <w:rFonts w:hint="eastAsia"/>
          <w:vertAlign w:val="superscript"/>
          <w:lang w:val="en-US" w:eastAsia="zh-CN"/>
        </w:rPr>
        <w:t>2</w:t>
      </w:r>
      <w:r>
        <w:rPr>
          <w:rFonts w:hint="eastAsia"/>
          <w:vertAlign w:val="baseline"/>
          <w:lang w:val="en-US" w:eastAsia="zh-CN"/>
        </w:rPr>
        <w:t>×0.0023</w:t>
      </w:r>
      <w:r>
        <w:rPr>
          <w:rFonts w:hint="eastAsia"/>
          <w:lang w:val="en-US" w:eastAsia="zh-CN"/>
        </w:rPr>
        <w:t>）-（BMI×0.2318）-（WC×0.0337）-（rHR×0.0390）+（moderate-to-vigorous physical activity×0.6351）- (smoking×0.4263)。</w:t>
      </w:r>
    </w:p>
    <w:p w14:paraId="6E1FCEED">
      <w:pPr>
        <w:ind w:firstLine="420" w:firstLineChars="0"/>
        <w:rPr>
          <w:rFonts w:hint="default"/>
          <w:lang w:val="en-US" w:eastAsia="zh-CN"/>
        </w:rPr>
      </w:pPr>
      <w:r>
        <w:rPr>
          <w:rFonts w:hint="eastAsia"/>
          <w:lang w:val="en-US" w:eastAsia="zh-CN"/>
        </w:rPr>
        <w:t>女性：eCRF(METs) = 14.7873 + (age×0.1159)–(age</w:t>
      </w:r>
      <w:r>
        <w:rPr>
          <w:rFonts w:hint="eastAsia"/>
          <w:vertAlign w:val="superscript"/>
          <w:lang w:val="en-US" w:eastAsia="zh-CN"/>
        </w:rPr>
        <w:t>2</w:t>
      </w:r>
      <w:r>
        <w:rPr>
          <w:rFonts w:hint="eastAsia"/>
          <w:lang w:val="en-US" w:eastAsia="zh-CN"/>
        </w:rPr>
        <w:t>×0.0017)–(BMI×0.1534)–(WC×0.0085)–(rHR×0.0364)+(moderate-to-vigorous physical activity×0.5987)-(smoking×0.2994).</w:t>
      </w:r>
    </w:p>
    <w:p w14:paraId="174BFAEF">
      <w:pPr>
        <w:ind w:firstLine="420" w:firstLineChars="0"/>
        <w:rPr>
          <w:rFonts w:hint="eastAsia"/>
          <w:lang w:val="en-US" w:eastAsia="zh-CN"/>
        </w:rPr>
      </w:pPr>
      <w:r>
        <w:rPr>
          <w:rFonts w:hint="eastAsia"/>
          <w:lang w:val="en-US" w:eastAsia="zh-CN"/>
        </w:rPr>
        <w:t>实施算法后,参与者根据年龄和性别调整后的五分位数分为三组:低eCRF(第一分位数)、中等eCRF(第二至三分位数)和高eCRF(第四至五分位数)。</w:t>
      </w:r>
    </w:p>
    <w:p w14:paraId="3A4CE56E">
      <w:pPr>
        <w:ind w:firstLine="420" w:firstLineChars="0"/>
        <w:rPr>
          <w:rFonts w:hint="eastAsia"/>
          <w:lang w:val="en-US" w:eastAsia="zh-CN"/>
        </w:rPr>
      </w:pPr>
    </w:p>
    <w:p w14:paraId="4DF1B0EB">
      <w:pPr>
        <w:ind w:firstLine="420" w:firstLineChars="0"/>
        <w:rPr>
          <w:rFonts w:hint="eastAsia"/>
          <w:lang w:val="en-US" w:eastAsia="zh-CN"/>
        </w:rPr>
      </w:pPr>
      <w:r>
        <w:rPr>
          <w:rFonts w:hint="eastAsia"/>
          <w:lang w:val="en-US" w:eastAsia="zh-CN"/>
        </w:rPr>
        <w:t>协变量：通过问卷调查收集了参与者的基本信息:包括年龄、性别、婚姻状况、教育程度、吸烟状况、饮酒状况、身体活动以及医生诊断的疾病(包括高血压、糖尿病、癌症、肺部疾病和心血管疾病)。评估身体质量指数( BMI)、腰围(WC)、静息心率(rHR)、收缩压 (SBP)、糖化血红蛋白(HbA1c)和总胆固醇(TC)。</w:t>
      </w:r>
    </w:p>
    <w:p w14:paraId="05649FB7">
      <w:pPr>
        <w:ind w:firstLine="420" w:firstLineChars="0"/>
        <w:rPr>
          <w:rFonts w:hint="eastAsia"/>
          <w:lang w:val="en-US" w:eastAsia="zh-CN"/>
        </w:rPr>
      </w:pPr>
      <w:r>
        <w:rPr>
          <w:rFonts w:hint="eastAsia"/>
          <w:lang w:val="en-US" w:eastAsia="zh-CN"/>
        </w:rPr>
        <w:t>为保持CHARLS、 HRS和ELSA的一致性,婚姻状况分为已婚或伴侣和其他婚姻状况。教育程度分为高中以下、高中和大学或以上。吸烟状况分为当前吸烟者、曾经吸烟者和从不吸烟者。饮酒状况分为不饮酒者和饮酒者。身体活动分为中等至剧烈活动和其他。</w:t>
      </w:r>
    </w:p>
    <w:p w14:paraId="3A3E7D67">
      <w:pPr>
        <w:rPr>
          <w:rFonts w:hint="eastAsia"/>
          <w:lang w:val="en-US" w:eastAsia="zh-CN"/>
        </w:rPr>
      </w:pPr>
    </w:p>
    <w:p w14:paraId="5C797C36">
      <w:pPr>
        <w:rPr>
          <w:rFonts w:hint="eastAsia"/>
          <w:lang w:val="en-US" w:eastAsia="zh-CN"/>
        </w:rPr>
      </w:pPr>
      <w:r>
        <w:rPr>
          <w:rFonts w:hint="eastAsia"/>
          <w:b/>
          <w:bCs/>
          <w:lang w:val="en-US" w:eastAsia="zh-CN"/>
        </w:rPr>
        <w:t>统计分析</w:t>
      </w:r>
      <w:r>
        <w:rPr>
          <w:rFonts w:hint="eastAsia"/>
          <w:lang w:val="en-US" w:eastAsia="zh-CN"/>
        </w:rPr>
        <w:t>：</w:t>
      </w:r>
    </w:p>
    <w:p w14:paraId="51A1CE00">
      <w:pPr>
        <w:ind w:firstLine="420" w:firstLineChars="0"/>
        <w:rPr>
          <w:rFonts w:hint="default"/>
          <w:lang w:val="en-US" w:eastAsia="zh-CN"/>
        </w:rPr>
      </w:pPr>
      <w:r>
        <w:rPr>
          <w:rFonts w:hint="default"/>
          <w:lang w:val="en-US" w:eastAsia="zh-CN"/>
        </w:rPr>
        <w:t>为了描述纳入分析的个体特征，连续变量以</w:t>
      </w:r>
      <w:r>
        <w:rPr>
          <w:rFonts w:hint="default"/>
          <w:b/>
          <w:bCs/>
          <w:lang w:val="en-US" w:eastAsia="zh-CN"/>
        </w:rPr>
        <w:t>平均值</w:t>
      </w:r>
      <w:r>
        <w:rPr>
          <w:rFonts w:hint="default"/>
          <w:lang w:val="en-US" w:eastAsia="zh-CN"/>
        </w:rPr>
        <w:t>和</w:t>
      </w:r>
      <w:r>
        <w:rPr>
          <w:rFonts w:hint="default"/>
          <w:b/>
          <w:bCs/>
          <w:lang w:val="en-US" w:eastAsia="zh-CN"/>
        </w:rPr>
        <w:t>标准差</w:t>
      </w:r>
      <w:r>
        <w:rPr>
          <w:rFonts w:hint="default"/>
          <w:lang w:val="en-US" w:eastAsia="zh-CN"/>
        </w:rPr>
        <w:t>( SD )或</w:t>
      </w:r>
      <w:r>
        <w:rPr>
          <w:rFonts w:hint="default"/>
          <w:b/>
          <w:bCs/>
          <w:lang w:val="en-US" w:eastAsia="zh-CN"/>
        </w:rPr>
        <w:t>中位数</w:t>
      </w:r>
      <w:r>
        <w:rPr>
          <w:rFonts w:hint="default"/>
          <w:lang w:val="en-US" w:eastAsia="zh-CN"/>
        </w:rPr>
        <w:t>(四分位数间距)表示。分类变量采用频数和百分比描述。采用Kaplan</w:t>
      </w:r>
      <w:r>
        <w:rPr>
          <w:rFonts w:hint="eastAsia"/>
          <w:lang w:val="en-US" w:eastAsia="zh-CN"/>
        </w:rPr>
        <w:t>-</w:t>
      </w:r>
      <w:r>
        <w:rPr>
          <w:rFonts w:hint="default"/>
          <w:lang w:val="en-US" w:eastAsia="zh-CN"/>
        </w:rPr>
        <w:t>Meier</w:t>
      </w:r>
      <w:r>
        <w:rPr>
          <w:rFonts w:hint="eastAsia"/>
          <w:lang w:val="en-US" w:eastAsia="zh-CN"/>
        </w:rPr>
        <w:t>方</w:t>
      </w:r>
      <w:r>
        <w:rPr>
          <w:rFonts w:hint="default"/>
          <w:lang w:val="en-US" w:eastAsia="zh-CN"/>
        </w:rPr>
        <w:t>法绘制</w:t>
      </w:r>
      <w:r>
        <w:rPr>
          <w:rFonts w:hint="eastAsia"/>
          <w:lang w:val="en-US" w:eastAsia="zh-CN"/>
        </w:rPr>
        <w:t>新发移动障碍</w:t>
      </w:r>
      <w:r>
        <w:rPr>
          <w:rFonts w:hint="default"/>
          <w:lang w:val="en-US" w:eastAsia="zh-CN"/>
        </w:rPr>
        <w:t>发生率曲线，采用log</w:t>
      </w:r>
      <w:r>
        <w:rPr>
          <w:rFonts w:hint="eastAsia"/>
          <w:lang w:val="en-US" w:eastAsia="zh-CN"/>
        </w:rPr>
        <w:t>-</w:t>
      </w:r>
      <w:r>
        <w:rPr>
          <w:rFonts w:hint="default"/>
          <w:lang w:val="en-US" w:eastAsia="zh-CN"/>
        </w:rPr>
        <w:t>rank检验比较组间差异。为了检验eCRF与新发</w:t>
      </w:r>
      <w:r>
        <w:rPr>
          <w:rFonts w:hint="eastAsia"/>
          <w:lang w:val="en-US" w:eastAsia="zh-CN"/>
        </w:rPr>
        <w:t>移动障碍</w:t>
      </w:r>
      <w:r>
        <w:rPr>
          <w:rFonts w:hint="default"/>
          <w:lang w:val="en-US" w:eastAsia="zh-CN"/>
        </w:rPr>
        <w:t>之间的关系，采用Cox比例风险模型计算风险比(HR)和95%置信区间(CI)。使用Schoenfeld残差检验评估Cox模型的比例风险(PH)假设。进行了全局检验和单个协变量检验。</w:t>
      </w:r>
      <w:r>
        <w:rPr>
          <w:rFonts w:hint="eastAsia"/>
          <w:lang w:val="en-US" w:eastAsia="zh-CN"/>
        </w:rPr>
        <w:t>用最终的P值来检验</w:t>
      </w:r>
      <w:r>
        <w:rPr>
          <w:rFonts w:hint="default"/>
          <w:lang w:val="en-US" w:eastAsia="zh-CN"/>
        </w:rPr>
        <w:t>PH假设</w:t>
      </w:r>
      <w:r>
        <w:rPr>
          <w:rFonts w:hint="eastAsia"/>
          <w:lang w:val="en-US" w:eastAsia="zh-CN"/>
        </w:rPr>
        <w:t>有没有</w:t>
      </w:r>
      <w:r>
        <w:rPr>
          <w:rFonts w:hint="default"/>
          <w:lang w:val="en-US" w:eastAsia="zh-CN"/>
        </w:rPr>
        <w:t>被违背。</w:t>
      </w:r>
      <w:r>
        <w:rPr>
          <w:rFonts w:hint="eastAsia"/>
          <w:lang w:val="en-US" w:eastAsia="zh-CN"/>
        </w:rPr>
        <w:t>用</w:t>
      </w:r>
      <w:r>
        <w:rPr>
          <w:rFonts w:hint="default"/>
          <w:lang w:val="en-US" w:eastAsia="zh-CN"/>
        </w:rPr>
        <w:t>三个模型</w:t>
      </w:r>
      <w:r>
        <w:rPr>
          <w:rFonts w:hint="eastAsia"/>
          <w:lang w:val="en-US" w:eastAsia="zh-CN"/>
        </w:rPr>
        <w:t>进行估计</w:t>
      </w:r>
      <w:r>
        <w:rPr>
          <w:rFonts w:hint="default"/>
          <w:lang w:val="en-US" w:eastAsia="zh-CN"/>
        </w:rPr>
        <w:t>：模型1为未调整模型；模型2对年龄和性别进行了调整；模型3进一步调整了婚姻状况、受教育程度、吸烟状况、饮酒状况、SBP、HbA1c和TC。将所有</w:t>
      </w:r>
      <w:r>
        <w:rPr>
          <w:rFonts w:hint="eastAsia"/>
          <w:lang w:val="en-US" w:eastAsia="zh-CN"/>
        </w:rPr>
        <w:t>参与者最终的数据</w:t>
      </w:r>
      <w:r>
        <w:rPr>
          <w:rFonts w:hint="default"/>
          <w:lang w:val="en-US" w:eastAsia="zh-CN"/>
        </w:rPr>
        <w:t>分为低、中、高3个eCRF水平，低eCRF组作为参照组。为了考察eCRF与</w:t>
      </w:r>
      <w:r>
        <w:rPr>
          <w:rFonts w:hint="eastAsia"/>
          <w:lang w:val="en-US" w:eastAsia="zh-CN"/>
        </w:rPr>
        <w:t>移动障碍</w:t>
      </w:r>
      <w:r>
        <w:rPr>
          <w:rFonts w:hint="default"/>
          <w:lang w:val="en-US" w:eastAsia="zh-CN"/>
        </w:rPr>
        <w:t>发生率之间的剂量反应关系，采用基于Cox回归模型的限制性三次样条(RCS)，调整模型3中的协变量，以HR = 1时的eCRF值作为参照。</w:t>
      </w:r>
      <w:r>
        <w:rPr>
          <w:rFonts w:hint="default"/>
          <w:lang w:val="en-US" w:eastAsia="zh-CN"/>
        </w:rPr>
        <w:br w:type="textWrapping"/>
      </w:r>
      <w:r>
        <w:rPr>
          <w:rFonts w:hint="eastAsia"/>
          <w:lang w:val="en-US" w:eastAsia="zh-CN"/>
        </w:rPr>
        <w:tab/>
      </w:r>
      <w:r>
        <w:rPr>
          <w:rFonts w:hint="default"/>
          <w:lang w:val="en-US" w:eastAsia="zh-CN"/>
        </w:rPr>
        <w:t>通过亚组分析检验eCRF与抑郁症状发生率之间的潜在关联是否受到以下人口统计学和临床特征的调节：年龄( &lt; 60岁,≥60但&lt; 70岁,或≥70岁)、性别(男性或女性)、教育程度、吸烟状况、饮酒状况、体力活动水平和BMI (正常体重、超重或肥胖)。</w:t>
      </w:r>
      <w:r>
        <w:rPr>
          <w:rFonts w:hint="eastAsia"/>
          <w:lang w:val="en-US" w:eastAsia="zh-CN"/>
        </w:rPr>
        <w:t>最终要对亚组的分析结果进行比较。</w:t>
      </w:r>
      <w:r>
        <w:rPr>
          <w:rFonts w:hint="eastAsia"/>
          <w:lang w:val="en-US" w:eastAsia="zh-CN"/>
        </w:rPr>
        <w:br w:type="textWrapping"/>
      </w:r>
      <w:r>
        <w:rPr>
          <w:rFonts w:hint="eastAsia"/>
          <w:lang w:val="en-US" w:eastAsia="zh-CN"/>
        </w:rPr>
        <w:tab/>
      </w:r>
      <w:r>
        <w:rPr>
          <w:rFonts w:hint="eastAsia"/>
          <w:lang w:val="en-US" w:eastAsia="zh-CN"/>
        </w:rPr>
        <w:t>为了保证研究结果的稳健性，应该进行四项敏感性分析。首先，为了减弱反向因果的概率影响，应该排除在每次调查中基线报告有移动障碍的参与者。其次，在基线时应该剔除有癌症、肺部疾病或CVD（心血管疾病）病史的患者，以解决常见慢性病对eCRF与移动障碍之间关系的潜在影响。第三，应该排除Cox回归模型所包含的变量中任何数据缺失的个体，以评估数据的完整性对研究结论的影响。第四，为了解决缺失数据中潜在的选择偏差，应该通过链式方程( MICE )进行了多重填补。</w:t>
      </w:r>
    </w:p>
    <w:p w14:paraId="27AB818A">
      <w:pPr>
        <w:rPr>
          <w:rFonts w:hint="eastAsia"/>
          <w:lang w:val="en-US" w:eastAsia="zh-CN"/>
        </w:rPr>
      </w:pPr>
    </w:p>
    <w:p w14:paraId="37BEB7E5">
      <w:pPr>
        <w:rPr>
          <w:rFonts w:hint="eastAsia"/>
          <w:b/>
          <w:bCs/>
          <w:lang w:val="en-US" w:eastAsia="zh-CN"/>
        </w:rPr>
      </w:pPr>
      <w:r>
        <w:rPr>
          <w:rFonts w:hint="eastAsia"/>
          <w:b/>
          <w:bCs/>
          <w:lang w:val="en-US" w:eastAsia="zh-CN"/>
        </w:rPr>
        <w:t>数据分析：</w:t>
      </w:r>
    </w:p>
    <w:p w14:paraId="38A32EC4">
      <w:pPr>
        <w:ind w:firstLine="420" w:firstLineChars="0"/>
        <w:rPr>
          <w:rFonts w:hint="default"/>
          <w:lang w:val="en-US" w:eastAsia="zh-CN"/>
        </w:rPr>
      </w:pPr>
      <w:r>
        <w:rPr>
          <w:rFonts w:hint="eastAsia"/>
          <w:lang w:val="en-US" w:eastAsia="zh-CN"/>
        </w:rPr>
        <w:t>主分析：</w:t>
      </w:r>
    </w:p>
    <w:p w14:paraId="4DB32A24">
      <w:pPr>
        <w:ind w:firstLine="420" w:firstLineChars="0"/>
        <w:rPr>
          <w:rFonts w:hint="eastAsia"/>
          <w:lang w:val="en-US" w:eastAsia="zh-CN"/>
        </w:rPr>
      </w:pPr>
      <w:r>
        <w:rPr>
          <w:rFonts w:hint="eastAsia"/>
          <w:lang w:val="en-US" w:eastAsia="zh-CN"/>
        </w:rPr>
        <w:t>敏感性分析：首先,为减弱反向因果关系的影响,应该排除在基线波次中报告有移动障碍的参与者。其次,应该排除基线时有癌症、肺部疾病或心血管疾病病史的参与者,以解决慢性病对eCRF与移动障碍之间关联的潜在影响。第三,应该排除变量存在缺失数据的个体,以评估数据完整性对研究结论的影响。第四,为解决缺失数据可能导致的潜在选择偏倚,应该进行20次插补的链式方程多重插补(MICE)。</w:t>
      </w:r>
    </w:p>
    <w:p w14:paraId="7987FE9F">
      <w:pPr>
        <w:rPr>
          <w:rFonts w:hint="eastAsia"/>
          <w:lang w:val="en-US" w:eastAsia="zh-CN"/>
        </w:rPr>
      </w:pPr>
    </w:p>
    <w:p w14:paraId="276D69FA">
      <w:pPr>
        <w:rPr>
          <w:rFonts w:hint="default"/>
          <w:lang w:val="en-US" w:eastAsia="zh-CN"/>
        </w:rPr>
      </w:pPr>
      <w:r>
        <w:rPr>
          <w:rFonts w:hint="eastAsia"/>
          <w:lang w:val="en-US" w:eastAsia="zh-CN"/>
        </w:rPr>
        <w:t>Part2部分</w:t>
      </w:r>
      <w:bookmarkStart w:id="0" w:name="_GoBack"/>
      <w:bookmarkEnd w:id="0"/>
    </w:p>
    <w:p w14:paraId="2CD159DD">
      <w:pPr>
        <w:rPr>
          <w:rFonts w:hint="eastAsia"/>
          <w:b/>
          <w:bCs/>
          <w:lang w:val="en-US" w:eastAsia="zh-CN"/>
        </w:rPr>
      </w:pPr>
      <w:r>
        <w:rPr>
          <w:rFonts w:hint="eastAsia"/>
          <w:b/>
          <w:bCs/>
          <w:lang w:val="en-US" w:eastAsia="zh-CN"/>
        </w:rPr>
        <w:t>机器学习：</w:t>
      </w:r>
    </w:p>
    <w:p w14:paraId="09E285AD">
      <w:pPr>
        <w:ind w:firstLine="420" w:firstLineChars="0"/>
        <w:rPr>
          <w:rFonts w:hint="default"/>
          <w:lang w:val="en-US" w:eastAsia="zh-CN"/>
        </w:rPr>
      </w:pPr>
      <w:r>
        <w:rPr>
          <w:rFonts w:hint="eastAsia"/>
          <w:lang w:val="en-US" w:eastAsia="zh-CN"/>
        </w:rPr>
        <w:t>以上分析在结果稳健性的基础上，还想使用机器学习来构建风险预测模型。</w:t>
      </w:r>
    </w:p>
    <w:p w14:paraId="09CDE9E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E70B7"/>
    <w:rsid w:val="03057A39"/>
    <w:rsid w:val="04653F60"/>
    <w:rsid w:val="048B2909"/>
    <w:rsid w:val="04F80880"/>
    <w:rsid w:val="08602DD3"/>
    <w:rsid w:val="0A5A4A28"/>
    <w:rsid w:val="0B680A2B"/>
    <w:rsid w:val="0BBF4610"/>
    <w:rsid w:val="0D3A01A5"/>
    <w:rsid w:val="162300D1"/>
    <w:rsid w:val="1780297E"/>
    <w:rsid w:val="17C31CEE"/>
    <w:rsid w:val="1921316E"/>
    <w:rsid w:val="19F24478"/>
    <w:rsid w:val="1C166716"/>
    <w:rsid w:val="1C422BD3"/>
    <w:rsid w:val="1D204A65"/>
    <w:rsid w:val="23583A1F"/>
    <w:rsid w:val="257315D4"/>
    <w:rsid w:val="270B2D9A"/>
    <w:rsid w:val="2784458F"/>
    <w:rsid w:val="29220014"/>
    <w:rsid w:val="2A411D8E"/>
    <w:rsid w:val="2B151147"/>
    <w:rsid w:val="3034100A"/>
    <w:rsid w:val="30584E18"/>
    <w:rsid w:val="30E019C1"/>
    <w:rsid w:val="331F55C4"/>
    <w:rsid w:val="33E016C9"/>
    <w:rsid w:val="34F00E8E"/>
    <w:rsid w:val="37A13D0C"/>
    <w:rsid w:val="38052DC2"/>
    <w:rsid w:val="3AB64A60"/>
    <w:rsid w:val="3ABA6326"/>
    <w:rsid w:val="3DE2791A"/>
    <w:rsid w:val="3E546A69"/>
    <w:rsid w:val="3F506DEF"/>
    <w:rsid w:val="41447AF8"/>
    <w:rsid w:val="42FC322C"/>
    <w:rsid w:val="450A045D"/>
    <w:rsid w:val="46A77952"/>
    <w:rsid w:val="47555600"/>
    <w:rsid w:val="49C66341"/>
    <w:rsid w:val="4B7047A6"/>
    <w:rsid w:val="4D8409ED"/>
    <w:rsid w:val="4EC217CD"/>
    <w:rsid w:val="4F697891"/>
    <w:rsid w:val="4F96003F"/>
    <w:rsid w:val="50B75265"/>
    <w:rsid w:val="519C1348"/>
    <w:rsid w:val="51F53C68"/>
    <w:rsid w:val="53D1600F"/>
    <w:rsid w:val="53F817ED"/>
    <w:rsid w:val="561D6ED6"/>
    <w:rsid w:val="563F54B2"/>
    <w:rsid w:val="5F002AEF"/>
    <w:rsid w:val="60B321A6"/>
    <w:rsid w:val="61595BAB"/>
    <w:rsid w:val="61ED04B8"/>
    <w:rsid w:val="62F21EC2"/>
    <w:rsid w:val="642A152C"/>
    <w:rsid w:val="6BB12556"/>
    <w:rsid w:val="6C415E5A"/>
    <w:rsid w:val="6FFB4389"/>
    <w:rsid w:val="765C217E"/>
    <w:rsid w:val="77F15368"/>
    <w:rsid w:val="7930196F"/>
    <w:rsid w:val="7AD779F8"/>
    <w:rsid w:val="7B211279"/>
    <w:rsid w:val="7BA04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1668</Words>
  <Characters>2139</Characters>
  <Lines>0</Lines>
  <Paragraphs>0</Paragraphs>
  <TotalTime>70</TotalTime>
  <ScaleCrop>false</ScaleCrop>
  <LinksUpToDate>false</LinksUpToDate>
  <CharactersWithSpaces>2168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2026-09-13T05:16:00Z</dcterms:created>
  <dc:creator>Administrator</dc:creator>
  <cp:lastModifiedBy>任凭风浪起稳坐钓鱼台</cp:lastModifiedBy>
  <dcterms:modified xsi:type="dcterms:W3CDTF">2026-09-14T02:00:52Z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eyJoZGlkIjoiZDNkMWExNzY1MzM2YzM1OTFhNDJkNWFkODA5NGZhODkiLCJ1c2VySWQiOiIxMDY1NTM5ODM4In0=</vt:lpwstr>
  </property>
  <property fmtid="{D5CDD505-2E9C-101B-9397-08002B2CF9AE}" pid="4" name="ICV">
    <vt:lpwstr>A3B76E1753E24393961A6C18FCEC3A49_12</vt:lpwstr>
  </property>
</Properties>
</file>