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
      </w:pPr>
      <w:r>
        <w:rPr>
          <w:b/>
          <w:bCs/>
          <w:color w:val="534AB7"/>
          <w:spacing w:val="60"/>
          <w:sz w:val="20"/>
          <w:szCs w:val="20"/>
        </w:rPr>
        <w:t xml:space="preserve">LUMEN &amp; VALE</w:t>
      </w:r>
    </w:p>
    <w:p>
      <w:pPr>
        <w:spacing w:after="40"/>
      </w:pPr>
      <w:r>
        <w:rPr>
          <w:b/>
          <w:bCs/>
          <w:color w:val="1F3A5F"/>
          <w:sz w:val="56"/>
          <w:szCs w:val="56"/>
        </w:rPr>
        <w:t xml:space="preserve">Employee Handbook</w:t>
      </w:r>
    </w:p>
    <w:p>
      <w:pPr>
        <w:spacing w:after="40"/>
      </w:pPr>
      <w:r>
        <w:rPr>
          <w:color w:val="5F5E5A"/>
          <w:sz w:val="28"/>
          <w:szCs w:val="28"/>
        </w:rPr>
        <w:t xml:space="preserve">HR Policies &amp; Procedures</w:t>
      </w:r>
    </w:p>
    <w:p>
      <w:pPr>
        <w:pBdr>
          <w:bottom w:val="single" w:color="1F3A5F" w:sz="12" w:space="6"/>
        </w:pBdr>
        <w:spacing w:after="200"/>
      </w:pPr>
    </w:p>
    <w:p>
      <w:pPr>
        <w:spacing w:after="160" w:line="276"/>
      </w:pPr>
      <w:r>
        <w:t xml:space="preserve">Effective: 1 January 2026</w:t>
      </w:r>
    </w:p>
    <w:p>
      <w:pPr>
        <w:spacing w:after="160" w:line="276"/>
      </w:pPr>
      <w:r>
        <w:t xml:space="preserve">Version 1.0</w:t>
      </w:r>
    </w:p>
    <w:p>
      <w:pPr>
        <w:spacing w:after="160" w:line="276"/>
      </w:pPr>
      <w:r>
        <w:t xml:space="preserve">Confidential — For internal use only</w:t>
      </w:r>
    </w:p>
    <w:p>
      <w:r>
        <w:br w:type="page"/>
      </w:r>
    </w:p>
    <w:p>
      <w:pPr>
        <w:pStyle w:val="Heading1"/>
      </w:pPr>
      <w:r>
        <w:t xml:space="preserve">About Lumen &amp; Vale</w:t>
      </w:r>
    </w:p>
    <w:p>
      <w:pPr>
        <w:spacing w:after="160" w:line="276"/>
      </w:pPr>
      <w:r>
        <w:t xml:space="preserve">Lumen &amp; Vale is a technology consulting firm based in Singapore, founded in 2014. We specialise in digital transformation, product design, and software engineering for mid-market clients across Southeast Asia. The company employs approximately 75 staff across three departments: Engineering, Product, and Operations.</w:t>
      </w:r>
    </w:p>
    <w:p>
      <w:pPr>
        <w:spacing w:after="160" w:line="276"/>
      </w:pPr>
      <w:r>
        <w:t xml:space="preserve">Our salary structure uses bands from Band 1 (entry-level) to Band 7 (executive). These bands determine annual leave entitlements, notice periods, and other policy parameters throughout this handbook.</w:t>
      </w:r>
    </w:p>
    <w:p>
      <w:pPr>
        <w:pStyle w:val="Heading1"/>
      </w:pPr>
      <w:r>
        <w:t xml:space="preserve">1.  Annual Leave</w:t>
      </w:r>
    </w:p>
    <w:p>
      <w:pPr>
        <w:pStyle w:val="Heading2"/>
      </w:pPr>
      <w:r>
        <w:t xml:space="preserve">1.1  Entitlement</w:t>
      </w:r>
    </w:p>
    <w:p>
      <w:pPr>
        <w:spacing w:after="160" w:line="276"/>
      </w:pPr>
      <w:r>
        <w:t xml:space="preserve">All permanent employees accrue annual leave based on length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spacing w:after="0" w:line="260"/>
            </w:pPr>
            <w:r>
              <w:rPr>
                <w:b/>
                <w:bCs/>
                <w:color w:val="FFFFFF"/>
                <w:sz w:val="21"/>
                <w:szCs w:val="21"/>
              </w:rPr>
              <w:t xml:space="preserve">Length of service</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spacing w:after="0" w:line="260"/>
            </w:pPr>
            <w:r>
              <w:rPr>
                <w:b/>
                <w:bCs/>
                <w:color w:val="FFFFFF"/>
                <w:sz w:val="21"/>
                <w:szCs w:val="21"/>
              </w:rPr>
              <w:t xml:space="preserve">Annual leave entitlement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Under 2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14 days per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2 to 5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18 days per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Over 5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21 days per year</w:t>
            </w:r>
          </w:p>
        </w:tc>
      </w:tr>
    </w:tbl>
    <w:p>
      <w:pPr>
        <w:spacing w:after="80"/>
      </w:pPr>
    </w:p>
    <w:p>
      <w:pPr>
        <w:spacing w:after="160" w:line="276"/>
      </w:pPr>
      <w:r>
        <w:t xml:space="preserve">Leave is accrued on a calendar-year basis (January to December).</w:t>
      </w:r>
    </w:p>
    <w:p>
      <w:pPr>
        <w:pStyle w:val="Heading2"/>
      </w:pPr>
      <w:r>
        <w:t xml:space="preserve">1.2  Carry-over</w:t>
      </w:r>
    </w:p>
    <w:p>
      <w:pPr>
        <w:spacing w:after="160" w:line="276"/>
      </w:pPr>
      <w:r>
        <w:t xml:space="preserve">Employees with more than 2 years of service may carry over up to 5 unused annual leave days into the following calendar year. Carried-over days expire on 31 March of the new year. Employees with under 2 years of service may not carry over leave; unused days are forfeited at year-end.</w:t>
      </w:r>
    </w:p>
    <w:p>
      <w:pPr>
        <w:pStyle w:val="Heading2"/>
      </w:pPr>
      <w:r>
        <w:t xml:space="preserve">1.3  Applying for leave</w:t>
      </w:r>
    </w:p>
    <w:p>
      <w:pPr>
        <w:spacing w:after="160" w:line="276"/>
      </w:pPr>
      <w:r>
        <w:t xml:space="preserve">Leave requests must be submitted through the HRMS portal or via AskIvy at least 5 working days in advance for planned leave. Approval is at the employee’s direct manager’s discretion, subject to team capacity.</w:t>
      </w:r>
    </w:p>
    <w:p>
      <w:pPr>
        <w:pStyle w:val="Heading1"/>
      </w:pPr>
      <w:r>
        <w:t xml:space="preserve">2.  Sick Leave</w:t>
      </w:r>
    </w:p>
    <w:p>
      <w:pPr>
        <w:spacing w:after="160" w:line="276"/>
      </w:pPr>
      <w:r>
        <w:t xml:space="preserve">All employees are entitled to 14 days of paid sick leave per calendar year.</w:t>
      </w:r>
    </w:p>
    <w:p>
      <w:pPr>
        <w:pStyle w:val="ListParagraph"/>
        <w:numPr>
          <w:ilvl w:val="0"/>
          <w:numId w:val="2"/>
        </w:numPr>
        <w:spacing w:after="80" w:line="276"/>
      </w:pPr>
      <w:r>
        <w:t xml:space="preserve">A medical certificate (MC) is required for any absence exceeding 2 consecutive working days.</w:t>
      </w:r>
    </w:p>
    <w:p>
      <w:pPr>
        <w:pStyle w:val="ListParagraph"/>
        <w:numPr>
          <w:ilvl w:val="0"/>
          <w:numId w:val="2"/>
        </w:numPr>
        <w:spacing w:after="80" w:line="276"/>
      </w:pPr>
      <w:r>
        <w:t xml:space="preserve">Unused sick leave does not carry over to the following year.</w:t>
      </w:r>
    </w:p>
    <w:p>
      <w:pPr>
        <w:pStyle w:val="ListParagraph"/>
        <w:numPr>
          <w:ilvl w:val="0"/>
          <w:numId w:val="2"/>
        </w:numPr>
        <w:spacing w:after="80" w:line="276"/>
      </w:pPr>
      <w:r>
        <w:t xml:space="preserve">Employees must notify their manager and HR by 9:00 AM on the first day of absence.</w:t>
      </w:r>
    </w:p>
    <w:p>
      <w:pPr>
        <w:spacing w:after="160" w:line="276"/>
      </w:pPr>
      <w:r>
        <w:t xml:space="preserve">If an employee exhausts their sick leave entitlement, additional absences may be deducted from annual leave or treated as unpaid leave, at HR’s discretion.</w:t>
      </w:r>
    </w:p>
    <w:p>
      <w:pPr>
        <w:pStyle w:val="Heading1"/>
      </w:pPr>
      <w:r>
        <w:t xml:space="preserve">3.  Parental Leave</w:t>
      </w:r>
    </w:p>
    <w:p>
      <w:pPr>
        <w:pStyle w:val="Heading2"/>
      </w:pPr>
      <w:r>
        <w:t xml:space="preserve">3.1  Eligibility</w:t>
      </w:r>
    </w:p>
    <w:p>
      <w:pPr>
        <w:spacing w:after="160" w:line="276"/>
      </w:pPr>
      <w:r>
        <w:t xml:space="preserve">Parental leave is available to all employees who have completed at least 12 months of continuous service at the time of the child’s birth or adoption.</w:t>
      </w:r>
    </w:p>
    <w:p>
      <w:pPr>
        <w:pStyle w:val="Heading2"/>
      </w:pPr>
      <w:r>
        <w:t xml:space="preserve">3.2  Entitlement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spacing w:after="0" w:line="260"/>
            </w:pPr>
            <w:r>
              <w:rPr>
                <w:b/>
                <w:bCs/>
                <w:color w:val="FFFFFF"/>
                <w:sz w:val="21"/>
                <w:szCs w:val="21"/>
              </w:rPr>
              <w:t xml:space="preserve">Category</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spacing w:after="0" w:line="260"/>
            </w:pPr>
            <w:r>
              <w:rPr>
                <w:b/>
                <w:bCs/>
                <w:color w:val="FFFFFF"/>
                <w:sz w:val="21"/>
                <w:szCs w:val="21"/>
              </w:rPr>
              <w:t xml:space="preserve">Paid leave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Birth mothers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16 weeks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Partners (paternity)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4 weeks</w:t>
            </w:r>
          </w:p>
        </w:tc>
      </w:tr>
    </w:tbl>
    <w:p>
      <w:pPr>
        <w:spacing w:after="80"/>
      </w:pPr>
    </w:p>
    <w:p>
      <w:pPr>
        <w:spacing w:after="160" w:line="276"/>
      </w:pPr>
      <w:r>
        <w:t xml:space="preserve">Parental leave must commence within 12 months of the child’s birth or adoption date.</w:t>
      </w:r>
    </w:p>
    <w:p>
      <w:pPr>
        <w:pStyle w:val="Heading2"/>
      </w:pPr>
      <w:r>
        <w:t xml:space="preserve">3.3  Additional entitlement for senior staff</w:t>
      </w:r>
    </w:p>
    <w:p>
      <w:pPr>
        <w:spacing w:after="160" w:line="276"/>
      </w:pPr>
      <w:r>
        <w:t xml:space="preserve">Employees at the level of Principal Engineer and above receive an additional 2 weeks of flexible return-to-work leave. This may be taken as reduced hours (e.g. 4-day weeks) rather than full days, by arrangement with the employee’s manager.</w:t>
      </w:r>
    </w:p>
    <w:p>
      <w:pPr>
        <w:pStyle w:val="Heading1"/>
      </w:pPr>
      <w:r>
        <w:t xml:space="preserve">4.  Work From Home / Hybrid Work</w:t>
      </w:r>
    </w:p>
    <w:p>
      <w:pPr>
        <w:spacing w:after="160" w:line="276"/>
      </w:pPr>
      <w:r>
        <w:t xml:space="preserve">Lumen &amp; Vale operates a hybrid working model, balancing flexibility with the benefits of in-person collaboration.</w:t>
      </w:r>
    </w:p>
    <w:p>
      <w:pPr>
        <w:pStyle w:val="Heading2"/>
      </w:pPr>
      <w:r>
        <w:t xml:space="preserve">4.1  General policy</w:t>
      </w:r>
    </w:p>
    <w:p>
      <w:pPr>
        <w:pStyle w:val="ListParagraph"/>
        <w:numPr>
          <w:ilvl w:val="0"/>
          <w:numId w:val="2"/>
        </w:numPr>
        <w:spacing w:after="80" w:line="276"/>
      </w:pPr>
      <w:r>
        <w:t xml:space="preserve">Employees may work remotely up to 3 days per week, with their manager’s approval.</w:t>
      </w:r>
    </w:p>
    <w:p>
      <w:pPr>
        <w:pStyle w:val="ListParagraph"/>
        <w:numPr>
          <w:ilvl w:val="0"/>
          <w:numId w:val="2"/>
        </w:numPr>
        <w:spacing w:after="80" w:line="276"/>
      </w:pPr>
      <w:r>
        <w:t xml:space="preserve">All remote work days must be logged in the HRMS portal.</w:t>
      </w:r>
    </w:p>
    <w:p>
      <w:pPr>
        <w:pStyle w:val="ListParagraph"/>
        <w:numPr>
          <w:ilvl w:val="0"/>
          <w:numId w:val="2"/>
        </w:numPr>
        <w:spacing w:after="80" w:line="276"/>
      </w:pPr>
      <w:r>
        <w:t xml:space="preserve">Employees are expected to be contactable during core hours (10:00 AM – 4:00 PM).</w:t>
      </w:r>
    </w:p>
    <w:p>
      <w:pPr>
        <w:pStyle w:val="Heading2"/>
      </w:pPr>
      <w:r>
        <w:t xml:space="preserve">4.2  Probation restrictions</w:t>
      </w:r>
    </w:p>
    <w:p>
      <w:pPr>
        <w:spacing w:after="160" w:line="276"/>
      </w:pPr>
      <w:r>
        <w:t xml:space="preserve">Employees still in their probation period are expected to be on-site at least 4 days per week. This ensures adequate onboarding, mentoring, and integration with the team.</w:t>
      </w:r>
    </w:p>
    <w:p>
      <w:pPr>
        <w:pStyle w:val="Heading2"/>
      </w:pPr>
      <w:r>
        <w:t xml:space="preserve">4.3  Post-parental-leave arrangement</w:t>
      </w:r>
    </w:p>
    <w:p>
      <w:pPr>
        <w:spacing w:after="160" w:line="276"/>
      </w:pPr>
      <w:r>
        <w:t xml:space="preserve">Engineering staff returning from parental leave may request a temporary fully-remote arrangement for up to 3 months, subject to manager and HR approval. This is intended to support the transition back to work and may be extended on a case-by-case basis.</w:t>
      </w:r>
    </w:p>
    <w:p>
      <w:pPr>
        <w:pStyle w:val="Heading1"/>
      </w:pPr>
      <w:r>
        <w:t xml:space="preserve">5.  Working Hours &amp; Overtime</w:t>
      </w:r>
    </w:p>
    <w:p>
      <w:pPr>
        <w:spacing w:after="160" w:line="276"/>
      </w:pPr>
      <w:r>
        <w:t xml:space="preserve">Standard working hours are 9:00 AM to 6:00 PM, Monday to Friday, with a 1-hour lunch break. Flexible start times between 8:00 AM and 10:00 AM are permitted with manager approval, provided the employee completes 8 working hours per day.</w:t>
      </w:r>
    </w:p>
    <w:p>
      <w:pPr>
        <w:spacing w:after="160" w:line="276"/>
      </w:pPr>
      <w:r>
        <w:t xml:space="preserve">Overtime is not generally expected. Where project deadlines require extended hours, compensatory time off (in lieu) may be granted at the manager’s discretion. Overtime pay is not provided.</w:t>
      </w:r>
    </w:p>
    <w:p>
      <w:pPr>
        <w:pStyle w:val="Heading1"/>
      </w:pPr>
      <w:r>
        <w:t xml:space="preserve">6.  Compensation &amp; Benefits</w:t>
      </w:r>
    </w:p>
    <w:p>
      <w:pPr>
        <w:pStyle w:val="Heading2"/>
      </w:pPr>
      <w:r>
        <w:t xml:space="preserve">6.1  Salary bands</w:t>
      </w:r>
    </w:p>
    <w:p>
      <w:pPr>
        <w:spacing w:after="160" w:line="276"/>
      </w:pPr>
      <w:r>
        <w:t xml:space="preserve">Salaries are structured into Bands 1 through 7. Band placement is determined by role, experience, and market benchmarking. Annual salary reviews take place each April.</w:t>
      </w:r>
    </w:p>
    <w:p>
      <w:pPr>
        <w:pStyle w:val="Heading2"/>
      </w:pPr>
      <w:r>
        <w:t xml:space="preserve">6.2  Benefits</w:t>
      </w:r>
    </w:p>
    <w:p>
      <w:pPr>
        <w:pStyle w:val="ListParagraph"/>
        <w:numPr>
          <w:ilvl w:val="0"/>
          <w:numId w:val="2"/>
        </w:numPr>
        <w:spacing w:after="80" w:line="276"/>
      </w:pPr>
      <w:r>
        <w:t xml:space="preserve">Group medical insurance (employee and dependants)</w:t>
      </w:r>
    </w:p>
    <w:p>
      <w:pPr>
        <w:pStyle w:val="ListParagraph"/>
        <w:numPr>
          <w:ilvl w:val="0"/>
          <w:numId w:val="2"/>
        </w:numPr>
        <w:spacing w:after="80" w:line="276"/>
      </w:pPr>
      <w:r>
        <w:t xml:space="preserve">Dental and optical allowance of SGD 500 per year</w:t>
      </w:r>
    </w:p>
    <w:p>
      <w:pPr>
        <w:pStyle w:val="ListParagraph"/>
        <w:numPr>
          <w:ilvl w:val="0"/>
          <w:numId w:val="2"/>
        </w:numPr>
        <w:spacing w:after="80" w:line="276"/>
      </w:pPr>
      <w:r>
        <w:t xml:space="preserve">Learning and development budget of SGD 1,500 per year</w:t>
      </w:r>
    </w:p>
    <w:p>
      <w:pPr>
        <w:pStyle w:val="ListParagraph"/>
        <w:numPr>
          <w:ilvl w:val="0"/>
          <w:numId w:val="2"/>
        </w:numPr>
        <w:spacing w:after="80" w:line="276"/>
      </w:pPr>
      <w:r>
        <w:t xml:space="preserve">Employee assistance programme (EAP) for mental health support</w:t>
      </w:r>
    </w:p>
    <w:p>
      <w:pPr>
        <w:pStyle w:val="Heading1"/>
      </w:pPr>
      <w:r>
        <w:t xml:space="preserve">7.  Performance Bonus</w:t>
      </w:r>
    </w:p>
    <w:p>
      <w:pPr>
        <w:spacing w:after="160" w:line="276"/>
      </w:pPr>
      <w:r>
        <w:t xml:space="preserve">Annual performance bonuses are discretionary and paid each March, based on the company’s financial performance and the individual’s performance rating.</w:t>
      </w:r>
    </w:p>
    <w:p>
      <w:pPr>
        <w:pStyle w:val="Heading2"/>
      </w:pPr>
      <w:r>
        <w:t xml:space="preserve">7.1  Eligibility</w:t>
      </w:r>
    </w:p>
    <w:p>
      <w:pPr>
        <w:pStyle w:val="ListParagraph"/>
        <w:numPr>
          <w:ilvl w:val="0"/>
          <w:numId w:val="3"/>
        </w:numPr>
        <w:spacing w:after="80" w:line="276"/>
      </w:pPr>
      <w:r>
        <w:t xml:space="preserve">The employee must have passed probation (i.e. be confirmed).</w:t>
      </w:r>
    </w:p>
    <w:p>
      <w:pPr>
        <w:pStyle w:val="ListParagraph"/>
        <w:numPr>
          <w:ilvl w:val="0"/>
          <w:numId w:val="3"/>
        </w:numPr>
        <w:spacing w:after="80" w:line="276"/>
      </w:pPr>
      <w:r>
        <w:t xml:space="preserve">The employee must still be employed and not serving notice on the bonus payment date.</w:t>
      </w:r>
    </w:p>
    <w:p>
      <w:pPr>
        <w:pStyle w:val="Heading2"/>
      </w:pPr>
      <w:r>
        <w:t xml:space="preserve">7.2  Calculation</w:t>
      </w:r>
    </w:p>
    <w:p>
      <w:pPr>
        <w:spacing w:after="160" w:line="276"/>
      </w:pPr>
      <w:r>
        <w:t xml:space="preserve">Bonus amounts are tied to the employee’s salary band and their annual performance rating (1–5 scale). The specific multiplier is determined by the CEO and communicated each February.</w:t>
      </w:r>
    </w:p>
    <w:p>
      <w:pPr>
        <w:pStyle w:val="Heading1"/>
      </w:pPr>
      <w:r>
        <w:t xml:space="preserve">8.  Resignation &amp; Notice Period</w:t>
      </w:r>
    </w:p>
    <w:p>
      <w:pPr>
        <w:spacing w:after="160" w:line="276"/>
      </w:pPr>
      <w:r>
        <w:t xml:space="preserve">Employees wishing to resign must submit a written resignation letter or formal notice via the HRMS portal.</w:t>
      </w:r>
    </w:p>
    <w:p>
      <w:pPr>
        <w:pStyle w:val="Heading2"/>
      </w:pPr>
      <w:r>
        <w:t xml:space="preserve">8.1  Notice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spacing w:after="0" w:line="260"/>
            </w:pPr>
            <w:r>
              <w:rPr>
                <w:b/>
                <w:bCs/>
                <w:color w:val="FFFFFF"/>
                <w:sz w:val="21"/>
                <w:szCs w:val="21"/>
              </w:rPr>
              <w:t xml:space="preserve">Employee status</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spacing w:after="0" w:line="260"/>
            </w:pPr>
            <w:r>
              <w:rPr>
                <w:b/>
                <w:bCs/>
                <w:color w:val="FFFFFF"/>
                <w:sz w:val="21"/>
                <w:szCs w:val="21"/>
              </w:rPr>
              <w:t xml:space="preserve">Notice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In probation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1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Confirmed, Bands 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4 weeks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Confirmed, Bands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b w:val="false"/>
                <w:bCs w:val="false"/>
                <w:color w:val="000000"/>
                <w:sz w:val="21"/>
                <w:szCs w:val="21"/>
              </w:rPr>
              <w:t xml:space="preserve">8 weeks</w:t>
            </w:r>
          </w:p>
        </w:tc>
      </w:tr>
    </w:tbl>
    <w:p>
      <w:pPr>
        <w:spacing w:after="80"/>
      </w:pPr>
    </w:p>
    <w:p>
      <w:pPr>
        <w:pStyle w:val="Heading2"/>
      </w:pPr>
      <w:r>
        <w:t xml:space="preserve">8.2  Leave payout</w:t>
      </w:r>
    </w:p>
    <w:p>
      <w:pPr>
        <w:spacing w:after="160" w:line="276"/>
      </w:pPr>
      <w:r>
        <w:t xml:space="preserve">Accrued but untaken annual leave is paid out on the employee’s final payslip. Sick leave is not paid out.</w:t>
      </w:r>
    </w:p>
    <w:p>
      <w:pPr>
        <w:pStyle w:val="Heading1"/>
      </w:pPr>
      <w:r>
        <w:t xml:space="preserve">9.  Expense &amp; Reimbursement</w:t>
      </w:r>
    </w:p>
    <w:p>
      <w:pPr>
        <w:pStyle w:val="ListParagraph"/>
        <w:numPr>
          <w:ilvl w:val="0"/>
          <w:numId w:val="4"/>
        </w:numPr>
        <w:spacing w:after="80" w:line="276"/>
      </w:pPr>
      <w:r>
        <w:t xml:space="preserve">Work-related expenses must be submitted within 30 days of the expense date.</w:t>
      </w:r>
    </w:p>
    <w:p>
      <w:pPr>
        <w:pStyle w:val="ListParagraph"/>
        <w:numPr>
          <w:ilvl w:val="0"/>
          <w:numId w:val="4"/>
        </w:numPr>
        <w:spacing w:after="80" w:line="276"/>
      </w:pPr>
      <w:r>
        <w:t xml:space="preserve">A valid receipt or invoice must accompany every claim.</w:t>
      </w:r>
    </w:p>
    <w:p>
      <w:pPr>
        <w:pStyle w:val="ListParagraph"/>
        <w:numPr>
          <w:ilvl w:val="0"/>
          <w:numId w:val="4"/>
        </w:numPr>
        <w:spacing w:after="80" w:line="276"/>
      </w:pPr>
      <w:r>
        <w:t xml:space="preserve">Claims require the employee’s direct manager’s sign-off.</w:t>
      </w:r>
    </w:p>
    <w:p>
      <w:pPr>
        <w:pStyle w:val="ListParagraph"/>
        <w:numPr>
          <w:ilvl w:val="0"/>
          <w:numId w:val="4"/>
        </w:numPr>
        <w:spacing w:after="80" w:line="276"/>
      </w:pPr>
      <w:r>
        <w:t xml:space="preserve">Approved reimbursements are paid in the next payroll cycle.</w:t>
      </w:r>
    </w:p>
    <w:p>
      <w:pPr>
        <w:spacing w:after="160" w:line="276"/>
      </w:pPr>
      <w:r>
        <w:t xml:space="preserve">Examples of reimbursable expenses include: client-related travel, conference registration fees, and pre-approved software or equipment purchases. Personal expenses, commuting costs, and entertainment are not reimbursable unless pre-approved by a department head.</w:t>
      </w:r>
    </w:p>
    <w:p>
      <w:pPr>
        <w:pStyle w:val="Heading1"/>
      </w:pPr>
      <w:r>
        <w:t xml:space="preserve">10.  Code of Conduct</w:t>
      </w:r>
    </w:p>
    <w:p>
      <w:pPr>
        <w:spacing w:after="160" w:line="276"/>
      </w:pPr>
      <w:r>
        <w:t xml:space="preserve">All employees of Lumen &amp; Vale are expected to uphold the following standards:</w:t>
      </w:r>
    </w:p>
    <w:p>
      <w:pPr>
        <w:pStyle w:val="ListParagraph"/>
        <w:numPr>
          <w:ilvl w:val="0"/>
          <w:numId w:val="2"/>
        </w:numPr>
        <w:spacing w:after="80" w:line="276"/>
      </w:pPr>
      <w:r>
        <w:t xml:space="preserve">Act with integrity, honesty, and professionalism in all interactions.</w:t>
      </w:r>
    </w:p>
    <w:p>
      <w:pPr>
        <w:pStyle w:val="ListParagraph"/>
        <w:numPr>
          <w:ilvl w:val="0"/>
          <w:numId w:val="2"/>
        </w:numPr>
        <w:spacing w:after="80" w:line="276"/>
      </w:pPr>
      <w:r>
        <w:t xml:space="preserve">Treat colleagues, clients, and partners with respect and courtesy.</w:t>
      </w:r>
    </w:p>
    <w:p>
      <w:pPr>
        <w:pStyle w:val="ListParagraph"/>
        <w:numPr>
          <w:ilvl w:val="0"/>
          <w:numId w:val="2"/>
        </w:numPr>
        <w:spacing w:after="80" w:line="276"/>
      </w:pPr>
      <w:r>
        <w:t xml:space="preserve">Maintain the confidentiality of company and client information. Unauthorised disclosure is grounds for disciplinary action.</w:t>
      </w:r>
    </w:p>
    <w:p>
      <w:pPr>
        <w:pStyle w:val="ListParagraph"/>
        <w:numPr>
          <w:ilvl w:val="0"/>
          <w:numId w:val="2"/>
        </w:numPr>
        <w:spacing w:after="80" w:line="276"/>
      </w:pPr>
      <w:r>
        <w:t xml:space="preserve">Avoid conflicts of interest. Any outside business activity must be disclosed to HR.</w:t>
      </w:r>
    </w:p>
    <w:p>
      <w:pPr>
        <w:pStyle w:val="ListParagraph"/>
        <w:numPr>
          <w:ilvl w:val="0"/>
          <w:numId w:val="2"/>
        </w:numPr>
        <w:spacing w:after="80" w:line="276"/>
      </w:pPr>
      <w:r>
        <w:t xml:space="preserve">Comply with all applicable laws and regulations.</w:t>
      </w:r>
    </w:p>
    <w:p>
      <w:pPr>
        <w:spacing w:after="160" w:line="276"/>
      </w:pPr>
      <w:r>
        <w:t xml:space="preserve">Harassment, bullying, discrimination, or retaliation of any kind is strictly prohibited and will result in disciplinary action, up to and including termination.</w:t>
      </w:r>
    </w:p>
    <w:p>
      <w:pPr>
        <w:pStyle w:val="Heading1"/>
      </w:pPr>
      <w:r>
        <w:t xml:space="preserve">11.  Anti-Harassment &amp; Equal Opportunity</w:t>
      </w:r>
    </w:p>
    <w:p>
      <w:pPr>
        <w:spacing w:after="160" w:line="276"/>
      </w:pPr>
      <w:r>
        <w:t xml:space="preserve">Lumen &amp; Vale is committed to providing a workplace free of harassment and discrimination. We do not tolerate discrimination based on race, gender, age, religion, disability, marital status, sexual orientation, or any other protected characteristic.</w:t>
      </w:r>
    </w:p>
    <w:p>
      <w:pPr>
        <w:spacing w:after="160" w:line="276"/>
      </w:pPr>
      <w:r>
        <w:t xml:space="preserve">Employees who experience or witness harassment are encouraged to report it to HR or their department head. All reports will be investigated promptly and confidentially. Retaliation against anyone who reports in good faith is prohibited.</w:t>
      </w:r>
    </w:p>
    <w:p>
      <w:pPr>
        <w:pStyle w:val="Heading1"/>
      </w:pPr>
      <w:r>
        <w:t xml:space="preserve">12.  Disciplinary &amp; Grievance Procedure</w:t>
      </w:r>
    </w:p>
    <w:p>
      <w:pPr>
        <w:pStyle w:val="Heading2"/>
      </w:pPr>
      <w:r>
        <w:t xml:space="preserve">12.1  Disciplinary process</w:t>
      </w:r>
    </w:p>
    <w:p>
      <w:pPr>
        <w:spacing w:after="160" w:line="276"/>
      </w:pPr>
      <w:r>
        <w:t xml:space="preserve">Where an employee’s conduct or performance falls below the expected standard, the following process applies:</w:t>
      </w:r>
    </w:p>
    <w:p>
      <w:pPr>
        <w:pStyle w:val="ListParagraph"/>
        <w:numPr>
          <w:ilvl w:val="0"/>
          <w:numId w:val="5"/>
        </w:numPr>
        <w:spacing w:after="80" w:line="276"/>
      </w:pPr>
      <w:r>
        <w:t xml:space="preserve">Verbal warning (documented).</w:t>
      </w:r>
    </w:p>
    <w:p>
      <w:pPr>
        <w:pStyle w:val="ListParagraph"/>
        <w:numPr>
          <w:ilvl w:val="0"/>
          <w:numId w:val="5"/>
        </w:numPr>
        <w:spacing w:after="80" w:line="276"/>
      </w:pPr>
      <w:r>
        <w:t xml:space="preserve">Written warning with an improvement plan.</w:t>
      </w:r>
    </w:p>
    <w:p>
      <w:pPr>
        <w:pStyle w:val="ListParagraph"/>
        <w:numPr>
          <w:ilvl w:val="0"/>
          <w:numId w:val="5"/>
        </w:numPr>
        <w:spacing w:after="80" w:line="276"/>
      </w:pPr>
      <w:r>
        <w:t xml:space="preserve">Final written warning.</w:t>
      </w:r>
    </w:p>
    <w:p>
      <w:pPr>
        <w:pStyle w:val="ListParagraph"/>
        <w:numPr>
          <w:ilvl w:val="0"/>
          <w:numId w:val="5"/>
        </w:numPr>
        <w:spacing w:after="80" w:line="276"/>
      </w:pPr>
      <w:r>
        <w:t xml:space="preserve">Termination, if no improvement is made.</w:t>
      </w:r>
    </w:p>
    <w:p>
      <w:pPr>
        <w:spacing w:after="160" w:line="276"/>
      </w:pPr>
      <w:r>
        <w:t xml:space="preserve">In cases of gross misconduct (e.g. fraud, theft, violence, serious breach of confidentiality), the company reserves the right to proceed directly to termination without prior warnings.</w:t>
      </w:r>
    </w:p>
    <w:p>
      <w:pPr>
        <w:pStyle w:val="Heading2"/>
      </w:pPr>
      <w:r>
        <w:t xml:space="preserve">12.2  Grievance process</w:t>
      </w:r>
    </w:p>
    <w:p>
      <w:pPr>
        <w:spacing w:after="160" w:line="276"/>
      </w:pPr>
      <w:r>
        <w:t xml:space="preserve">Employees who wish to raise a grievance should submit it in writing to HR. HR will acknowledge receipt within 3 working days and arrange a meeting within 10 working days. The outcome will be communicated in writing within 5 working days of the meeting.</w:t>
      </w:r>
    </w:p>
    <w:p>
      <w:pPr>
        <w:pStyle w:val="Heading1"/>
      </w:pPr>
      <w:r>
        <w:t xml:space="preserve">13.  IT Use &amp; Confidentiality</w:t>
      </w:r>
    </w:p>
    <w:p>
      <w:pPr>
        <w:spacing w:after="160" w:line="276"/>
      </w:pPr>
      <w:r>
        <w:t xml:space="preserve">Company-issued devices and accounts are for business use. Limited personal use is permitted provided it does not interfere with work or breach security policies.</w:t>
      </w:r>
    </w:p>
    <w:p>
      <w:pPr>
        <w:pStyle w:val="ListParagraph"/>
        <w:numPr>
          <w:ilvl w:val="0"/>
          <w:numId w:val="2"/>
        </w:numPr>
        <w:spacing w:after="80" w:line="276"/>
      </w:pPr>
      <w:r>
        <w:t xml:space="preserve">Passwords must be at least 12 characters and changed every 90 days.</w:t>
      </w:r>
    </w:p>
    <w:p>
      <w:pPr>
        <w:pStyle w:val="ListParagraph"/>
        <w:numPr>
          <w:ilvl w:val="0"/>
          <w:numId w:val="2"/>
        </w:numPr>
        <w:spacing w:after="80" w:line="276"/>
      </w:pPr>
      <w:r>
        <w:t xml:space="preserve">Two-factor authentication is mandatory for all company systems.</w:t>
      </w:r>
    </w:p>
    <w:p>
      <w:pPr>
        <w:pStyle w:val="ListParagraph"/>
        <w:numPr>
          <w:ilvl w:val="0"/>
          <w:numId w:val="2"/>
        </w:numPr>
        <w:spacing w:after="80" w:line="276"/>
      </w:pPr>
      <w:r>
        <w:t xml:space="preserve">Confidential data must not be stored on personal devices or shared via personal email.</w:t>
      </w:r>
    </w:p>
    <w:p>
      <w:pPr>
        <w:pStyle w:val="ListParagraph"/>
        <w:numPr>
          <w:ilvl w:val="0"/>
          <w:numId w:val="2"/>
        </w:numPr>
        <w:spacing w:after="80" w:line="276"/>
      </w:pPr>
      <w:r>
        <w:t xml:space="preserve">Employees must report suspected security incidents to IT within 24 hours.</w:t>
      </w:r>
    </w:p>
    <w:p>
      <w:pPr>
        <w:pStyle w:val="Heading1"/>
      </w:pPr>
      <w:r>
        <w:t xml:space="preserve">14.  Probation</w:t>
      </w:r>
    </w:p>
    <w:p>
      <w:pPr>
        <w:spacing w:after="160" w:line="276"/>
      </w:pPr>
      <w:r>
        <w:t xml:space="preserve">All new employees serve a probation period of 6 months from their start date. During probation:</w:t>
      </w:r>
    </w:p>
    <w:p>
      <w:pPr>
        <w:pStyle w:val="ListParagraph"/>
        <w:numPr>
          <w:ilvl w:val="0"/>
          <w:numId w:val="2"/>
        </w:numPr>
        <w:spacing w:after="80" w:line="276"/>
      </w:pPr>
      <w:r>
        <w:t xml:space="preserve">The notice period is 1 week (for both the employee and the company).</w:t>
      </w:r>
    </w:p>
    <w:p>
      <w:pPr>
        <w:pStyle w:val="ListParagraph"/>
        <w:numPr>
          <w:ilvl w:val="0"/>
          <w:numId w:val="2"/>
        </w:numPr>
        <w:spacing w:after="80" w:line="276"/>
      </w:pPr>
      <w:r>
        <w:t xml:space="preserve">The employee is not eligible for the annual performance bonus.</w:t>
      </w:r>
    </w:p>
    <w:p>
      <w:pPr>
        <w:pStyle w:val="ListParagraph"/>
        <w:numPr>
          <w:ilvl w:val="0"/>
          <w:numId w:val="2"/>
        </w:numPr>
        <w:spacing w:after="80" w:line="276"/>
      </w:pPr>
      <w:r>
        <w:t xml:space="preserve">Remote work is limited to 1 day per week (on-site at least 4 days).</w:t>
      </w:r>
    </w:p>
    <w:p>
      <w:pPr>
        <w:pStyle w:val="ListParagraph"/>
        <w:numPr>
          <w:ilvl w:val="0"/>
          <w:numId w:val="2"/>
        </w:numPr>
        <w:spacing w:after="80" w:line="276"/>
      </w:pPr>
      <w:r>
        <w:t xml:space="preserve">A formal probation review is conducted at the 3-month and 6-month marks.</w:t>
      </w:r>
    </w:p>
    <w:p>
      <w:pPr>
        <w:spacing w:after="160" w:line="276"/>
      </w:pPr>
      <w:r>
        <w:t xml:space="preserve">Upon successful completion of probation, the employee is confirmed in their role and all standard policies apply in full.</w:t>
      </w:r>
    </w:p>
    <w:p>
      <w:pPr>
        <w:pStyle w:val="Heading1"/>
      </w:pPr>
      <w:r>
        <w:t xml:space="preserve">15.  Compassionate Leave</w:t>
      </w:r>
    </w:p>
    <w:p>
      <w:pPr>
        <w:spacing w:after="160" w:line="276"/>
      </w:pPr>
      <w:r>
        <w:t xml:space="preserve">Lumen &amp; Vale recognises that employees may need time away from work following the death of a family member. Compassionate leave is available to all employees regardless of tenure or probation status.</w:t>
      </w:r>
    </w:p>
    <w:p>
      <w:pPr>
        <w:pStyle w:val="Heading2"/>
      </w:pPr>
      <w:r>
        <w:t xml:space="preserve">15.1  Entitlement</w:t>
      </w:r>
    </w:p>
    <w:p>
      <w:pPr>
        <w:numPr>
          <w:ilvl w:val="0"/>
          <w:numId w:val="1"/>
        </w:numPr>
        <w:spacing w:after="80" w:line="276"/>
      </w:pPr>
      <w:r>
        <w:t xml:space="preserve">Immediate family (spouse, parent, child, sibling, grandparent): 5 days of paid compassionate leave.</w:t>
      </w:r>
    </w:p>
    <w:p>
      <w:pPr>
        <w:numPr>
          <w:ilvl w:val="0"/>
          <w:numId w:val="1"/>
        </w:numPr>
        <w:spacing w:after="80" w:line="276"/>
      </w:pPr>
      <w:r>
        <w:t xml:space="preserve">Extended family (cousin, uncle, aunt, nephew, niece, in-law): 3 days of paid compassionate leave.</w:t>
      </w:r>
    </w:p>
    <w:p>
      <w:pPr>
        <w:pStyle w:val="Heading2"/>
      </w:pPr>
      <w:r>
        <w:t xml:space="preserve">15.2  Conditions</w:t>
      </w:r>
    </w:p>
    <w:p>
      <w:pPr>
        <w:spacing w:after="160" w:line="276"/>
      </w:pPr>
      <w:r>
        <w:t xml:space="preserve">Compassionate leave must be taken within 2 weeks of the bereavement. Employees should notify their manager as soon as practicable. If additional time is needed beyond the entitlement, employees may use annual leave or request unpaid leave through HR.</w:t>
      </w:r>
    </w:p>
    <w:p>
      <w:r>
        <w:br w:type="page"/>
      </w:r>
    </w:p>
    <w:p>
      <w:pPr>
        <w:pStyle w:val="Heading1"/>
      </w:pPr>
      <w:r>
        <w:t xml:space="preserve">Acknowledgement</w:t>
      </w:r>
    </w:p>
    <w:p>
      <w:pPr>
        <w:spacing w:after="160" w:line="276"/>
      </w:pPr>
      <w:r>
        <w:t xml:space="preserve">By continuing your employment at Lumen &amp; Vale, you acknowledge that you have read and understood the policies set out in this handbook. These policies may be updated from time to time; the latest version will always be available through the HRMS portal and through AskIvy.</w:t>
      </w:r>
    </w:p>
    <w:p>
      <w:pPr>
        <w:spacing w:after="160" w:line="276"/>
      </w:pPr>
      <w:r>
        <w:t xml:space="preserve">For any questions about these policies, please contact the HR team or ask AskIvy.</w:t>
      </w:r>
    </w:p>
    <w:p>
      <w:pPr>
        <w:spacing w:before="400"/>
      </w:pPr>
      <w:r>
        <w:rPr>
          <w:i/>
          <w:iCs/>
          <w:color w:val="5F5E5A"/>
          <w:sz w:val="18"/>
          <w:szCs w:val="18"/>
        </w:rPr>
        <w:t xml:space="preserve">Lumen &amp; Vale Pte Ltd — HR Department — Version 1.0 — January 2026</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5F5E5A"/>
        <w:sz w:val="16"/>
        <w:szCs w:val="16"/>
      </w:rPr>
      <w:t xml:space="preserve">Lumen &amp; Vale — Employee Handbook</w:t>
    </w:r>
    <w:r>
      <w:rPr>
        <w:sz w:val="16"/>
        <w:szCs w:val="16"/>
      </w:rPr>
      <w:t xml:space="preserve">	</w:t>
    </w: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34AB7" w:sz="6" w:space="4"/>
      </w:pBdr>
      <w:spacing w:after="16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2026-06-24T13:37:48.364Z</dcterms:created>
  <dcterms:modified xsi:type="dcterms:W3CDTF">2026-06-24T13:37:48.364Z</dcterms:modified>
</cp:coreProperties>
</file>

<file path=docProps/custom.xml><?xml version="1.0" encoding="utf-8"?>
<Properties xmlns="http://schemas.openxmlformats.org/officeDocument/2006/custom-properties" xmlns:vt="http://schemas.openxmlformats.org/officeDocument/2006/docPropsVTypes"/>
</file>