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200" w:type="dxa"/>
              <w:bottom w:w="200" w:type="dxa"/>
              <w:left w:w="250" w:type="dxa"/>
              <w:right w:w="2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38BDF8"/>
                <w:sz w:val="19"/>
              </w:rPr>
              <w:t>🛡️ MANUAL OFICIAL DE CALIDAD DE SOFTWARE (SQA)</w:t>
              <w:br/>
            </w:r>
            <w:r>
              <w:rPr>
                <w:rFonts w:ascii="Arial" w:hAnsi="Arial"/>
                <w:b/>
                <w:color w:val="FFFFFF"/>
                <w:sz w:val="40"/>
              </w:rPr>
              <w:t>Aseguramiento de Calidad — EduMaster AI Pro</w:t>
            </w:r>
          </w:p>
          <w:p>
            <w:pPr>
              <w:spacing w:before="120"/>
            </w:pPr>
            <w:r>
              <w:rPr>
                <w:rFonts w:ascii="Arial" w:hAnsi="Arial"/>
                <w:color w:val="CBD5E1"/>
                <w:sz w:val="18"/>
              </w:rPr>
              <w:t>Marco normativo de ingeniería, estándares de desarrollo web, SLAs de resolución, pruebas automatizadas y criterios de aceptación para el ecosistema educativo EduMaster AI Pro.</w:t>
              <w:br/>
              <w:t>Especialidad: 1° Año 'A' Software | Uptime Meta: 99.9% | Cobertura Test: &gt; 85%</w:t>
            </w:r>
          </w:p>
        </w:tc>
      </w:tr>
    </w:tbl>
    <w:p/>
    <w:p>
      <w:pPr>
        <w:keepNext/>
        <w:spacing w:before="360" w:after="120"/>
      </w:pPr>
      <w:r>
        <w:rPr>
          <w:rFonts w:ascii="Arial" w:hAnsi="Arial"/>
          <w:b/>
          <w:color w:val="070A12"/>
          <w:sz w:val="28"/>
        </w:rPr>
        <w:t>1. Control del Documento y Versiones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70A12"/>
                <w:sz w:val="19"/>
              </w:rPr>
              <w:t>Nombre del Proyecto:</w:t>
            </w:r>
            <w:r>
              <w:rPr>
                <w:color w:val="1E293B"/>
                <w:sz w:val="19"/>
              </w:rPr>
              <w:t xml:space="preserve"> EduMaster AI Pro</w:t>
            </w:r>
          </w:p>
        </w:tc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70A12"/>
                <w:sz w:val="19"/>
              </w:rPr>
              <w:t>Código de Documento:</w:t>
            </w:r>
            <w:r>
              <w:rPr>
                <w:color w:val="1E293B"/>
                <w:sz w:val="19"/>
              </w:rPr>
              <w:t xml:space="preserve"> MC-SQA-001</w:t>
            </w:r>
          </w:p>
        </w:tc>
      </w:tr>
      <w:tr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70A12"/>
                <w:sz w:val="19"/>
              </w:rPr>
              <w:t>Especialidad / Sección:</w:t>
            </w:r>
            <w:r>
              <w:rPr>
                <w:color w:val="1E293B"/>
                <w:sz w:val="19"/>
              </w:rPr>
              <w:t xml:space="preserve"> 1° Año 'A' Software</w:t>
            </w:r>
          </w:p>
        </w:tc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70A12"/>
                <w:sz w:val="19"/>
              </w:rPr>
              <w:t>Versión Actual:</w:t>
            </w:r>
            <w:r>
              <w:rPr>
                <w:color w:val="1E293B"/>
                <w:sz w:val="19"/>
              </w:rPr>
              <w:t xml:space="preserve"> v1.0.0 (Oficial)</w:t>
            </w:r>
          </w:p>
        </w:tc>
      </w:tr>
      <w:tr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70A12"/>
                <w:sz w:val="19"/>
              </w:rPr>
              <w:t>Integrantes del Equipo:</w:t>
            </w:r>
            <w:r>
              <w:rPr>
                <w:color w:val="1E293B"/>
                <w:sz w:val="19"/>
              </w:rPr>
              <w:t xml:space="preserve"> René, Alejandro, Jeffrey, Mónica</w:t>
            </w:r>
          </w:p>
        </w:tc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70A12"/>
                <w:sz w:val="19"/>
              </w:rPr>
              <w:t>Fecha de Emisión:</w:t>
            </w:r>
            <w:r>
              <w:rPr>
                <w:color w:val="1E293B"/>
                <w:sz w:val="19"/>
              </w:rPr>
              <w:t xml:space="preserve"> 22/10/2026</w:t>
            </w:r>
          </w:p>
        </w:tc>
      </w:tr>
    </w:tbl>
    <w:p/>
    <w:p>
      <w:pPr>
        <w:keepNext/>
        <w:spacing w:before="240" w:after="80"/>
      </w:pPr>
      <w:r>
        <w:rPr>
          <w:rFonts w:ascii="Arial" w:hAnsi="Arial"/>
          <w:b/>
          <w:color w:val="6366F1"/>
          <w:sz w:val="23"/>
        </w:rPr>
        <w:t>Historial de Revisiones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158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388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Descripción del Cambio</w:t>
            </w:r>
          </w:p>
        </w:tc>
        <w:tc>
          <w:tcPr>
            <w:tcW w:type="dxa" w:w="2016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Autor / Rol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7"/>
              </w:rPr>
              <w:t>0.1.0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05/10/2026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Borrador inicial de estándares de código JS/HTML y matriz RACI.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René — Líder SQA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Revisado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7"/>
              </w:rPr>
              <w:t>0.9.0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14/10/2026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Inclusión de SLAs para procesamiento de pagos y métricas de carga.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Mónica — Tech Lead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Pre-Aprobado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7"/>
              </w:rPr>
              <w:t>1.0.0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22/10/2026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Aprobación oficial del Manual de Calidad SQA para EduMaster AI Pro.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Equipo 1° A Software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VIGENTE</w:t>
            </w:r>
          </w:p>
        </w:tc>
      </w:tr>
    </w:tbl>
    <w:p/>
    <w:p>
      <w:pPr>
        <w:keepNext/>
        <w:spacing w:before="240" w:after="80"/>
      </w:pPr>
      <w:r>
        <w:rPr>
          <w:rFonts w:ascii="Arial" w:hAnsi="Arial"/>
          <w:b/>
          <w:color w:val="6366F1"/>
          <w:sz w:val="23"/>
        </w:rPr>
        <w:t>Firmas de Aprobación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1F5F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366F1"/>
                <w:sz w:val="16"/>
              </w:rPr>
              <w:t>[ELABORÓ]</w:t>
              <w:br/>
              <w:br/>
            </w:r>
            <w:r>
              <w:rPr>
                <w:color w:val="64748B"/>
              </w:rPr>
              <w:t>_____________</w:t>
              <w:br/>
            </w:r>
            <w:r>
              <w:rPr>
                <w:b/>
                <w:color w:val="070A12"/>
                <w:sz w:val="17"/>
              </w:rPr>
              <w:t>René</w:t>
              <w:br/>
            </w:r>
            <w:r>
              <w:rPr>
                <w:color w:val="64748B"/>
                <w:sz w:val="15"/>
              </w:rPr>
              <w:t>Líder SQA</w:t>
              <w:br/>
              <w:t>22/10/2026</w:t>
            </w:r>
          </w:p>
        </w:tc>
        <w:tc>
          <w:tcPr>
            <w:tcW w:type="dxa" w:w="2520"/>
            <w:shd w:fill="F1F5F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366F1"/>
                <w:sz w:val="16"/>
              </w:rPr>
              <w:t>[REVISÓ]</w:t>
              <w:br/>
              <w:br/>
            </w:r>
            <w:r>
              <w:rPr>
                <w:color w:val="64748B"/>
              </w:rPr>
              <w:t>_____________</w:t>
              <w:br/>
            </w:r>
            <w:r>
              <w:rPr>
                <w:b/>
                <w:color w:val="070A12"/>
                <w:sz w:val="17"/>
              </w:rPr>
              <w:t>Mónica</w:t>
              <w:br/>
            </w:r>
            <w:r>
              <w:rPr>
                <w:color w:val="64748B"/>
                <w:sz w:val="15"/>
              </w:rPr>
              <w:t>Tech Lead / Dev</w:t>
              <w:br/>
              <w:t>22/10/2026</w:t>
            </w:r>
          </w:p>
        </w:tc>
        <w:tc>
          <w:tcPr>
            <w:tcW w:type="dxa" w:w="2520"/>
            <w:shd w:fill="F1F5F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366F1"/>
                <w:sz w:val="16"/>
              </w:rPr>
              <w:t>[APROBÓ]</w:t>
              <w:br/>
              <w:br/>
            </w:r>
            <w:r>
              <w:rPr>
                <w:color w:val="64748B"/>
              </w:rPr>
              <w:t>_____________</w:t>
              <w:br/>
            </w:r>
            <w:r>
              <w:rPr>
                <w:b/>
                <w:color w:val="070A12"/>
                <w:sz w:val="17"/>
              </w:rPr>
              <w:t>Alejandro</w:t>
              <w:br/>
            </w:r>
            <w:r>
              <w:rPr>
                <w:color w:val="64748B"/>
                <w:sz w:val="15"/>
              </w:rPr>
              <w:t>Líder de Proyecto</w:t>
              <w:br/>
              <w:t>22/10/2026</w:t>
            </w:r>
          </w:p>
        </w:tc>
        <w:tc>
          <w:tcPr>
            <w:tcW w:type="dxa" w:w="2520"/>
            <w:shd w:fill="F1F5F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366F1"/>
                <w:sz w:val="16"/>
              </w:rPr>
              <w:t>[AUDITOR]</w:t>
              <w:br/>
              <w:br/>
            </w:r>
            <w:r>
              <w:rPr>
                <w:color w:val="64748B"/>
              </w:rPr>
              <w:t>_____________</w:t>
              <w:br/>
            </w:r>
            <w:r>
              <w:rPr>
                <w:b/>
                <w:color w:val="070A12"/>
                <w:sz w:val="17"/>
              </w:rPr>
              <w:t>Jeffrey</w:t>
              <w:br/>
            </w:r>
            <w:r>
              <w:rPr>
                <w:color w:val="64748B"/>
                <w:sz w:val="15"/>
              </w:rPr>
              <w:t>QA Specialist</w:t>
              <w:br/>
              <w:t>22/10/2026</w:t>
            </w:r>
          </w:p>
        </w:tc>
      </w:tr>
    </w:tbl>
    <w:p/>
    <w:p>
      <w:pPr>
        <w:keepNext/>
        <w:spacing w:before="360" w:after="120"/>
      </w:pPr>
      <w:r>
        <w:rPr>
          <w:rFonts w:ascii="Arial" w:hAnsi="Arial"/>
          <w:b/>
          <w:color w:val="070A12"/>
          <w:sz w:val="28"/>
        </w:rPr>
        <w:t>2. Política y Objetivos de Calidad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38BDF8"/>
              <w:top w:val="none"/>
              <w:right w:val="none"/>
              <w:bottom w:val="none"/>
            </w:tcBorders>
          </w:tcPr>
          <w:p>
            <w:r>
              <w:rPr>
                <w:b/>
                <w:color w:val="070A12"/>
                <w:sz w:val="21"/>
              </w:rPr>
              <w:t>📜 Declaración Oficial de la Política de Calidad</w:t>
              <w:br/>
            </w:r>
          </w:p>
          <w:p>
            <w:pPr>
              <w:spacing w:before="80"/>
            </w:pPr>
            <w:r>
              <w:rPr>
                <w:color w:val="1E293B"/>
                <w:sz w:val="18"/>
              </w:rPr>
              <w:t>En EduMaster AI Pro (1° A Software), nos comprometemos a ofrecer una experiencia educativa digital de clase mundial, garantizando la máxima disponibilidad de la plataforma, la protección de transacciones financieras y la privacidad absoluta de los estudiantes. Toda línea de código construida para nuestros módulos de aprendizaje, simulación e IA debe someterse a estrictos estándares de ingeniería para asegurar un rendimiento óptimo en dispositivos móviles y de escritorio.</w:t>
              <w:br/>
              <w:br/>
              <w:t>Nuestra filosofía se basa en la prevención activa de errores, la automatización de pruebas integradas al flujo de CI/CD y la mejora continua impulsada por métricas cuantitativas, asegurando que cada release aporte valor real sin comprometer la estabilidad del sistema.</w:t>
            </w:r>
          </w:p>
        </w:tc>
      </w:tr>
    </w:tbl>
    <w:p/>
    <w:p>
      <w:pPr>
        <w:keepNext/>
        <w:spacing w:before="240" w:after="80"/>
      </w:pPr>
      <w:r>
        <w:rPr>
          <w:rFonts w:ascii="Arial" w:hAnsi="Arial"/>
          <w:b/>
          <w:color w:val="6366F1"/>
          <w:sz w:val="23"/>
        </w:rPr>
        <w:t>Metas y Objetivos Cuantitativos de Calidad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64748B"/>
                <w:sz w:val="18"/>
              </w:rPr>
              <w:t>Tiempo de Carga (FCP)</w:t>
              <w:br/>
            </w:r>
            <w:r>
              <w:rPr>
                <w:b/>
                <w:color w:val="6366F1"/>
                <w:sz w:val="26"/>
              </w:rPr>
              <w:t>&lt; 1.2s</w:t>
              <w:br/>
            </w:r>
            <w:r>
              <w:rPr>
                <w:color w:val="1E293B"/>
                <w:sz w:val="16"/>
              </w:rPr>
              <w:t>First Contentful Paint en catálogo de cursos e interfaz interactiva.</w:t>
            </w:r>
          </w:p>
        </w:tc>
        <w:tc>
          <w:tcPr>
            <w:tcW w:type="dxa" w:w="504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64748B"/>
                <w:sz w:val="18"/>
              </w:rPr>
              <w:t>Seguridad en Pagos</w:t>
              <w:br/>
            </w:r>
            <w:r>
              <w:rPr>
                <w:b/>
                <w:color w:val="6366F1"/>
                <w:sz w:val="26"/>
              </w:rPr>
              <w:t>100%</w:t>
              <w:br/>
            </w:r>
            <w:r>
              <w:rPr>
                <w:color w:val="1E293B"/>
                <w:sz w:val="16"/>
              </w:rPr>
              <w:t>Cumplimiento con cifrado SSL/TLS y PCI-DSS en pasarela de cupones y checkout.</w:t>
            </w:r>
          </w:p>
        </w:tc>
      </w:tr>
      <w:tr>
        <w:tc>
          <w:tcPr>
            <w:tcW w:type="dxa" w:w="504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64748B"/>
                <w:sz w:val="18"/>
              </w:rPr>
              <w:t>Cobertura de Pruebas</w:t>
              <w:br/>
            </w:r>
            <w:r>
              <w:rPr>
                <w:b/>
                <w:color w:val="6366F1"/>
                <w:sz w:val="26"/>
              </w:rPr>
              <w:t>≥ 85%</w:t>
              <w:br/>
            </w:r>
            <w:r>
              <w:rPr>
                <w:color w:val="1E293B"/>
                <w:sz w:val="16"/>
              </w:rPr>
              <w:t>En lógica de negocio backend y validaciones JavaScript en cliente.</w:t>
            </w:r>
          </w:p>
        </w:tc>
        <w:tc>
          <w:tcPr>
            <w:tcW w:type="dxa" w:w="504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64748B"/>
                <w:sz w:val="18"/>
              </w:rPr>
              <w:t>Disponibilidad (SLA)</w:t>
              <w:br/>
            </w:r>
            <w:r>
              <w:rPr>
                <w:b/>
                <w:color w:val="6366F1"/>
                <w:sz w:val="26"/>
              </w:rPr>
              <w:t>99.9%</w:t>
              <w:br/>
            </w:r>
            <w:r>
              <w:rPr>
                <w:color w:val="1E293B"/>
                <w:sz w:val="16"/>
              </w:rPr>
              <w:t>Uptime garantizado en la infraestructura global de cursos.</w:t>
            </w:r>
          </w:p>
        </w:tc>
      </w:tr>
    </w:tbl>
    <w:p/>
    <w:p>
      <w:pPr>
        <w:keepNext/>
        <w:spacing w:before="360" w:after="120"/>
      </w:pPr>
      <w:r>
        <w:rPr>
          <w:rFonts w:ascii="Arial" w:hAnsi="Arial"/>
          <w:b/>
          <w:color w:val="070A12"/>
          <w:sz w:val="28"/>
        </w:rPr>
        <w:t>3. Estructura Organizacional y Matriz RACI</w:t>
      </w:r>
    </w:p>
    <w:p>
      <w:r>
        <w:rPr>
          <w:b/>
          <w:sz w:val="17"/>
        </w:rPr>
        <w:t xml:space="preserve">Simbología: </w:t>
      </w:r>
      <w:r>
        <w:rPr>
          <w:sz w:val="17"/>
        </w:rPr>
        <w:t>R = Responsable (Ejecuta) | A = Aprobador (Autoriza) | C = Consultado (Aporta) | I = Informado (Notificado)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320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Fase / Entregable del Proyecto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Líder Proyecto</w:t>
              <w:br/>
              <w:t>(Alejandro)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Tech Lead</w:t>
              <w:br/>
              <w:t>(Mónica)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Líder SQA</w:t>
              <w:br/>
              <w:t>(René)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QA Specialist</w:t>
              <w:br/>
              <w:t>(Jeffrey)</w:t>
            </w:r>
          </w:p>
        </w:tc>
      </w:tr>
      <w:tr>
        <w:tc>
          <w:tcPr>
            <w:tcW w:type="dxa" w:w="43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6"/>
              </w:rPr>
              <w:t>Definición de Requisitos &amp; Historias de Usuario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366F1"/>
                <w:sz w:val="16"/>
              </w:rPr>
              <w:t>R / A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6"/>
              </w:rPr>
              <w:t>C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6"/>
              </w:rPr>
              <w:t>C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6"/>
              </w:rPr>
              <w:t>C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6"/>
              </w:rPr>
              <w:t>Diseño de Interfaz &amp; Accesibilidad WAI-ARIA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6"/>
              </w:rPr>
              <w:t>I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6"/>
              </w:rPr>
              <w:t>C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6"/>
              </w:rPr>
              <w:t>C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366F1"/>
                <w:sz w:val="16"/>
              </w:rPr>
              <w:t>R / A</w:t>
            </w:r>
          </w:p>
        </w:tc>
      </w:tr>
      <w:tr>
        <w:tc>
          <w:tcPr>
            <w:tcW w:type="dxa" w:w="43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6"/>
              </w:rPr>
              <w:t>Desarrollo Frontend / Backend (Módulos &amp; Cursos)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6"/>
              </w:rPr>
              <w:t>I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366F1"/>
                <w:sz w:val="16"/>
              </w:rPr>
              <w:t>R / A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6"/>
              </w:rPr>
              <w:t>C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6"/>
              </w:rPr>
              <w:t>I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6"/>
              </w:rPr>
              <w:t>Ejecución de Pruebas Unitarias y E2E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6"/>
              </w:rPr>
              <w:t>I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6"/>
              </w:rPr>
              <w:t>C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366F1"/>
                <w:sz w:val="16"/>
              </w:rPr>
              <w:t>R / A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366F1"/>
                <w:sz w:val="16"/>
              </w:rPr>
              <w:t>R</w:t>
            </w:r>
          </w:p>
        </w:tc>
      </w:tr>
      <w:tr>
        <w:tc>
          <w:tcPr>
            <w:tcW w:type="dxa" w:w="43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6"/>
              </w:rPr>
              <w:t>Auditoría SQA y Sign-off para Producción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366F1"/>
                <w:sz w:val="16"/>
              </w:rPr>
              <w:t>A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366F1"/>
                <w:sz w:val="16"/>
              </w:rPr>
              <w:t>R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366F1"/>
                <w:sz w:val="16"/>
              </w:rPr>
              <w:t>R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366F1"/>
                <w:sz w:val="16"/>
              </w:rPr>
              <w:t>R</w:t>
            </w:r>
          </w:p>
        </w:tc>
      </w:tr>
    </w:tbl>
    <w:p/>
    <w:p>
      <w:pPr>
        <w:keepNext/>
        <w:spacing w:before="360" w:after="120"/>
      </w:pPr>
      <w:r>
        <w:rPr>
          <w:rFonts w:ascii="Arial" w:hAnsi="Arial"/>
          <w:b/>
          <w:color w:val="070A12"/>
          <w:sz w:val="28"/>
        </w:rPr>
        <w:t>4. Estándares de Codificación Web (HTML5 / CSS / 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70A12"/>
                <w:sz w:val="18"/>
              </w:rPr>
              <w:t>🏷️ Nomenclatura Estricta</w:t>
              <w:br/>
            </w:r>
          </w:p>
          <w:p>
            <w:pPr>
              <w:spacing w:before="40" w:after="40"/>
            </w:pPr>
            <w:r>
              <w:rPr>
                <w:b/>
                <w:color w:val="6366F1"/>
              </w:rPr>
              <w:t xml:space="preserve">• </w:t>
            </w:r>
            <w:r>
              <w:rPr>
                <w:color w:val="1E293B"/>
                <w:sz w:val="16"/>
              </w:rPr>
              <w:t>Variables / Funciones: Usar camelCase (ej. procesarInscripcion()).</w:t>
            </w:r>
          </w:p>
          <w:p>
            <w:pPr>
              <w:spacing w:before="40" w:after="40"/>
            </w:pPr>
            <w:r>
              <w:rPr>
                <w:b/>
                <w:color w:val="6366F1"/>
              </w:rPr>
              <w:t xml:space="preserve">• </w:t>
            </w:r>
            <w:r>
              <w:rPr>
                <w:color w:val="1E293B"/>
                <w:sz w:val="16"/>
              </w:rPr>
              <w:t>Clases CSS: Kebab-case con BEM (ej. .course-card__badge).</w:t>
            </w:r>
          </w:p>
          <w:p>
            <w:pPr>
              <w:spacing w:before="40" w:after="40"/>
            </w:pPr>
            <w:r>
              <w:rPr>
                <w:b/>
                <w:color w:val="6366F1"/>
              </w:rPr>
              <w:t xml:space="preserve">• </w:t>
            </w:r>
            <w:r>
              <w:rPr>
                <w:color w:val="1E293B"/>
                <w:sz w:val="16"/>
              </w:rPr>
              <w:t>Constantes: UPPER_SNAKE_CASE (ej. CUPON_VALIDO_50).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70A12"/>
                <w:sz w:val="18"/>
              </w:rPr>
              <w:t>⚡ Control Async / Await</w:t>
              <w:br/>
            </w:r>
          </w:p>
          <w:p>
            <w:pPr>
              <w:spacing w:before="40" w:after="40"/>
            </w:pPr>
            <w:r>
              <w:rPr>
                <w:b/>
                <w:color w:val="6366F1"/>
              </w:rPr>
              <w:t xml:space="preserve">• </w:t>
            </w:r>
            <w:r>
              <w:rPr>
                <w:color w:val="1E293B"/>
                <w:sz w:val="16"/>
              </w:rPr>
              <w:t>Prohibido dejar promesas sin capturar (unhandledrejection).</w:t>
            </w:r>
          </w:p>
          <w:p>
            <w:pPr>
              <w:spacing w:before="40" w:after="40"/>
            </w:pPr>
            <w:r>
              <w:rPr>
                <w:b/>
                <w:color w:val="6366F1"/>
              </w:rPr>
              <w:t xml:space="preserve">• </w:t>
            </w:r>
            <w:r>
              <w:rPr>
                <w:color w:val="1E293B"/>
                <w:sz w:val="16"/>
              </w:rPr>
              <w:t>Encapsular llamadas API siempre en bloques try { ... } catch (err).</w:t>
            </w:r>
          </w:p>
          <w:p>
            <w:pPr>
              <w:spacing w:before="40" w:after="40"/>
            </w:pPr>
            <w:r>
              <w:rPr>
                <w:b/>
                <w:color w:val="6366F1"/>
              </w:rPr>
              <w:t xml:space="preserve">• </w:t>
            </w:r>
            <w:r>
              <w:rPr>
                <w:color w:val="1E293B"/>
                <w:sz w:val="16"/>
              </w:rPr>
              <w:t>Notificar con Toaster UI limpia, nunca con alert().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70A12"/>
                <w:sz w:val="18"/>
              </w:rPr>
              <w:t>♿ Accesibilidad &amp; DOM</w:t>
              <w:br/>
            </w:r>
          </w:p>
          <w:p>
            <w:pPr>
              <w:spacing w:before="40" w:after="40"/>
            </w:pPr>
            <w:r>
              <w:rPr>
                <w:b/>
                <w:color w:val="6366F1"/>
              </w:rPr>
              <w:t xml:space="preserve">• </w:t>
            </w:r>
            <w:r>
              <w:rPr>
                <w:color w:val="1E293B"/>
                <w:sz w:val="16"/>
              </w:rPr>
              <w:t>Uso obligatorio de semantic HTML5 y aria-label en botones.</w:t>
            </w:r>
          </w:p>
          <w:p>
            <w:pPr>
              <w:spacing w:before="40" w:after="40"/>
            </w:pPr>
            <w:r>
              <w:rPr>
                <w:b/>
                <w:color w:val="6366F1"/>
              </w:rPr>
              <w:t xml:space="preserve">• </w:t>
            </w:r>
            <w:r>
              <w:rPr>
                <w:color w:val="1E293B"/>
                <w:sz w:val="16"/>
              </w:rPr>
              <w:t>Imágenes con etiquetas alt descriptivas y fallback.</w:t>
            </w:r>
          </w:p>
          <w:p>
            <w:pPr>
              <w:spacing w:before="40" w:after="40"/>
            </w:pPr>
            <w:r>
              <w:rPr>
                <w:b/>
                <w:color w:val="6366F1"/>
              </w:rPr>
              <w:t xml:space="preserve">• </w:t>
            </w:r>
            <w:r>
              <w:rPr>
                <w:color w:val="1E293B"/>
                <w:sz w:val="16"/>
              </w:rPr>
              <w:t>Minimizar reflows manipulando el DOM en lote o clases CSS.</w:t>
            </w:r>
          </w:p>
        </w:tc>
      </w:tr>
    </w:tbl>
    <w:p/>
    <w:p>
      <w:pPr>
        <w:keepNext/>
        <w:spacing w:before="360" w:after="120"/>
      </w:pPr>
      <w:r>
        <w:rPr>
          <w:rFonts w:ascii="Arial" w:hAnsi="Arial"/>
          <w:b/>
          <w:color w:val="070A12"/>
          <w:sz w:val="28"/>
        </w:rPr>
        <w:t>5. Código de Referencia Conforme al Estándar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b/>
                <w:color w:val="38BDF8"/>
                <w:sz w:val="17"/>
              </w:rPr>
              <w:t>InscripcionService.js</w:t>
              <w:br/>
            </w:r>
            <w:r>
              <w:rPr>
                <w:rFonts w:ascii="Courier New" w:hAnsi="Courier New"/>
                <w:color w:val="E2E8F0"/>
                <w:sz w:val="16"/>
              </w:rPr>
              <w:t>// =========================================================================</w:t>
              <w:br/>
              <w:t>// MÓDULO: Servicio de Inscripción de Cursos (EduMaster AI Pro)</w:t>
              <w:br/>
              <w:t>// Cumple con Norma MC-SQA-001: Manejo de Excepciones y Nomenclatura</w:t>
              <w:br/>
              <w:t>// =========================================================================</w:t>
              <w:br/>
              <w:br/>
              <w:t>const CUPON_VALIDO_50 = "DESCUENTO50";</w:t>
              <w:br/>
              <w:t>const DESCUENTO_PORCENTAJE = 0.50;</w:t>
              <w:br/>
              <w:br/>
              <w:t>/**</w:t>
              <w:br/>
              <w:t xml:space="preserve"> * Procesa la inscripción a un curso aplicando cupones de descuento.</w:t>
              <w:br/>
              <w:t xml:space="preserve"> * @param {string} cursoId - ID del curso seleccionado.</w:t>
              <w:br/>
              <w:t xml:space="preserve"> * @param {number} precioBase - Precio nominal del curso en USD.</w:t>
              <w:br/>
              <w:t xml:space="preserve"> * @param {string} codigoCupon - Código de cupón ingresado por el usuario.</w:t>
              <w:br/>
              <w:t xml:space="preserve"> * @returns {Promise&lt;Object&gt;} Resultado de la transacción.</w:t>
              <w:br/>
              <w:t xml:space="preserve"> */</w:t>
              <w:br/>
              <w:t>async function procesarInscripcionCurso(cursoId, precioBase, codigoCupon = "") {</w:t>
              <w:br/>
              <w:t xml:space="preserve">  try {</w:t>
              <w:br/>
              <w:t xml:space="preserve">    // 1. Validaciones previas de entradas</w:t>
              <w:br/>
              <w:t xml:space="preserve">    if (!cursoId || typeof precioBase !== "number" || !Number.isFinite(precioBase) || precioBase &lt;= 0) {</w:t>
              <w:br/>
              <w:t xml:space="preserve">      throw new Error("Parámetros de curso o precio no válidos.");</w:t>
              <w:br/>
              <w:t xml:space="preserve">    }</w:t>
              <w:br/>
              <w:br/>
              <w:t xml:space="preserve">    // Normaliza el cupón (tolera null, undefined o valores no string)</w:t>
              <w:br/>
              <w:t xml:space="preserve">    const cuponNormalizado = typeof codigoCupon === "string" ? codigoCupon.trim().toUpperCase() : "";</w:t>
              <w:br/>
              <w:br/>
              <w:t xml:space="preserve">    let precioFinal = precioBase;</w:t>
              <w:br/>
              <w:t xml:space="preserve">    let cuponAplicado = false;</w:t>
              <w:br/>
              <w:br/>
              <w:t xml:space="preserve">    // 2. Lógica de cálculo de descuento</w:t>
              <w:br/>
              <w:t xml:space="preserve">    if (cuponNormalizado === CUPON_VALIDO_50) {</w:t>
              <w:br/>
              <w:t xml:space="preserve">      precioFinal = precioBase * (1 - DESCUENTO_PORCENTAJE);</w:t>
              <w:br/>
              <w:t xml:space="preserve">      cuponAplicado = true;</w:t>
              <w:br/>
              <w:t xml:space="preserve">    }</w:t>
              <w:br/>
              <w:br/>
              <w:t xml:space="preserve">    // 3. Simulación de respuesta asíncrona segura</w:t>
              <w:br/>
              <w:t xml:space="preserve">    return {</w:t>
              <w:br/>
              <w:t xml:space="preserve">      exito: true,</w:t>
              <w:br/>
              <w:t xml:space="preserve">      cursoId,</w:t>
              <w:br/>
              <w:t xml:space="preserve">      montoPagado: precioFinal.toFixed(2),</w:t>
              <w:br/>
              <w:t xml:space="preserve">      descuento: cuponAplicado ? "50%" : "0%",</w:t>
              <w:br/>
              <w:t xml:space="preserve">      fecha: new Date().toISOString()</w:t>
              <w:br/>
              <w:t xml:space="preserve">    };</w:t>
              <w:br/>
              <w:br/>
              <w:t xml:space="preserve">  } catch (error) {</w:t>
              <w:br/>
              <w:t xml:space="preserve">    // Registro en log de auditoría SQA</w:t>
              <w:br/>
              <w:t xml:space="preserve">    console.error("[SQA-LOG] Error en procesarInscripcionCurso:", error.message);</w:t>
              <w:br/>
              <w:t xml:space="preserve">    return {</w:t>
              <w:br/>
              <w:t xml:space="preserve">      exito: false,</w:t>
              <w:br/>
              <w:t xml:space="preserve">      mensajeError: error.message</w:t>
              <w:br/>
              <w:t xml:space="preserve">    };</w:t>
              <w:br/>
              <w:t xml:space="preserve">  }</w:t>
              <w:br/>
              <w:t>}</w:t>
            </w:r>
          </w:p>
        </w:tc>
      </w:tr>
    </w:tbl>
    <w:p/>
    <w:p>
      <w:pPr>
        <w:keepNext/>
        <w:spacing w:before="360" w:after="120"/>
      </w:pPr>
      <w:r>
        <w:rPr>
          <w:rFonts w:ascii="Arial" w:hAnsi="Arial"/>
          <w:b/>
          <w:color w:val="070A12"/>
          <w:sz w:val="28"/>
        </w:rPr>
        <w:t>6. Estrategia de Pruebas y Herramientas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type="dxa" w:w="34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Alcance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Herramienta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Meta / Criterio</w:t>
            </w:r>
          </w:p>
        </w:tc>
        <w:tc>
          <w:tcPr>
            <w:tcW w:type="dxa" w:w="129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6"/>
              </w:rPr>
              <w:t>Unitarias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Funciones de negocio (cupones, precios, validaciones).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Jest / Vitest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Cobertura ≥ 85%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Dev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6"/>
              </w:rPr>
              <w:t>Integración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API, base de datos y pasarela de pago.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Supertest / Postman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100% endpoints críticos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Dev / QA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6"/>
              </w:rPr>
              <w:t>E2E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Flujos completos: registro, inscripción, checkout.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Cypress / Playwright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Flujos críticos sin fallos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QA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6"/>
              </w:rPr>
              <w:t>Rendimiento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Carga del catálogo y picos de inscripciones.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Lighthouse / k6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FCP &lt; 1.2s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QA / Dev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6"/>
              </w:rPr>
              <w:t>Seguridad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Vulnerabilidades web y manejo de pagos.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OWASP ZAP / npm audit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0 vulnerabilidades críticas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QA / Tech Lead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6"/>
              </w:rPr>
              <w:t>Accesibilidad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Navegación por teclado, lectores de pantalla, contraste.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axe DevTools / Lighthouse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WCAG 2.1 nivel AA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UX/UI / QA</w:t>
            </w:r>
          </w:p>
        </w:tc>
      </w:tr>
    </w:tbl>
    <w:p/>
    <w:p>
      <w:pPr>
        <w:keepNext/>
        <w:spacing w:before="360" w:after="120"/>
      </w:pPr>
      <w:r>
        <w:rPr>
          <w:rFonts w:ascii="Arial" w:hAnsi="Arial"/>
          <w:b/>
          <w:color w:val="070A12"/>
          <w:sz w:val="28"/>
        </w:rPr>
        <w:t>7. Gestión de Incidencias y Control de Errores (Bugs) [Sección 8]</w:t>
      </w:r>
    </w:p>
    <w:p>
      <w:pPr>
        <w:keepNext/>
        <w:spacing w:before="240" w:after="80"/>
      </w:pPr>
      <w:r>
        <w:rPr>
          <w:rFonts w:ascii="Arial" w:hAnsi="Arial"/>
          <w:b/>
          <w:color w:val="6366F1"/>
          <w:sz w:val="23"/>
        </w:rPr>
        <w:t>7.1. Clasificación de Severidad y Tiempos de Solución (SLA)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Severidad</w:t>
            </w:r>
          </w:p>
        </w:tc>
        <w:tc>
          <w:tcPr>
            <w:tcW w:type="dxa" w:w="5328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Descripción del Error en EduMaster AI Pro</w:t>
            </w:r>
          </w:p>
        </w:tc>
        <w:tc>
          <w:tcPr>
            <w:tcW w:type="dxa" w:w="2160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Tiempo Máximo de Solución (SLA)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E11D48"/>
                <w:sz w:val="16"/>
              </w:rPr>
              <w:t>Alta (Bloqueante)</w:t>
            </w:r>
          </w:p>
        </w:tc>
        <w:tc>
          <w:tcPr>
            <w:tcW w:type="dxa" w:w="53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La plataforma EduMaster se cae, pantalla totalmente en blanco, el inicio de sesión no responde o se pierden datos guardados de usuarios.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Menos de 12 Horas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D97706"/>
                <w:sz w:val="16"/>
              </w:rPr>
              <w:t>Media (Funcional)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Una función específica falla (ej. un filtro de búsqueda de cursos o formulario de entrega no envía datos), pero existe una alternativa.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Menos de 48 Horas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6"/>
              </w:rPr>
              <w:t>Baja (Cosmética)</w:t>
            </w:r>
          </w:p>
        </w:tc>
        <w:tc>
          <w:tcPr>
            <w:tcW w:type="dxa" w:w="53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Errores ortográficos en contenidos, desalineación de botones, inconsistencias visuales o problemas menores en dispositivos móviles.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Próximo Sprint / Entrega</w:t>
            </w:r>
          </w:p>
        </w:tc>
      </w:tr>
    </w:tbl>
    <w:p/>
    <w:p>
      <w:pPr>
        <w:keepNext/>
        <w:spacing w:before="240" w:after="80"/>
      </w:pPr>
      <w:r>
        <w:rPr>
          <w:rFonts w:ascii="Arial" w:hAnsi="Arial"/>
          <w:b/>
          <w:color w:val="6366F1"/>
          <w:sz w:val="23"/>
        </w:rPr>
        <w:t>7.2. Flujo de Vida y Estados del Bug</w:t>
      </w:r>
    </w:p>
    <w:p>
      <w:r>
        <w:rPr>
          <w:color w:val="1E293B"/>
          <w:sz w:val="18"/>
        </w:rPr>
        <w:t>Todo fallo o incidencia detectada en EduMaster AI Pro debe registrarse en el gestor de tareas del equipo (Jira / GitHub Issues / Trello) y cumplir obligatoriamente con el siguiente flujo de estados: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F1F5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64748B"/>
                <w:sz w:val="15"/>
              </w:rPr>
              <w:t>PASO 1</w:t>
              <w:br/>
            </w:r>
            <w:r>
              <w:rPr>
                <w:b/>
                <w:color w:val="6366F1"/>
                <w:sz w:val="17"/>
              </w:rPr>
              <w:t>[ NUEVO ]</w:t>
            </w:r>
          </w:p>
        </w:tc>
        <w:tc>
          <w:tcPr>
            <w:tcW w:type="dxa" w:w="2016"/>
            <w:shd w:fill="F1F5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64748B"/>
                <w:sz w:val="15"/>
              </w:rPr>
              <w:t>PASO 2</w:t>
              <w:br/>
            </w:r>
            <w:r>
              <w:rPr>
                <w:b/>
                <w:color w:val="6366F1"/>
                <w:sz w:val="17"/>
              </w:rPr>
              <w:t>[ EN REVISIÓN ]</w:t>
            </w:r>
          </w:p>
        </w:tc>
        <w:tc>
          <w:tcPr>
            <w:tcW w:type="dxa" w:w="2016"/>
            <w:shd w:fill="F1F5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64748B"/>
                <w:sz w:val="15"/>
              </w:rPr>
              <w:t>PASO 3</w:t>
              <w:br/>
            </w:r>
            <w:r>
              <w:rPr>
                <w:b/>
                <w:color w:val="6366F1"/>
                <w:sz w:val="17"/>
              </w:rPr>
              <w:t>[ RESUELTO ]</w:t>
            </w:r>
          </w:p>
        </w:tc>
        <w:tc>
          <w:tcPr>
            <w:tcW w:type="dxa" w:w="2016"/>
            <w:shd w:fill="F1F5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64748B"/>
                <w:sz w:val="15"/>
              </w:rPr>
              <w:t>PASO 4</w:t>
              <w:br/>
            </w:r>
            <w:r>
              <w:rPr>
                <w:b/>
                <w:color w:val="6366F1"/>
                <w:sz w:val="17"/>
              </w:rPr>
              <w:t>[ VERIFICADO QA ]</w:t>
            </w:r>
          </w:p>
        </w:tc>
        <w:tc>
          <w:tcPr>
            <w:tcW w:type="dxa" w:w="2016"/>
            <w:shd w:fill="F1F5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64748B"/>
                <w:sz w:val="15"/>
              </w:rPr>
              <w:t>PASO 5</w:t>
              <w:br/>
            </w:r>
            <w:r>
              <w:rPr>
                <w:b/>
                <w:color w:val="6366F1"/>
                <w:sz w:val="17"/>
              </w:rPr>
              <w:t>[ CERRADO ]</w:t>
            </w:r>
          </w:p>
        </w:tc>
      </w:tr>
    </w:tbl>
    <w:p/>
    <w:p>
      <w:pPr>
        <w:keepNext/>
        <w:spacing w:before="360" w:after="120"/>
      </w:pPr>
      <w:r>
        <w:rPr>
          <w:rFonts w:ascii="Arial" w:hAnsi="Arial"/>
          <w:b/>
          <w:color w:val="070A12"/>
          <w:sz w:val="28"/>
        </w:rPr>
        <w:t>8. Checklist de Criterios de Aceptación Pre-Despliegue</w:t>
      </w:r>
    </w:p>
    <w:p>
      <w:pPr>
        <w:spacing w:before="60" w:after="60"/>
      </w:pPr>
      <w:r>
        <w:rPr>
          <w:color w:val="6366F1"/>
          <w:sz w:val="22"/>
        </w:rPr>
        <w:t xml:space="preserve">☑  </w:t>
      </w:r>
      <w:r>
        <w:rPr>
          <w:b/>
          <w:color w:val="070A12"/>
          <w:sz w:val="19"/>
        </w:rPr>
        <w:t xml:space="preserve">1. Cero errores de sintaxis o consola — </w:t>
      </w:r>
      <w:r>
        <w:rPr>
          <w:color w:val="1E293B"/>
          <w:sz w:val="18"/>
        </w:rPr>
        <w:t>El código no genera advertencias JS ni fallos de renderizado en navegadores modernos.</w:t>
      </w:r>
    </w:p>
    <w:p>
      <w:pPr>
        <w:spacing w:before="60" w:after="60"/>
      </w:pPr>
      <w:r>
        <w:rPr>
          <w:color w:val="6366F1"/>
          <w:sz w:val="22"/>
        </w:rPr>
        <w:t xml:space="preserve">☑  </w:t>
      </w:r>
      <w:r>
        <w:rPr>
          <w:b/>
          <w:color w:val="070A12"/>
          <w:sz w:val="19"/>
        </w:rPr>
        <w:t xml:space="preserve">2. Nomenclatura y BEM validados — </w:t>
      </w:r>
      <w:r>
        <w:rPr>
          <w:color w:val="1E293B"/>
          <w:sz w:val="18"/>
        </w:rPr>
        <w:t>Cumple al 100% las normas de naming en variables camelCase y estructura HTML del manual.</w:t>
      </w:r>
    </w:p>
    <w:p>
      <w:pPr>
        <w:spacing w:before="60" w:after="60"/>
      </w:pPr>
      <w:r>
        <w:rPr>
          <w:color w:val="6366F1"/>
          <w:sz w:val="22"/>
        </w:rPr>
        <w:t xml:space="preserve">☑  </w:t>
      </w:r>
      <w:r>
        <w:rPr>
          <w:b/>
          <w:color w:val="070A12"/>
          <w:sz w:val="19"/>
        </w:rPr>
        <w:t xml:space="preserve">3. Pruebas Unitarias Exitosas (≥ 85% Cobertura) — </w:t>
      </w:r>
      <w:r>
        <w:rPr>
          <w:color w:val="1E293B"/>
          <w:sz w:val="18"/>
        </w:rPr>
        <w:t>Todas las suites de prueba de la lógica de inscripción y pagos pasan correctamente.</w:t>
      </w:r>
    </w:p>
    <w:p>
      <w:pPr>
        <w:spacing w:before="60" w:after="60"/>
      </w:pPr>
      <w:r>
        <w:rPr>
          <w:color w:val="6366F1"/>
          <w:sz w:val="22"/>
        </w:rPr>
        <w:t xml:space="preserve">☑  </w:t>
      </w:r>
      <w:r>
        <w:rPr>
          <w:b/>
          <w:color w:val="070A12"/>
          <w:sz w:val="19"/>
        </w:rPr>
        <w:t xml:space="preserve">4. Code Review Aprobado por Tech Lead — </w:t>
      </w:r>
      <w:r>
        <w:rPr>
          <w:color w:val="1E293B"/>
          <w:sz w:val="18"/>
        </w:rPr>
        <w:t>Revisión de pares efectuada garantizando mantenibilidad y ausencia de código duplicado.</w:t>
      </w:r>
    </w:p>
    <w:p>
      <w:pPr>
        <w:spacing w:before="60" w:after="60"/>
      </w:pPr>
      <w:r>
        <w:rPr>
          <w:color w:val="6366F1"/>
          <w:sz w:val="22"/>
        </w:rPr>
        <w:t xml:space="preserve">☑  </w:t>
      </w:r>
      <w:r>
        <w:rPr>
          <w:b/>
          <w:color w:val="070A12"/>
          <w:sz w:val="19"/>
        </w:rPr>
        <w:t xml:space="preserve">5. Ausencia de Bugs de Severidad Alta o Media — </w:t>
      </w:r>
      <w:r>
        <w:rPr>
          <w:color w:val="1E293B"/>
          <w:sz w:val="18"/>
        </w:rPr>
        <w:t>No hay incidencias bloqueantes o funcionales pendientes en el tablero de QA.</w:t>
      </w:r>
    </w:p>
    <w:p/>
    <w:p>
      <w:pPr>
        <w:keepNext/>
        <w:spacing w:before="360" w:after="120"/>
      </w:pPr>
      <w:r>
        <w:rPr>
          <w:rFonts w:ascii="Arial" w:hAnsi="Arial"/>
          <w:b/>
          <w:color w:val="070A12"/>
          <w:sz w:val="28"/>
        </w:rPr>
        <w:t>9. Reglas del Escáner de Auditoría SQA (SonarQube)</w:t>
      </w:r>
    </w:p>
    <w:p>
      <w:pPr>
        <w:spacing w:before="40" w:after="40"/>
      </w:pPr>
      <w:r>
        <w:rPr>
          <w:b/>
          <w:color w:val="38BDF8"/>
        </w:rPr>
        <w:t xml:space="preserve">• </w:t>
      </w:r>
      <w:r>
        <w:rPr>
          <w:b/>
          <w:color w:val="070A12"/>
          <w:sz w:val="19"/>
        </w:rPr>
        <w:t xml:space="preserve">Prohibición de alert(): </w:t>
      </w:r>
      <w:r>
        <w:rPr>
          <w:color w:val="1E293B"/>
          <w:sz w:val="18"/>
        </w:rPr>
        <w:t>Uso obligatorio de notificaciones Toaster UI nativas. El uso de alert() marca fallo crítico en auditoría.</w:t>
      </w:r>
    </w:p>
    <w:p>
      <w:pPr>
        <w:spacing w:before="40" w:after="40"/>
      </w:pPr>
      <w:r>
        <w:rPr>
          <w:b/>
          <w:color w:val="38BDF8"/>
        </w:rPr>
        <w:t xml:space="preserve">• </w:t>
      </w:r>
      <w:r>
        <w:rPr>
          <w:b/>
          <w:color w:val="070A12"/>
          <w:sz w:val="19"/>
        </w:rPr>
        <w:t xml:space="preserve">Uso de ES6+ (let/const): </w:t>
      </w:r>
      <w:r>
        <w:rPr>
          <w:color w:val="1E293B"/>
          <w:sz w:val="18"/>
        </w:rPr>
        <w:t>Declaración estricta sin 'var' para prevenir scopes ambiguos.</w:t>
      </w:r>
    </w:p>
    <w:p>
      <w:pPr>
        <w:spacing w:before="40" w:after="40"/>
      </w:pPr>
      <w:r>
        <w:rPr>
          <w:b/>
          <w:color w:val="38BDF8"/>
        </w:rPr>
        <w:t xml:space="preserve">• </w:t>
      </w:r>
      <w:r>
        <w:rPr>
          <w:b/>
          <w:color w:val="070A12"/>
          <w:sz w:val="19"/>
        </w:rPr>
        <w:t xml:space="preserve">Nomenclatura camelCase: </w:t>
      </w:r>
      <w:r>
        <w:rPr>
          <w:color w:val="1E293B"/>
          <w:sz w:val="18"/>
        </w:rPr>
        <w:t>Identificación automática de funciones y variables en camelCase. Se advierte sobre uso de snake_case.</w:t>
      </w:r>
    </w:p>
    <w:p>
      <w:pPr>
        <w:spacing w:before="40" w:after="40"/>
      </w:pPr>
      <w:r>
        <w:rPr>
          <w:b/>
          <w:color w:val="38BDF8"/>
        </w:rPr>
        <w:t xml:space="preserve">• </w:t>
      </w:r>
      <w:r>
        <w:rPr>
          <w:b/>
          <w:color w:val="070A12"/>
          <w:sz w:val="19"/>
        </w:rPr>
        <w:t xml:space="preserve">Manejo de Excepciones: </w:t>
      </w:r>
      <w:r>
        <w:rPr>
          <w:color w:val="1E293B"/>
          <w:sz w:val="18"/>
        </w:rPr>
        <w:t>Encapsulamiento obligatorio de bloques asíncronos y APIs en estructuras try...catch.</w:t>
      </w:r>
    </w:p>
    <w:p/>
    <w:p>
      <w:pPr>
        <w:keepNext/>
        <w:spacing w:before="360" w:after="120"/>
      </w:pPr>
      <w:r>
        <w:rPr>
          <w:rFonts w:ascii="Arial" w:hAnsi="Arial"/>
          <w:b/>
          <w:color w:val="070A12"/>
          <w:sz w:val="28"/>
        </w:rPr>
        <w:t>10. Glosario y Referencias Normativas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70A12"/>
                <w:sz w:val="19"/>
              </w:rPr>
              <w:t>📖 Glosario de Términos</w:t>
              <w:br/>
            </w:r>
          </w:p>
          <w:p>
            <w:pPr>
              <w:spacing w:before="40" w:after="40"/>
            </w:pPr>
            <w:r>
              <w:rPr>
                <w:b/>
                <w:color w:val="6366F1"/>
                <w:sz w:val="17"/>
              </w:rPr>
              <w:t xml:space="preserve">SQA: </w:t>
            </w:r>
            <w:r>
              <w:rPr>
                <w:color w:val="1E293B"/>
                <w:sz w:val="16"/>
              </w:rPr>
              <w:t>Software Quality Assurance.</w:t>
            </w:r>
          </w:p>
          <w:p>
            <w:pPr>
              <w:spacing w:before="40" w:after="40"/>
            </w:pPr>
            <w:r>
              <w:rPr>
                <w:b/>
                <w:color w:val="6366F1"/>
                <w:sz w:val="17"/>
              </w:rPr>
              <w:t xml:space="preserve">SLA: </w:t>
            </w:r>
            <w:r>
              <w:rPr>
                <w:color w:val="1E293B"/>
                <w:sz w:val="16"/>
              </w:rPr>
              <w:t>Service Level Agreement (Acuerdo de Nivel de Servicio).</w:t>
            </w:r>
          </w:p>
          <w:p>
            <w:pPr>
              <w:spacing w:before="40" w:after="40"/>
            </w:pPr>
            <w:r>
              <w:rPr>
                <w:b/>
                <w:color w:val="6366F1"/>
                <w:sz w:val="17"/>
              </w:rPr>
              <w:t xml:space="preserve">RACI: </w:t>
            </w:r>
            <w:r>
              <w:rPr>
                <w:color w:val="1E293B"/>
                <w:sz w:val="16"/>
              </w:rPr>
              <w:t>Matriz de Responsabilidades (R, A, C, I).</w:t>
            </w:r>
          </w:p>
          <w:p>
            <w:pPr>
              <w:spacing w:before="40" w:after="40"/>
            </w:pPr>
            <w:r>
              <w:rPr>
                <w:b/>
                <w:color w:val="6366F1"/>
                <w:sz w:val="17"/>
              </w:rPr>
              <w:t xml:space="preserve">FCP: </w:t>
            </w:r>
            <w:r>
              <w:rPr>
                <w:color w:val="1E293B"/>
                <w:sz w:val="16"/>
              </w:rPr>
              <w:t>First Contentful Paint (Métrica de tiempo de carga).</w:t>
            </w:r>
          </w:p>
          <w:p>
            <w:pPr>
              <w:spacing w:before="40" w:after="40"/>
            </w:pPr>
            <w:r>
              <w:rPr>
                <w:b/>
                <w:color w:val="6366F1"/>
                <w:sz w:val="17"/>
              </w:rPr>
              <w:t xml:space="preserve">E2E: </w:t>
            </w:r>
            <w:r>
              <w:rPr>
                <w:color w:val="1E293B"/>
                <w:sz w:val="16"/>
              </w:rPr>
              <w:t>Pruebas de extremo a extremo.</w:t>
            </w:r>
          </w:p>
          <w:p>
            <w:pPr>
              <w:spacing w:before="40" w:after="40"/>
            </w:pPr>
            <w:r>
              <w:rPr>
                <w:b/>
                <w:color w:val="6366F1"/>
                <w:sz w:val="17"/>
              </w:rPr>
              <w:t xml:space="preserve">CI/CD: </w:t>
            </w:r>
            <w:r>
              <w:rPr>
                <w:color w:val="1E293B"/>
                <w:sz w:val="16"/>
              </w:rPr>
              <w:t>Integración y Despliegue Continuos.</w:t>
            </w:r>
          </w:p>
          <w:p>
            <w:pPr>
              <w:spacing w:before="40" w:after="40"/>
            </w:pPr>
            <w:r>
              <w:rPr>
                <w:b/>
                <w:color w:val="6366F1"/>
                <w:sz w:val="17"/>
              </w:rPr>
              <w:t xml:space="preserve">BEM: </w:t>
            </w:r>
            <w:r>
              <w:rPr>
                <w:color w:val="1E293B"/>
                <w:sz w:val="16"/>
              </w:rPr>
              <w:t>Block Element Modifier (Nomenclatura CSS).</w:t>
            </w:r>
          </w:p>
          <w:p>
            <w:pPr>
              <w:spacing w:before="40" w:after="40"/>
            </w:pPr>
            <w:r>
              <w:rPr>
                <w:b/>
                <w:color w:val="6366F1"/>
                <w:sz w:val="17"/>
              </w:rPr>
              <w:t xml:space="preserve">Sign-off: </w:t>
            </w:r>
            <w:r>
              <w:rPr>
                <w:color w:val="1E293B"/>
                <w:sz w:val="16"/>
              </w:rPr>
              <w:t>Aprobación formal para producción.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70A12"/>
                <w:sz w:val="19"/>
              </w:rPr>
              <w:t>📑 Normas y Referencias</w:t>
              <w:br/>
            </w:r>
          </w:p>
          <w:p>
            <w:pPr>
              <w:spacing w:before="40" w:after="40"/>
            </w:pPr>
            <w:r>
              <w:rPr>
                <w:b/>
                <w:color w:val="6366F1"/>
                <w:sz w:val="17"/>
              </w:rPr>
              <w:t xml:space="preserve">ISO/IEC 25010: </w:t>
            </w:r>
            <w:r>
              <w:rPr>
                <w:color w:val="1E293B"/>
                <w:sz w:val="16"/>
              </w:rPr>
              <w:t>Modelo de calidad del producto de software.</w:t>
            </w:r>
          </w:p>
          <w:p>
            <w:pPr>
              <w:spacing w:before="40" w:after="40"/>
            </w:pPr>
            <w:r>
              <w:rPr>
                <w:b/>
                <w:color w:val="6366F1"/>
                <w:sz w:val="17"/>
              </w:rPr>
              <w:t xml:space="preserve">PCI-DSS: </w:t>
            </w:r>
            <w:r>
              <w:rPr>
                <w:color w:val="1E293B"/>
                <w:sz w:val="16"/>
              </w:rPr>
              <w:t>Estándar de seguridad de datos en pagos.</w:t>
            </w:r>
          </w:p>
          <w:p>
            <w:pPr>
              <w:spacing w:before="40" w:after="40"/>
            </w:pPr>
            <w:r>
              <w:rPr>
                <w:b/>
                <w:color w:val="6366F1"/>
                <w:sz w:val="17"/>
              </w:rPr>
              <w:t xml:space="preserve">WCAG 2.1 (AA): </w:t>
            </w:r>
            <w:r>
              <w:rPr>
                <w:color w:val="1E293B"/>
                <w:sz w:val="16"/>
              </w:rPr>
              <w:t>Pautas de accesibilidad web W3C.</w:t>
            </w:r>
          </w:p>
          <w:p>
            <w:pPr>
              <w:spacing w:before="40" w:after="40"/>
            </w:pPr>
            <w:r>
              <w:rPr>
                <w:b/>
                <w:color w:val="6366F1"/>
                <w:sz w:val="17"/>
              </w:rPr>
              <w:t xml:space="preserve">WAI-ARIA: </w:t>
            </w:r>
            <w:r>
              <w:rPr>
                <w:color w:val="1E293B"/>
                <w:sz w:val="16"/>
              </w:rPr>
              <w:t>Especificación de accesibilidad interactiva.</w:t>
            </w:r>
          </w:p>
          <w:p>
            <w:pPr>
              <w:spacing w:before="40" w:after="40"/>
            </w:pPr>
            <w:r>
              <w:rPr>
                <w:b/>
                <w:color w:val="6366F1"/>
                <w:sz w:val="17"/>
              </w:rPr>
              <w:t xml:space="preserve">OWASP Top 10: </w:t>
            </w:r>
            <w:r>
              <w:rPr>
                <w:color w:val="1E293B"/>
                <w:sz w:val="16"/>
              </w:rPr>
              <w:t>Riesgos principales de seguridad web.</w:t>
            </w:r>
          </w:p>
          <w:p>
            <w:pPr>
              <w:spacing w:before="40" w:after="40"/>
            </w:pPr>
            <w:r>
              <w:rPr>
                <w:b/>
                <w:color w:val="6366F1"/>
                <w:sz w:val="17"/>
              </w:rPr>
              <w:t xml:space="preserve">ISO/IEC/IEEE 29119: </w:t>
            </w:r>
            <w:r>
              <w:rPr>
                <w:color w:val="1E293B"/>
                <w:sz w:val="16"/>
              </w:rPr>
              <w:t>Estándar internacional de pruebas.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