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865A" w14:textId="77777777" w:rsidR="00A61C39" w:rsidRPr="00A61C39" w:rsidRDefault="00A61C39" w:rsidP="00A61C39">
      <w:pPr>
        <w:rPr>
          <w:b/>
          <w:bCs/>
          <w:lang w:val="en-US"/>
        </w:rPr>
      </w:pPr>
      <w:r w:rsidRPr="00A61C39">
        <w:rPr>
          <w:b/>
          <w:bCs/>
          <w:lang w:val="en-US"/>
        </w:rPr>
        <w:t>Right of Withdrawal</w:t>
      </w:r>
    </w:p>
    <w:p w14:paraId="03B4F33B" w14:textId="77777777" w:rsidR="00A61C39" w:rsidRPr="00A61C39" w:rsidRDefault="00A61C39" w:rsidP="00A61C39">
      <w:pPr>
        <w:rPr>
          <w:lang w:val="en-US"/>
        </w:rPr>
      </w:pPr>
      <w:r w:rsidRPr="00A61C39">
        <w:rPr>
          <w:lang w:val="en-US"/>
        </w:rPr>
        <w:t>Consumers have the right to withdraw from the contract in accordance with the applicable statutory provisions.</w:t>
      </w:r>
    </w:p>
    <w:p w14:paraId="4FE3CB51" w14:textId="77777777" w:rsidR="00A61C39" w:rsidRPr="00A61C39" w:rsidRDefault="00A61C39" w:rsidP="00A61C39">
      <w:pPr>
        <w:rPr>
          <w:lang w:val="en-US"/>
        </w:rPr>
      </w:pPr>
      <w:r w:rsidRPr="00A61C39">
        <w:rPr>
          <w:lang w:val="en-US"/>
        </w:rPr>
        <w:t>The full withdrawal instructions and the model withdrawal form can be found in our General Terms and Conditions (§ 6 Right of Withdrawal).</w:t>
      </w:r>
    </w:p>
    <w:p w14:paraId="70FBB4B2" w14:textId="77777777" w:rsidR="00A61C39" w:rsidRPr="00A61C39" w:rsidRDefault="00A61C39" w:rsidP="00A61C39">
      <w:pPr>
        <w:rPr>
          <w:lang w:val="en-US"/>
        </w:rPr>
      </w:pPr>
      <w:r w:rsidRPr="00A61C39">
        <w:rPr>
          <w:b/>
          <w:bCs/>
          <w:lang w:val="en-US"/>
        </w:rPr>
        <w:t>Summary:</w:t>
      </w:r>
      <w:r w:rsidRPr="00A61C39">
        <w:rPr>
          <w:lang w:val="en-US"/>
        </w:rPr>
        <w:t xml:space="preserve"> The withdrawal period is 14 days from the conclusion of the contract. To exercise the right of withdrawal, it is sufficient to send a clear statement (e.g. by email or post) to us. Our contact details can be found in the legal notice (Imprint).</w:t>
      </w:r>
    </w:p>
    <w:p w14:paraId="034FFB71" w14:textId="77777777" w:rsidR="00A61C39" w:rsidRPr="00A61C39" w:rsidRDefault="00A61C39" w:rsidP="00A61C39">
      <w:pPr>
        <w:rPr>
          <w:lang w:val="en-US"/>
        </w:rPr>
      </w:pPr>
      <w:r w:rsidRPr="00A61C39">
        <w:rPr>
          <w:b/>
          <w:bCs/>
          <w:lang w:val="en-US"/>
        </w:rPr>
        <w:t>Note:</w:t>
      </w:r>
      <w:r w:rsidRPr="00A61C39">
        <w:rPr>
          <w:lang w:val="en-US"/>
        </w:rPr>
        <w:t xml:space="preserve"> In the brokerage of real estate, the right of withdrawal expires in the cases provided by law (e.g. after the purchase or rental agreement has been concluded). For details, please refer to our General Terms and Conditions.</w:t>
      </w:r>
    </w:p>
    <w:p w14:paraId="6891B74B" w14:textId="77777777" w:rsidR="0057366C" w:rsidRPr="00A61C39" w:rsidRDefault="0057366C" w:rsidP="00A61C39">
      <w:pPr>
        <w:rPr>
          <w:lang w:val="en-US"/>
        </w:rPr>
      </w:pPr>
    </w:p>
    <w:sectPr w:rsidR="0057366C" w:rsidRPr="00A61C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C39"/>
    <w:rsid w:val="00074500"/>
    <w:rsid w:val="004364E8"/>
    <w:rsid w:val="0057366C"/>
    <w:rsid w:val="00A61C39"/>
    <w:rsid w:val="00B22C83"/>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C7BA"/>
  <w15:chartTrackingRefBased/>
  <w15:docId w15:val="{79BD4F5F-86EB-400E-9D75-8E83A4A3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1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61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61C3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61C3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61C3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61C3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61C3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61C3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61C3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1C3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61C3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61C3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61C3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61C3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61C3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61C3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61C3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61C39"/>
    <w:rPr>
      <w:rFonts w:eastAsiaTheme="majorEastAsia" w:cstheme="majorBidi"/>
      <w:color w:val="272727" w:themeColor="text1" w:themeTint="D8"/>
    </w:rPr>
  </w:style>
  <w:style w:type="paragraph" w:styleId="Titel">
    <w:name w:val="Title"/>
    <w:basedOn w:val="Standard"/>
    <w:next w:val="Standard"/>
    <w:link w:val="TitelZchn"/>
    <w:uiPriority w:val="10"/>
    <w:qFormat/>
    <w:rsid w:val="00A61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61C3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61C3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61C3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61C3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61C39"/>
    <w:rPr>
      <w:i/>
      <w:iCs/>
      <w:color w:val="404040" w:themeColor="text1" w:themeTint="BF"/>
    </w:rPr>
  </w:style>
  <w:style w:type="paragraph" w:styleId="Listenabsatz">
    <w:name w:val="List Paragraph"/>
    <w:basedOn w:val="Standard"/>
    <w:uiPriority w:val="34"/>
    <w:qFormat/>
    <w:rsid w:val="00A61C39"/>
    <w:pPr>
      <w:ind w:left="720"/>
      <w:contextualSpacing/>
    </w:pPr>
  </w:style>
  <w:style w:type="character" w:styleId="IntensiveHervorhebung">
    <w:name w:val="Intense Emphasis"/>
    <w:basedOn w:val="Absatz-Standardschriftart"/>
    <w:uiPriority w:val="21"/>
    <w:qFormat/>
    <w:rsid w:val="00A61C39"/>
    <w:rPr>
      <w:i/>
      <w:iCs/>
      <w:color w:val="0F4761" w:themeColor="accent1" w:themeShade="BF"/>
    </w:rPr>
  </w:style>
  <w:style w:type="paragraph" w:styleId="IntensivesZitat">
    <w:name w:val="Intense Quote"/>
    <w:basedOn w:val="Standard"/>
    <w:next w:val="Standard"/>
    <w:link w:val="IntensivesZitatZchn"/>
    <w:uiPriority w:val="30"/>
    <w:qFormat/>
    <w:rsid w:val="00A61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61C39"/>
    <w:rPr>
      <w:i/>
      <w:iCs/>
      <w:color w:val="0F4761" w:themeColor="accent1" w:themeShade="BF"/>
    </w:rPr>
  </w:style>
  <w:style w:type="character" w:styleId="IntensiverVerweis">
    <w:name w:val="Intense Reference"/>
    <w:basedOn w:val="Absatz-Standardschriftart"/>
    <w:uiPriority w:val="32"/>
    <w:qFormat/>
    <w:rsid w:val="00A61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651</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2026-02-20T15:55:00Z</dcterms:created>
  <dcterms:modified xsi:type="dcterms:W3CDTF">2026-02-20T15:56:00Z</dcterms:modified>
</cp:coreProperties>
</file>