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</w:pPr>
      <w:r>
        <w:rPr>
          <w:b/>
          <w:color w:val="6B7280"/>
          <w:sz w:val="20"/>
        </w:rPr>
        <w:t>AEGIS TECHNOLOGIES • B2B WEALTH TERMINAL</w:t>
      </w:r>
    </w:p>
    <w:p>
      <w:pPr>
        <w:spacing w:before="80" w:after="120"/>
        <w:ind w:firstLine="0"/>
      </w:pPr>
      <w:r>
        <w:rPr>
          <w:b/>
          <w:color w:val="0F172A"/>
          <w:sz w:val="31"/>
        </w:rPr>
        <w:t>ТЕХНИЧЕСКОЕ ЗАДАНИЕ ДЛЯ UI/UX ДИЗАЙНЕРА</w:t>
        <w:br/>
        <w:t>ПРОЕКТИРОВАНИЕ ИНТЕРФЕЙСА ТЕРМИНАЛА (FIGMA)</w:t>
      </w:r>
    </w:p>
    <w:p>
      <w:pPr>
        <w:spacing w:after="200"/>
        <w:ind w:firstLine="0"/>
      </w:pPr>
      <w:r>
        <w:rPr>
          <w:b/>
          <w:color w:val="2563EB"/>
          <w:sz w:val="21"/>
        </w:rPr>
        <w:t>Стиль: T-Bank Light / Apple Finance • Формат: Figma (Auto Layout + UI Kit) • Платформа: Desktop Web</w:t>
      </w:r>
    </w:p>
    <w:p>
      <w:pPr>
        <w:spacing w:after="240"/>
        <w:ind w:firstLine="0"/>
        <w:pBdr>
          <w:bottom w:val="single" w:sz="12" w:space="1" w:color="2563EB"/>
        </w:pBdr>
      </w:pP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294A"/>
          <w:sz w:val="30"/>
        </w:rPr>
        <w:t>1. Концепция и визуальный стиль (Design Direction)</w:t>
      </w:r>
    </w:p>
    <w:p>
      <w:pPr>
        <w:ind w:firstLine="706"/>
        <w:jc w:val="both"/>
      </w:pPr>
      <w:r>
        <w:t>Стиль проекта: Modern Institutional Light (эстетика передовых сервисов Т-Банк Инвестиции, Т-Бизнес, Stripe, Apple Finance). Интерфейс должен выглядеть как премиальный, надежный и функциональный банковский продукт с чистыми белыми карточками и безупречной типографикой.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Фон страницы (Page Background): </w:t>
      </w:r>
      <w:r>
        <w:t>Мягкий серый оттенок #F5F6F8 (комфорт для глаз при непрерывной работе).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Карточки и блоки (Card Surface): </w:t>
      </w:r>
      <w:r>
        <w:t>Белоснежный #FFFFFF с тонкой рамкой 1px #E5E7EB и мягкой тенью (shadow-sm).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Основной текст: </w:t>
      </w:r>
      <w:r>
        <w:t>Глубокий графитовый / темно-серый #111827.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Второстепенный текст и подписи: </w:t>
      </w:r>
      <w:r>
        <w:t>Нейтральный серый #6B7280.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Фирменный акцент (Brand Blue): </w:t>
      </w:r>
      <w:r>
        <w:t>Банковский синий #2563EB (активные кнопки, табы, ссылки).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Статусные цвета рисков: </w:t>
      </w:r>
      <w:r>
        <w:t>Изумрудный #059669 (фон #ECFDF5) — консервативный; Янтарный #D97706 (фон #FFFBEB) — умеренный; Карминный #DC2626 (фон #FEF2F2) — агрессивный риск.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Шрифты: </w:t>
      </w:r>
      <w:r>
        <w:t>Интерфейсный — Inter / SF Pro; моноширинный для цифр и тикеров — JetBrains Mono.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294A"/>
          <w:sz w:val="30"/>
        </w:rPr>
        <w:t>2. Список экранов для отрисовки (User Flows)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color w:val="1E40AF"/>
          <w:sz w:val="27"/>
        </w:rPr>
        <w:t>2.1. Экран 1: Вход и Двухфакторная аутентификация (Auth &amp; 2FA)</w:t>
      </w:r>
    </w:p>
    <w:p>
      <w:pPr>
        <w:ind w:firstLine="706"/>
        <w:jc w:val="both"/>
      </w:pPr>
      <w:r>
        <w:t>Закрытый вход в банковский терминал для советника. По центру экрана белая карточка с логотипом Aegis Wealth. Состояние 1: логин и пароль. Состояние 2: 6 крупных раздельных ячеек для ввода 2FA-кода из аутентификатора (Яндекс Ключ, 2FAS, Google Authenticator).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color w:val="1E40AF"/>
          <w:sz w:val="27"/>
        </w:rPr>
        <w:t>2.2. Экран 2: Рабочий стол советника / Реестр клиентов (Advisor Dashboard)</w:t>
      </w:r>
    </w:p>
    <w:p>
      <w:pPr>
        <w:ind w:firstLine="706"/>
        <w:jc w:val="both"/>
      </w:pPr>
      <w:r>
        <w:t>Главный экран системы: хедер со статусом советника, 3 KPI-карточки сверху (общий AUM в рублях, число активных клиентов, риск-индекс), поисковая строка с фильтрами, кнопка '+ Новый клиент' и реестр клиентов в виде контрастной таблицы с цветными бейджами рисков.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color w:val="1E40AF"/>
          <w:sz w:val="27"/>
        </w:rPr>
        <w:t>2.3. Модальное окно: Создание нового инвестора</w:t>
      </w:r>
    </w:p>
    <w:p>
      <w:pPr>
        <w:ind w:firstLine="706"/>
        <w:jc w:val="both"/>
      </w:pPr>
      <w:r>
        <w:t>Всплывающая карточка добавления инвестора: поля ФИО, телефон, email, заметки и интерактивный переключатель риск-профиля (Консервативный / Умеренный / Агрессивный) с цветными точками-индикаторами.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color w:val="1E40AF"/>
          <w:sz w:val="27"/>
        </w:rPr>
        <w:t>2.4. Экран 3: Флагманский терминал портфеля (Portfolio X-Ray)</w:t>
      </w:r>
    </w:p>
    <w:p>
      <w:pPr>
        <w:ind w:firstLine="706"/>
        <w:jc w:val="both"/>
      </w:pPr>
      <w:r>
        <w:t>Рабочий двухколоночный дашборд анализа структуры активов: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Левая колонка (65%): </w:t>
      </w:r>
      <w:r>
        <w:t>Drag-and-Drop зона для файлов брокера (.xlsx, .csv), карточки AUM и индекса концентрации HHI (со шкалой риска: зеленый, желтый, красный), Donut Chart распределения долей (акции, облигации, фонды, кэш) и таблица бумаг.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Правая колонка (35%): </w:t>
      </w:r>
      <w:r>
        <w:t>Блок 'Стресс-тест рынка' со слайдером просадки (-15%) и расчетом сохраненного капитала; блок 'Ребалансировка в ОФЗ' с расчетом годового купонного дохода; акцентная кнопка 'Сформировать PDF-отчет для клиента'.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color w:val="1E40AF"/>
          <w:sz w:val="27"/>
        </w:rPr>
        <w:t>2.5. Экран 4: Генерация отчета и Toast-уведомления</w:t>
      </w:r>
    </w:p>
    <w:p>
      <w:pPr>
        <w:ind w:firstLine="706"/>
        <w:jc w:val="both"/>
      </w:pPr>
      <w:r>
        <w:t>Состояние загрузки со спиннером ('Формирование PDF-отчета...') и всплывающее Toast-уведомление об успешном скачивании файла.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294A"/>
          <w:sz w:val="30"/>
        </w:rPr>
        <w:t>3. Требования к UI Kit в Figma</w:t>
      </w:r>
    </w:p>
    <w:p>
      <w:pPr>
        <w:pStyle w:val="ListBullet"/>
        <w:spacing w:after="60"/>
        <w:ind w:firstLine="0" w:left="706"/>
        <w:jc w:val="left"/>
      </w:pPr>
      <w:r>
        <w:t>Цветовые стили (Color Styles) и текстовые стили (Text Styles).</w:t>
      </w:r>
    </w:p>
    <w:p>
      <w:pPr>
        <w:pStyle w:val="ListBullet"/>
        <w:spacing w:after="60"/>
        <w:ind w:firstLine="0" w:left="706"/>
        <w:jc w:val="left"/>
      </w:pPr>
      <w:r>
        <w:t>Компоненты на Auto Layout со всеми состояниями: кнопки, поля ввода (Default, Focus, Error), статусные чипы-бейджи, строки таблиц (Default, Hover), слайдер стресс-теста.</w:t>
      </w:r>
    </w:p>
    <w:p>
      <w:pPr>
        <w:pStyle w:val="ListBullet"/>
        <w:spacing w:after="60"/>
        <w:ind w:firstLine="0" w:left="706"/>
        <w:jc w:val="left"/>
      </w:pPr>
      <w:r>
        <w:t>Экраны пустых состояний (Empty States): 'У клиента пока нет загруженного портфеля'.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294A"/>
          <w:sz w:val="30"/>
        </w:rPr>
        <w:t>4. Ограничения (Что рисовать НЕ нужно)</w:t>
      </w:r>
    </w:p>
    <w:p>
      <w:pPr>
        <w:pStyle w:val="ListBullet"/>
        <w:spacing w:after="60"/>
        <w:ind w:firstLine="0" w:left="706"/>
        <w:jc w:val="left"/>
      </w:pPr>
      <w:r>
        <w:t>Мобильную версию — терминал создается исключительно для десктопов и ноутбуков советников (1440px+).</w:t>
      </w:r>
    </w:p>
    <w:p>
      <w:pPr>
        <w:pStyle w:val="ListBullet"/>
        <w:spacing w:after="60"/>
        <w:ind w:firstLine="0" w:left="706"/>
        <w:jc w:val="left"/>
      </w:pPr>
      <w:r>
        <w:t>Сложные свечные биржевые графики трейдинга (TradingView) — это терминал портфельного управляющего, а не скальпера.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Times New Roman" w:hAnsi="Times New Roman"/>
      <w:color w:val="111827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